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4E718" w14:textId="77777777" w:rsidR="006C302F" w:rsidRPr="00E266CD" w:rsidRDefault="006C302F" w:rsidP="00ED4E24">
      <w:pPr>
        <w:ind w:firstLine="284"/>
        <w:jc w:val="center"/>
        <w:rPr>
          <w:rFonts w:ascii="Garamond" w:hAnsi="Garamond"/>
          <w:b/>
          <w:sz w:val="24"/>
        </w:rPr>
      </w:pPr>
      <w:r w:rsidRPr="00E266CD">
        <w:rPr>
          <w:rFonts w:ascii="Garamond" w:hAnsi="Garamond"/>
          <w:b/>
          <w:sz w:val="24"/>
        </w:rPr>
        <w:t>VENDIM</w:t>
      </w:r>
    </w:p>
    <w:p w14:paraId="0B5278C3" w14:textId="77777777" w:rsidR="006C302F" w:rsidRPr="00E266CD" w:rsidRDefault="00667982" w:rsidP="00ED4E24">
      <w:pPr>
        <w:ind w:firstLine="284"/>
        <w:jc w:val="center"/>
        <w:rPr>
          <w:rFonts w:ascii="Garamond" w:hAnsi="Garamond"/>
          <w:b/>
          <w:sz w:val="24"/>
        </w:rPr>
      </w:pPr>
      <w:r w:rsidRPr="00E266CD">
        <w:rPr>
          <w:rFonts w:ascii="Garamond" w:hAnsi="Garamond"/>
          <w:b/>
          <w:sz w:val="24"/>
        </w:rPr>
        <w:t>Nr.</w:t>
      </w:r>
      <w:r w:rsidR="00F33DEB" w:rsidRPr="00E266CD">
        <w:rPr>
          <w:rFonts w:ascii="Garamond" w:hAnsi="Garamond"/>
          <w:b/>
          <w:sz w:val="24"/>
        </w:rPr>
        <w:t xml:space="preserve"> 542</w:t>
      </w:r>
      <w:r w:rsidR="008041A1" w:rsidRPr="00E266CD">
        <w:rPr>
          <w:rFonts w:ascii="Garamond" w:hAnsi="Garamond"/>
          <w:b/>
          <w:sz w:val="24"/>
        </w:rPr>
        <w:t xml:space="preserve">, datë </w:t>
      </w:r>
      <w:r w:rsidR="00F33DEB" w:rsidRPr="00E266CD">
        <w:rPr>
          <w:rFonts w:ascii="Garamond" w:hAnsi="Garamond"/>
          <w:b/>
          <w:sz w:val="24"/>
        </w:rPr>
        <w:t>20.9.2023</w:t>
      </w:r>
    </w:p>
    <w:p w14:paraId="75EF79AC" w14:textId="77777777" w:rsidR="006C302F" w:rsidRPr="00E266CD" w:rsidRDefault="006C302F" w:rsidP="00ED4E24">
      <w:pPr>
        <w:ind w:firstLine="284"/>
        <w:jc w:val="center"/>
        <w:rPr>
          <w:rFonts w:ascii="Garamond" w:hAnsi="Garamond"/>
          <w:b/>
          <w:sz w:val="24"/>
        </w:rPr>
      </w:pPr>
    </w:p>
    <w:p w14:paraId="7F1BBB75" w14:textId="76F3535B" w:rsidR="006C302F" w:rsidRPr="00E266CD" w:rsidRDefault="006C302F" w:rsidP="00ED4E24">
      <w:pPr>
        <w:ind w:firstLine="284"/>
        <w:jc w:val="center"/>
        <w:rPr>
          <w:rFonts w:ascii="Garamond" w:hAnsi="Garamond"/>
          <w:b/>
          <w:sz w:val="24"/>
        </w:rPr>
      </w:pPr>
      <w:r w:rsidRPr="00E266CD">
        <w:rPr>
          <w:rFonts w:ascii="Garamond" w:hAnsi="Garamond"/>
          <w:b/>
          <w:sz w:val="24"/>
        </w:rPr>
        <w:t>PËR</w:t>
      </w:r>
      <w:r w:rsidR="00F33DEB" w:rsidRPr="00E266CD">
        <w:rPr>
          <w:rFonts w:ascii="Garamond" w:hAnsi="Garamond"/>
          <w:b/>
          <w:sz w:val="24"/>
        </w:rPr>
        <w:t xml:space="preserve"> </w:t>
      </w:r>
      <w:r w:rsidRPr="00E266CD">
        <w:rPr>
          <w:rFonts w:ascii="Garamond" w:hAnsi="Garamond"/>
          <w:b/>
          <w:sz w:val="24"/>
        </w:rPr>
        <w:t xml:space="preserve">MIRATIMIN E </w:t>
      </w:r>
      <w:r w:rsidR="001C58DF" w:rsidRPr="00E266CD">
        <w:rPr>
          <w:rFonts w:ascii="Garamond" w:hAnsi="Garamond"/>
          <w:b/>
          <w:sz w:val="24"/>
        </w:rPr>
        <w:t xml:space="preserve">STRATEGJISË KOMBËTARE PËR </w:t>
      </w:r>
      <w:r w:rsidR="005008F1" w:rsidRPr="00E266CD">
        <w:rPr>
          <w:rFonts w:ascii="Garamond" w:hAnsi="Garamond"/>
          <w:b/>
          <w:sz w:val="24"/>
        </w:rPr>
        <w:t>KËRKIMIN SHKENCOR, TEKNOLOGJINË DHE INOVACIONIN 2023</w:t>
      </w:r>
      <w:r w:rsidR="007715D0" w:rsidRPr="00E266CD">
        <w:rPr>
          <w:rFonts w:ascii="Garamond" w:hAnsi="Garamond"/>
          <w:b/>
          <w:sz w:val="24"/>
        </w:rPr>
        <w:t>–</w:t>
      </w:r>
      <w:r w:rsidR="005008F1" w:rsidRPr="00E266CD">
        <w:rPr>
          <w:rFonts w:ascii="Garamond" w:hAnsi="Garamond"/>
          <w:b/>
          <w:sz w:val="24"/>
        </w:rPr>
        <w:t xml:space="preserve">2030 DHE </w:t>
      </w:r>
      <w:r w:rsidR="009E4D91" w:rsidRPr="00E266CD">
        <w:rPr>
          <w:rFonts w:ascii="Garamond" w:hAnsi="Garamond"/>
          <w:b/>
          <w:sz w:val="24"/>
        </w:rPr>
        <w:t>TË PLANIT TË</w:t>
      </w:r>
      <w:r w:rsidR="00814463" w:rsidRPr="00E266CD">
        <w:rPr>
          <w:rFonts w:ascii="Garamond" w:hAnsi="Garamond"/>
          <w:b/>
          <w:sz w:val="24"/>
        </w:rPr>
        <w:t xml:space="preserve"> VEPRIMIT PËR ZBATIMIN E SAJ</w:t>
      </w:r>
    </w:p>
    <w:p w14:paraId="65F380FF" w14:textId="77777777" w:rsidR="00F0607B" w:rsidRPr="00E266CD" w:rsidRDefault="00F0607B" w:rsidP="00ED4E24">
      <w:pPr>
        <w:ind w:firstLine="284"/>
        <w:rPr>
          <w:rFonts w:ascii="Garamond" w:hAnsi="Garamond"/>
          <w:sz w:val="24"/>
        </w:rPr>
      </w:pPr>
    </w:p>
    <w:p w14:paraId="49A89C77" w14:textId="77777777" w:rsidR="006C302F" w:rsidRPr="00E266CD" w:rsidRDefault="006C302F" w:rsidP="00ED4E24">
      <w:pPr>
        <w:ind w:firstLine="284"/>
        <w:rPr>
          <w:rFonts w:ascii="Garamond" w:hAnsi="Garamond"/>
          <w:sz w:val="24"/>
        </w:rPr>
      </w:pPr>
      <w:r w:rsidRPr="00E266CD">
        <w:rPr>
          <w:rFonts w:ascii="Garamond" w:hAnsi="Garamond"/>
          <w:sz w:val="24"/>
        </w:rPr>
        <w:t xml:space="preserve">Në mbështetje të nenit 100 të Kushtetutës, me propozimin e </w:t>
      </w:r>
      <w:r w:rsidR="006D4F16" w:rsidRPr="00E266CD">
        <w:rPr>
          <w:rFonts w:ascii="Garamond" w:hAnsi="Garamond"/>
          <w:sz w:val="24"/>
        </w:rPr>
        <w:t>m</w:t>
      </w:r>
      <w:r w:rsidRPr="00E266CD">
        <w:rPr>
          <w:rFonts w:ascii="Garamond" w:hAnsi="Garamond"/>
          <w:sz w:val="24"/>
        </w:rPr>
        <w:t xml:space="preserve">inistrit të </w:t>
      </w:r>
      <w:r w:rsidR="00AD48FE" w:rsidRPr="00E266CD">
        <w:rPr>
          <w:rFonts w:ascii="Garamond" w:hAnsi="Garamond"/>
          <w:sz w:val="24"/>
        </w:rPr>
        <w:t>Arsimit dhe Sportit</w:t>
      </w:r>
      <w:r w:rsidRPr="00E266CD">
        <w:rPr>
          <w:rFonts w:ascii="Garamond" w:hAnsi="Garamond"/>
          <w:sz w:val="24"/>
        </w:rPr>
        <w:t>, Këshilli i Ministrave</w:t>
      </w:r>
    </w:p>
    <w:p w14:paraId="6487554C" w14:textId="77777777" w:rsidR="006C302F" w:rsidRPr="00E266CD" w:rsidRDefault="006C302F" w:rsidP="00ED4E24">
      <w:pPr>
        <w:ind w:firstLine="284"/>
        <w:rPr>
          <w:rFonts w:ascii="Garamond" w:hAnsi="Garamond"/>
          <w:sz w:val="24"/>
        </w:rPr>
      </w:pPr>
    </w:p>
    <w:p w14:paraId="36E03D2B" w14:textId="77777777" w:rsidR="006C302F" w:rsidRPr="00E266CD" w:rsidRDefault="006C302F" w:rsidP="00ED4E24">
      <w:pPr>
        <w:ind w:firstLine="284"/>
        <w:jc w:val="center"/>
        <w:rPr>
          <w:rFonts w:ascii="Garamond" w:hAnsi="Garamond"/>
          <w:sz w:val="24"/>
        </w:rPr>
      </w:pPr>
      <w:r w:rsidRPr="00E266CD">
        <w:rPr>
          <w:rFonts w:ascii="Garamond" w:hAnsi="Garamond"/>
          <w:sz w:val="24"/>
        </w:rPr>
        <w:t>VENDOSI:</w:t>
      </w:r>
    </w:p>
    <w:p w14:paraId="53977E6D" w14:textId="77777777" w:rsidR="006C302F" w:rsidRPr="00E266CD" w:rsidRDefault="006C302F" w:rsidP="00ED4E24">
      <w:pPr>
        <w:ind w:firstLine="284"/>
        <w:rPr>
          <w:rFonts w:ascii="Garamond" w:hAnsi="Garamond"/>
          <w:sz w:val="24"/>
        </w:rPr>
      </w:pPr>
    </w:p>
    <w:p w14:paraId="75D9F356" w14:textId="0B34A385" w:rsidR="00F947A1" w:rsidRPr="00E266CD" w:rsidRDefault="00793C24" w:rsidP="00ED4E24">
      <w:pPr>
        <w:ind w:firstLine="284"/>
        <w:rPr>
          <w:rFonts w:ascii="Garamond" w:hAnsi="Garamond"/>
          <w:sz w:val="24"/>
        </w:rPr>
      </w:pPr>
      <w:r w:rsidRPr="00E266CD">
        <w:rPr>
          <w:rFonts w:ascii="Garamond" w:hAnsi="Garamond"/>
          <w:sz w:val="24"/>
        </w:rPr>
        <w:t xml:space="preserve">1. </w:t>
      </w:r>
      <w:r w:rsidR="006C302F" w:rsidRPr="00E266CD">
        <w:rPr>
          <w:rFonts w:ascii="Garamond" w:hAnsi="Garamond"/>
          <w:sz w:val="24"/>
        </w:rPr>
        <w:t xml:space="preserve">Miratimin e </w:t>
      </w:r>
      <w:r w:rsidR="001C58DF" w:rsidRPr="00E266CD">
        <w:rPr>
          <w:rFonts w:ascii="Garamond" w:hAnsi="Garamond"/>
          <w:sz w:val="24"/>
        </w:rPr>
        <w:t xml:space="preserve">Strategjisë Kombëtare </w:t>
      </w:r>
      <w:r w:rsidR="008041A1" w:rsidRPr="00E266CD">
        <w:rPr>
          <w:rFonts w:ascii="Garamond" w:hAnsi="Garamond"/>
          <w:sz w:val="24"/>
        </w:rPr>
        <w:t xml:space="preserve">për </w:t>
      </w:r>
      <w:r w:rsidR="008D34EE" w:rsidRPr="00E266CD">
        <w:rPr>
          <w:rFonts w:ascii="Garamond" w:hAnsi="Garamond"/>
          <w:sz w:val="24"/>
        </w:rPr>
        <w:t>K</w:t>
      </w:r>
      <w:r w:rsidR="005008F1" w:rsidRPr="00E266CD">
        <w:rPr>
          <w:rFonts w:ascii="Garamond" w:hAnsi="Garamond"/>
          <w:sz w:val="24"/>
        </w:rPr>
        <w:t xml:space="preserve">ërkimin </w:t>
      </w:r>
      <w:r w:rsidR="008D34EE" w:rsidRPr="00E266CD">
        <w:rPr>
          <w:rFonts w:ascii="Garamond" w:hAnsi="Garamond"/>
          <w:sz w:val="24"/>
        </w:rPr>
        <w:t>Shkencor, Teknologjinë dhe I</w:t>
      </w:r>
      <w:r w:rsidR="005008F1" w:rsidRPr="00E266CD">
        <w:rPr>
          <w:rFonts w:ascii="Garamond" w:hAnsi="Garamond"/>
          <w:sz w:val="24"/>
        </w:rPr>
        <w:t>novacionin 2023</w:t>
      </w:r>
      <w:r w:rsidR="007715D0" w:rsidRPr="00E266CD">
        <w:rPr>
          <w:rFonts w:ascii="Garamond" w:hAnsi="Garamond"/>
          <w:b/>
          <w:sz w:val="24"/>
        </w:rPr>
        <w:t>–</w:t>
      </w:r>
      <w:r w:rsidR="005008F1" w:rsidRPr="00E266CD">
        <w:rPr>
          <w:rFonts w:ascii="Garamond" w:hAnsi="Garamond"/>
          <w:sz w:val="24"/>
        </w:rPr>
        <w:t xml:space="preserve">2030 </w:t>
      </w:r>
      <w:r w:rsidR="00F0607B" w:rsidRPr="00E266CD">
        <w:rPr>
          <w:rFonts w:ascii="Garamond" w:hAnsi="Garamond"/>
          <w:sz w:val="24"/>
        </w:rPr>
        <w:t>dhe</w:t>
      </w:r>
      <w:r w:rsidR="007715D0" w:rsidRPr="00E266CD">
        <w:rPr>
          <w:rFonts w:ascii="Garamond" w:hAnsi="Garamond"/>
          <w:sz w:val="24"/>
        </w:rPr>
        <w:t xml:space="preserve"> </w:t>
      </w:r>
      <w:r w:rsidR="00F0607B" w:rsidRPr="00E266CD">
        <w:rPr>
          <w:rFonts w:ascii="Garamond" w:hAnsi="Garamond"/>
          <w:sz w:val="24"/>
        </w:rPr>
        <w:t>të</w:t>
      </w:r>
      <w:r w:rsidR="007715D0" w:rsidRPr="00E266CD">
        <w:rPr>
          <w:rFonts w:ascii="Garamond" w:hAnsi="Garamond"/>
          <w:sz w:val="24"/>
        </w:rPr>
        <w:t xml:space="preserve"> </w:t>
      </w:r>
      <w:r w:rsidR="00F0607B" w:rsidRPr="00E266CD">
        <w:rPr>
          <w:rFonts w:ascii="Garamond" w:hAnsi="Garamond"/>
          <w:sz w:val="24"/>
        </w:rPr>
        <w:t>planit</w:t>
      </w:r>
      <w:r w:rsidR="007715D0" w:rsidRPr="00E266CD">
        <w:rPr>
          <w:rFonts w:ascii="Garamond" w:hAnsi="Garamond"/>
          <w:sz w:val="24"/>
        </w:rPr>
        <w:t xml:space="preserve"> </w:t>
      </w:r>
      <w:r w:rsidR="00F0607B" w:rsidRPr="00E266CD">
        <w:rPr>
          <w:rFonts w:ascii="Garamond" w:hAnsi="Garamond"/>
          <w:sz w:val="24"/>
        </w:rPr>
        <w:t>të veprimit për zbatimin e saj,</w:t>
      </w:r>
      <w:r w:rsidR="001A7C42" w:rsidRPr="00E266CD">
        <w:rPr>
          <w:rFonts w:ascii="Garamond" w:hAnsi="Garamond"/>
          <w:sz w:val="24"/>
        </w:rPr>
        <w:t xml:space="preserve"> sipas tekstit </w:t>
      </w:r>
      <w:r w:rsidR="0033218F" w:rsidRPr="00E266CD">
        <w:rPr>
          <w:rFonts w:ascii="Garamond" w:hAnsi="Garamond"/>
          <w:sz w:val="24"/>
        </w:rPr>
        <w:t xml:space="preserve">që i </w:t>
      </w:r>
      <w:r w:rsidR="001A7C42" w:rsidRPr="00E266CD">
        <w:rPr>
          <w:rFonts w:ascii="Garamond" w:hAnsi="Garamond"/>
          <w:sz w:val="24"/>
        </w:rPr>
        <w:t>bashkë</w:t>
      </w:r>
      <w:r w:rsidR="0033218F" w:rsidRPr="00E266CD">
        <w:rPr>
          <w:rFonts w:ascii="Garamond" w:hAnsi="Garamond"/>
          <w:sz w:val="24"/>
        </w:rPr>
        <w:t>lidhet</w:t>
      </w:r>
      <w:r w:rsidR="001A7C42" w:rsidRPr="00E266CD">
        <w:rPr>
          <w:rFonts w:ascii="Garamond" w:hAnsi="Garamond"/>
          <w:sz w:val="24"/>
        </w:rPr>
        <w:t xml:space="preserve"> kë</w:t>
      </w:r>
      <w:r w:rsidR="00F947A1" w:rsidRPr="00E266CD">
        <w:rPr>
          <w:rFonts w:ascii="Garamond" w:hAnsi="Garamond"/>
          <w:sz w:val="24"/>
        </w:rPr>
        <w:t xml:space="preserve">tij vendimi </w:t>
      </w:r>
      <w:r w:rsidR="008041A1" w:rsidRPr="00E266CD">
        <w:rPr>
          <w:rFonts w:ascii="Garamond" w:hAnsi="Garamond"/>
          <w:sz w:val="24"/>
        </w:rPr>
        <w:t>dhe</w:t>
      </w:r>
      <w:r w:rsidR="00F947A1" w:rsidRPr="00E266CD">
        <w:rPr>
          <w:rFonts w:ascii="Garamond" w:hAnsi="Garamond"/>
          <w:sz w:val="24"/>
        </w:rPr>
        <w:t xml:space="preserve"> </w:t>
      </w:r>
      <w:r w:rsidR="0033218F" w:rsidRPr="00E266CD">
        <w:rPr>
          <w:rFonts w:ascii="Garamond" w:hAnsi="Garamond"/>
          <w:sz w:val="24"/>
        </w:rPr>
        <w:t xml:space="preserve">është </w:t>
      </w:r>
      <w:r w:rsidR="00F947A1" w:rsidRPr="00E266CD">
        <w:rPr>
          <w:rFonts w:ascii="Garamond" w:hAnsi="Garamond"/>
          <w:sz w:val="24"/>
        </w:rPr>
        <w:t>pjesë përbërëse e tij.</w:t>
      </w:r>
    </w:p>
    <w:p w14:paraId="45591EFB" w14:textId="60017EB5" w:rsidR="006C302F" w:rsidRPr="00E266CD" w:rsidRDefault="00793C24" w:rsidP="00ED4E24">
      <w:pPr>
        <w:ind w:firstLine="284"/>
        <w:rPr>
          <w:rFonts w:ascii="Garamond" w:hAnsi="Garamond"/>
          <w:sz w:val="24"/>
        </w:rPr>
      </w:pPr>
      <w:r w:rsidRPr="00E266CD">
        <w:rPr>
          <w:rFonts w:ascii="Garamond" w:hAnsi="Garamond"/>
          <w:sz w:val="24"/>
        </w:rPr>
        <w:t xml:space="preserve">2. </w:t>
      </w:r>
      <w:r w:rsidR="0033218F" w:rsidRPr="00E266CD">
        <w:rPr>
          <w:rFonts w:ascii="Garamond" w:hAnsi="Garamond"/>
          <w:sz w:val="24"/>
        </w:rPr>
        <w:t xml:space="preserve">Ngarkohen Ministria e Arsimit dhe Sportit dhe të gjitha ministritë e </w:t>
      </w:r>
      <w:r w:rsidR="00903713" w:rsidRPr="00E266CD">
        <w:rPr>
          <w:rFonts w:ascii="Garamond" w:hAnsi="Garamond"/>
          <w:sz w:val="24"/>
        </w:rPr>
        <w:t>institucionet</w:t>
      </w:r>
      <w:r w:rsidR="0033218F" w:rsidRPr="00E266CD">
        <w:rPr>
          <w:rFonts w:ascii="Garamond" w:hAnsi="Garamond"/>
          <w:sz w:val="24"/>
        </w:rPr>
        <w:t xml:space="preserve"> përgjegjëse të përmendura në tekstin e kësaj strategjie p</w:t>
      </w:r>
      <w:r w:rsidR="003F3B77" w:rsidRPr="00E266CD">
        <w:rPr>
          <w:rFonts w:ascii="Garamond" w:hAnsi="Garamond"/>
          <w:sz w:val="24"/>
        </w:rPr>
        <w:t>ër zbatimin e këtij vendimi</w:t>
      </w:r>
      <w:r w:rsidR="00F0607B" w:rsidRPr="00E266CD">
        <w:rPr>
          <w:rFonts w:ascii="Garamond" w:hAnsi="Garamond"/>
          <w:sz w:val="24"/>
        </w:rPr>
        <w:t>.</w:t>
      </w:r>
    </w:p>
    <w:p w14:paraId="07065D07" w14:textId="77777777" w:rsidR="006C302F" w:rsidRPr="00E266CD" w:rsidRDefault="006C302F" w:rsidP="00ED4E24">
      <w:pPr>
        <w:ind w:firstLine="284"/>
        <w:rPr>
          <w:rFonts w:ascii="Garamond" w:hAnsi="Garamond"/>
          <w:sz w:val="24"/>
        </w:rPr>
      </w:pPr>
      <w:r w:rsidRPr="00E266CD">
        <w:rPr>
          <w:rFonts w:ascii="Garamond" w:hAnsi="Garamond"/>
          <w:sz w:val="24"/>
        </w:rPr>
        <w:t xml:space="preserve">Ky vendim hyn në fuqi pas botimit në Fletoren </w:t>
      </w:r>
      <w:r w:rsidR="00ED4E24" w:rsidRPr="00E266CD">
        <w:rPr>
          <w:rFonts w:ascii="Garamond" w:hAnsi="Garamond"/>
          <w:sz w:val="24"/>
        </w:rPr>
        <w:t>Zyrtare</w:t>
      </w:r>
      <w:r w:rsidRPr="00E266CD">
        <w:rPr>
          <w:rFonts w:ascii="Garamond" w:hAnsi="Garamond"/>
          <w:sz w:val="24"/>
        </w:rPr>
        <w:t>.</w:t>
      </w:r>
    </w:p>
    <w:p w14:paraId="1A2B80DB" w14:textId="77777777" w:rsidR="006C302F" w:rsidRPr="00E266CD" w:rsidRDefault="006C302F" w:rsidP="00ED4E24">
      <w:pPr>
        <w:ind w:firstLine="284"/>
        <w:rPr>
          <w:rFonts w:ascii="Garamond" w:hAnsi="Garamond"/>
          <w:sz w:val="24"/>
        </w:rPr>
      </w:pPr>
    </w:p>
    <w:p w14:paraId="11FB0497" w14:textId="77777777" w:rsidR="00254183" w:rsidRPr="00E266CD" w:rsidRDefault="00254183" w:rsidP="00ED4E24">
      <w:pPr>
        <w:ind w:firstLine="284"/>
        <w:jc w:val="right"/>
        <w:rPr>
          <w:rFonts w:ascii="Garamond" w:hAnsi="Garamond"/>
          <w:sz w:val="24"/>
        </w:rPr>
      </w:pPr>
      <w:r w:rsidRPr="00E266CD">
        <w:rPr>
          <w:rFonts w:ascii="Garamond" w:hAnsi="Garamond"/>
          <w:sz w:val="24"/>
        </w:rPr>
        <w:t>ZËVENDËSKRYEMINIST</w:t>
      </w:r>
      <w:r w:rsidR="00ED4E24" w:rsidRPr="00E266CD">
        <w:rPr>
          <w:rFonts w:ascii="Garamond" w:hAnsi="Garamond"/>
          <w:sz w:val="24"/>
        </w:rPr>
        <w:t>Ë</w:t>
      </w:r>
      <w:r w:rsidRPr="00E266CD">
        <w:rPr>
          <w:rFonts w:ascii="Garamond" w:hAnsi="Garamond"/>
          <w:sz w:val="24"/>
        </w:rPr>
        <w:t>R</w:t>
      </w:r>
    </w:p>
    <w:p w14:paraId="65EBBCB7" w14:textId="77777777" w:rsidR="00254183" w:rsidRPr="00E266CD" w:rsidRDefault="00ED4E24" w:rsidP="00ED4E24">
      <w:pPr>
        <w:ind w:firstLine="284"/>
        <w:jc w:val="right"/>
        <w:rPr>
          <w:rFonts w:ascii="Garamond" w:hAnsi="Garamond"/>
          <w:b/>
          <w:sz w:val="24"/>
        </w:rPr>
      </w:pPr>
      <w:r w:rsidRPr="00E266CD">
        <w:rPr>
          <w:rFonts w:ascii="Garamond" w:hAnsi="Garamond"/>
          <w:b/>
          <w:sz w:val="24"/>
        </w:rPr>
        <w:t>Belinda Balluku</w:t>
      </w:r>
    </w:p>
    <w:p w14:paraId="1FB3AA99" w14:textId="77777777" w:rsidR="00667982" w:rsidRPr="00E266CD" w:rsidRDefault="00667982" w:rsidP="00ED4E24">
      <w:pPr>
        <w:ind w:firstLine="284"/>
        <w:rPr>
          <w:rFonts w:ascii="Garamond" w:hAnsi="Garamond"/>
          <w:sz w:val="24"/>
        </w:rPr>
      </w:pPr>
    </w:p>
    <w:p w14:paraId="4AA47B8F" w14:textId="7D71E23B" w:rsidR="007715D0" w:rsidRPr="00E266CD" w:rsidRDefault="005C6FDF" w:rsidP="005C6FDF">
      <w:pPr>
        <w:ind w:firstLine="284"/>
        <w:jc w:val="center"/>
        <w:rPr>
          <w:rFonts w:ascii="Garamond" w:hAnsi="Garamond"/>
          <w:b/>
          <w:sz w:val="24"/>
        </w:rPr>
      </w:pPr>
      <w:r w:rsidRPr="00E266CD">
        <w:rPr>
          <w:rFonts w:ascii="Garamond" w:hAnsi="Garamond"/>
          <w:b/>
          <w:sz w:val="24"/>
        </w:rPr>
        <w:t xml:space="preserve">STRATEGJIA KOMBËTARE </w:t>
      </w:r>
    </w:p>
    <w:p w14:paraId="2324FDD5" w14:textId="77777777" w:rsidR="005C6FDF" w:rsidRPr="00E266CD" w:rsidRDefault="005C6FDF" w:rsidP="005C6FDF">
      <w:pPr>
        <w:ind w:firstLine="284"/>
        <w:jc w:val="center"/>
        <w:rPr>
          <w:rFonts w:ascii="Garamond" w:hAnsi="Garamond"/>
          <w:sz w:val="24"/>
        </w:rPr>
      </w:pPr>
      <w:r w:rsidRPr="00E266CD">
        <w:rPr>
          <w:rFonts w:ascii="Garamond" w:hAnsi="Garamond"/>
          <w:sz w:val="24"/>
        </w:rPr>
        <w:t>PËR KËRKIMIN SHKENCOR, TEKNOLOGJINË DHE INOVACIONIN 2023</w:t>
      </w:r>
      <w:r w:rsidR="007715D0" w:rsidRPr="00E266CD">
        <w:rPr>
          <w:rFonts w:ascii="Garamond" w:hAnsi="Garamond"/>
          <w:sz w:val="24"/>
        </w:rPr>
        <w:t>–</w:t>
      </w:r>
      <w:r w:rsidRPr="00E266CD">
        <w:rPr>
          <w:rFonts w:ascii="Garamond" w:hAnsi="Garamond"/>
          <w:sz w:val="24"/>
        </w:rPr>
        <w:t>2030</w:t>
      </w:r>
    </w:p>
    <w:p w14:paraId="5D2AA8E6" w14:textId="77777777" w:rsidR="007F2CC2" w:rsidRDefault="007F2CC2" w:rsidP="007F2CC2">
      <w:pPr>
        <w:jc w:val="center"/>
        <w:textDirection w:val="btLr"/>
        <w:rPr>
          <w:rFonts w:ascii="Garamond" w:hAnsi="Garamond"/>
          <w:b/>
          <w:color w:val="000000" w:themeColor="text1"/>
          <w:sz w:val="24"/>
        </w:rPr>
      </w:pPr>
      <w:r w:rsidRPr="00E266CD">
        <w:rPr>
          <w:rFonts w:ascii="Garamond" w:hAnsi="Garamond"/>
          <w:b/>
          <w:color w:val="000000" w:themeColor="text1"/>
          <w:sz w:val="24"/>
        </w:rPr>
        <w:t>Tiranë, 2023</w:t>
      </w:r>
    </w:p>
    <w:p w14:paraId="0936BA2C" w14:textId="77777777" w:rsidR="00863C85" w:rsidRDefault="00863C85" w:rsidP="007F2CC2">
      <w:pPr>
        <w:jc w:val="center"/>
        <w:textDirection w:val="btLr"/>
        <w:rPr>
          <w:rFonts w:ascii="Garamond" w:hAnsi="Garamond"/>
          <w:b/>
          <w:color w:val="000000" w:themeColor="text1"/>
          <w:sz w:val="24"/>
        </w:rPr>
      </w:pPr>
    </w:p>
    <w:p w14:paraId="14614041" w14:textId="77777777" w:rsidR="00863C85" w:rsidRPr="00863C85" w:rsidRDefault="00863C85" w:rsidP="00863C85">
      <w:pPr>
        <w:jc w:val="left"/>
        <w:textDirection w:val="btLr"/>
        <w:rPr>
          <w:rFonts w:ascii="Garamond" w:hAnsi="Garamond"/>
          <w:color w:val="000000" w:themeColor="text1"/>
          <w:sz w:val="20"/>
        </w:rPr>
      </w:pPr>
      <w:r w:rsidRPr="00863C85">
        <w:rPr>
          <w:rFonts w:ascii="Garamond" w:hAnsi="Garamond"/>
          <w:color w:val="000000" w:themeColor="text1"/>
          <w:sz w:val="24"/>
        </w:rPr>
        <w:t>Përmbajtja</w:t>
      </w:r>
    </w:p>
    <w:p w14:paraId="489E5533" w14:textId="77777777" w:rsidR="007F2CC2" w:rsidRPr="00863C85" w:rsidRDefault="007F2CC2" w:rsidP="00863C85">
      <w:pPr>
        <w:ind w:firstLine="0"/>
        <w:rPr>
          <w:rFonts w:ascii="Garamond" w:hAnsi="Garamond"/>
          <w:sz w:val="2"/>
          <w:szCs w:val="24"/>
        </w:rPr>
      </w:pPr>
    </w:p>
    <w:p w14:paraId="7D37509A"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PJESA I: KONTEKSTI STRATEGJIK </w:t>
      </w:r>
    </w:p>
    <w:p w14:paraId="4E1C244C"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1. Përmbledhje dhe qëllimi i dokumentit strategjik </w:t>
      </w:r>
    </w:p>
    <w:p w14:paraId="28A9574B" w14:textId="1500E520" w:rsidR="00E609AA" w:rsidRPr="00E266CD" w:rsidRDefault="00E609AA" w:rsidP="00E609AA">
      <w:pPr>
        <w:ind w:firstLine="284"/>
        <w:rPr>
          <w:rFonts w:ascii="Garamond" w:hAnsi="Garamond"/>
          <w:sz w:val="24"/>
          <w:szCs w:val="24"/>
        </w:rPr>
      </w:pPr>
      <w:r w:rsidRPr="00E266CD">
        <w:rPr>
          <w:rFonts w:ascii="Garamond" w:hAnsi="Garamond"/>
          <w:sz w:val="24"/>
          <w:szCs w:val="24"/>
        </w:rPr>
        <w:t>Performanca e Shqipërisë në programet kombëtare dhe ndërkombëtare të kërkimit shkencor (veçanërisht në programin kuadër H2020)</w:t>
      </w:r>
    </w:p>
    <w:p w14:paraId="0386B05E" w14:textId="0DA5891E" w:rsidR="00E609AA" w:rsidRPr="00E266CD" w:rsidRDefault="00E609AA" w:rsidP="00E609AA">
      <w:pPr>
        <w:ind w:firstLine="284"/>
        <w:rPr>
          <w:rFonts w:ascii="Garamond" w:hAnsi="Garamond"/>
          <w:sz w:val="24"/>
          <w:szCs w:val="24"/>
        </w:rPr>
      </w:pPr>
      <w:r w:rsidRPr="00E266CD">
        <w:rPr>
          <w:rFonts w:ascii="Garamond" w:hAnsi="Garamond"/>
          <w:sz w:val="24"/>
          <w:szCs w:val="24"/>
        </w:rPr>
        <w:t>Raportet e Komisionit Evropian për vitin 2021</w:t>
      </w:r>
      <w:r w:rsidR="007715D0" w:rsidRPr="00E266CD">
        <w:rPr>
          <w:rFonts w:ascii="Garamond" w:hAnsi="Garamond"/>
          <w:b/>
          <w:sz w:val="24"/>
        </w:rPr>
        <w:t>–</w:t>
      </w:r>
      <w:r w:rsidR="007715D0" w:rsidRPr="00E266CD">
        <w:rPr>
          <w:rFonts w:ascii="Garamond" w:hAnsi="Garamond"/>
          <w:sz w:val="24"/>
          <w:szCs w:val="24"/>
        </w:rPr>
        <w:t>‘</w:t>
      </w:r>
      <w:r w:rsidRPr="00E266CD">
        <w:rPr>
          <w:rFonts w:ascii="Garamond" w:hAnsi="Garamond"/>
          <w:sz w:val="24"/>
          <w:szCs w:val="24"/>
        </w:rPr>
        <w:t>22</w:t>
      </w:r>
    </w:p>
    <w:p w14:paraId="6128AAA3" w14:textId="2289F9ED" w:rsidR="00E609AA" w:rsidRPr="00E266CD" w:rsidRDefault="00E609AA" w:rsidP="00E609AA">
      <w:pPr>
        <w:ind w:firstLine="284"/>
        <w:rPr>
          <w:rFonts w:ascii="Garamond" w:hAnsi="Garamond"/>
          <w:sz w:val="24"/>
          <w:szCs w:val="24"/>
        </w:rPr>
      </w:pPr>
      <w:r w:rsidRPr="00E266CD">
        <w:rPr>
          <w:rFonts w:ascii="Garamond" w:hAnsi="Garamond"/>
          <w:sz w:val="24"/>
          <w:szCs w:val="24"/>
        </w:rPr>
        <w:t>2. Korniza ligjore dhe institucionale, arritjet dhe mësimet e nxjerra</w:t>
      </w:r>
    </w:p>
    <w:p w14:paraId="70271AA9" w14:textId="2245AB27" w:rsidR="00E609AA" w:rsidRPr="00E266CD" w:rsidRDefault="00E609AA" w:rsidP="00E609AA">
      <w:pPr>
        <w:ind w:firstLine="284"/>
        <w:rPr>
          <w:rFonts w:ascii="Garamond" w:hAnsi="Garamond"/>
          <w:sz w:val="24"/>
          <w:szCs w:val="24"/>
        </w:rPr>
      </w:pPr>
      <w:r w:rsidRPr="00E266CD">
        <w:rPr>
          <w:rFonts w:ascii="Garamond" w:hAnsi="Garamond"/>
          <w:sz w:val="24"/>
          <w:szCs w:val="24"/>
        </w:rPr>
        <w:t>Lidhja me Strategjinë Kombëtare për Zhvillim dhe Integrim 2022</w:t>
      </w:r>
      <w:r w:rsidR="007715D0" w:rsidRPr="00E266CD">
        <w:rPr>
          <w:rFonts w:ascii="Garamond" w:hAnsi="Garamond"/>
          <w:b/>
          <w:sz w:val="24"/>
        </w:rPr>
        <w:t>–</w:t>
      </w:r>
      <w:r w:rsidRPr="00E266CD">
        <w:rPr>
          <w:rFonts w:ascii="Garamond" w:hAnsi="Garamond"/>
          <w:sz w:val="24"/>
          <w:szCs w:val="24"/>
        </w:rPr>
        <w:t xml:space="preserve">2030 (SKZHI III) </w:t>
      </w:r>
    </w:p>
    <w:p w14:paraId="2736B15E"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Lidhja me dokumente dhe strategji kombëtare </w:t>
      </w:r>
    </w:p>
    <w:p w14:paraId="783F333E" w14:textId="65C3B788" w:rsidR="00E609AA" w:rsidRPr="00E266CD" w:rsidRDefault="00E609AA" w:rsidP="00E609AA">
      <w:pPr>
        <w:ind w:firstLine="284"/>
        <w:rPr>
          <w:rFonts w:ascii="Garamond" w:hAnsi="Garamond"/>
          <w:sz w:val="24"/>
          <w:szCs w:val="24"/>
        </w:rPr>
      </w:pPr>
      <w:r w:rsidRPr="00E266CD">
        <w:rPr>
          <w:rFonts w:ascii="Garamond" w:hAnsi="Garamond"/>
          <w:sz w:val="24"/>
          <w:szCs w:val="24"/>
        </w:rPr>
        <w:t>- Strategjia e Arsimit 2021</w:t>
      </w:r>
      <w:r w:rsidR="007715D0" w:rsidRPr="00E266CD">
        <w:rPr>
          <w:rFonts w:ascii="Garamond" w:hAnsi="Garamond"/>
          <w:b/>
          <w:sz w:val="24"/>
        </w:rPr>
        <w:t>–</w:t>
      </w:r>
      <w:r w:rsidRPr="00E266CD">
        <w:rPr>
          <w:rFonts w:ascii="Garamond" w:hAnsi="Garamond"/>
          <w:sz w:val="24"/>
          <w:szCs w:val="24"/>
        </w:rPr>
        <w:t xml:space="preserve">2026 </w:t>
      </w:r>
    </w:p>
    <w:p w14:paraId="2B9DD865" w14:textId="2064B75F" w:rsidR="00E609AA" w:rsidRPr="00E266CD" w:rsidRDefault="00E609AA" w:rsidP="00E609AA">
      <w:pPr>
        <w:ind w:firstLine="284"/>
        <w:rPr>
          <w:rFonts w:ascii="Garamond" w:hAnsi="Garamond"/>
          <w:sz w:val="24"/>
          <w:szCs w:val="24"/>
        </w:rPr>
      </w:pPr>
      <w:r w:rsidRPr="00E266CD">
        <w:rPr>
          <w:rFonts w:ascii="Garamond" w:hAnsi="Garamond"/>
          <w:sz w:val="24"/>
          <w:szCs w:val="24"/>
        </w:rPr>
        <w:t>- Strategjia Kombëtare për Barazinë Gjinore 2021</w:t>
      </w:r>
      <w:r w:rsidR="007715D0" w:rsidRPr="00E266CD">
        <w:rPr>
          <w:rFonts w:ascii="Garamond" w:hAnsi="Garamond"/>
          <w:b/>
          <w:sz w:val="24"/>
        </w:rPr>
        <w:t>–</w:t>
      </w:r>
      <w:r w:rsidRPr="00E266CD">
        <w:rPr>
          <w:rFonts w:ascii="Garamond" w:hAnsi="Garamond"/>
          <w:sz w:val="24"/>
          <w:szCs w:val="24"/>
        </w:rPr>
        <w:t xml:space="preserve">2030 </w:t>
      </w:r>
    </w:p>
    <w:p w14:paraId="618372BB" w14:textId="52DB7E9E"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 Plani kombëtar për zhvillimin e qëndrueshëm të infrastrukturës digjitale </w:t>
      </w:r>
      <w:r w:rsidRPr="00E266CD">
        <w:rPr>
          <w:rFonts w:ascii="Garamond" w:hAnsi="Garamond"/>
          <w:i/>
          <w:sz w:val="24"/>
        </w:rPr>
        <w:t>broadband</w:t>
      </w:r>
      <w:r w:rsidRPr="00E266CD">
        <w:rPr>
          <w:rFonts w:ascii="Garamond" w:hAnsi="Garamond"/>
          <w:sz w:val="24"/>
          <w:szCs w:val="24"/>
        </w:rPr>
        <w:t xml:space="preserve"> 2020</w:t>
      </w:r>
      <w:r w:rsidR="007715D0" w:rsidRPr="00E266CD">
        <w:rPr>
          <w:rFonts w:ascii="Garamond" w:hAnsi="Garamond"/>
          <w:b/>
          <w:sz w:val="24"/>
        </w:rPr>
        <w:t>–</w:t>
      </w:r>
      <w:r w:rsidRPr="00E266CD">
        <w:rPr>
          <w:rFonts w:ascii="Garamond" w:hAnsi="Garamond"/>
          <w:sz w:val="24"/>
          <w:szCs w:val="24"/>
        </w:rPr>
        <w:t>2025, miratuar me vendimin nr. 434, datë 3.6.2020</w:t>
      </w:r>
      <w:r w:rsidR="007715D0" w:rsidRPr="00E266CD">
        <w:rPr>
          <w:rFonts w:ascii="Garamond" w:hAnsi="Garamond"/>
          <w:sz w:val="24"/>
          <w:szCs w:val="24"/>
        </w:rPr>
        <w:t>,</w:t>
      </w:r>
      <w:r w:rsidRPr="00E266CD">
        <w:rPr>
          <w:rFonts w:ascii="Garamond" w:hAnsi="Garamond"/>
          <w:sz w:val="24"/>
          <w:szCs w:val="24"/>
        </w:rPr>
        <w:t xml:space="preserve"> të Këshillit të Ministrave </w:t>
      </w:r>
    </w:p>
    <w:p w14:paraId="0AD55A2F" w14:textId="0A7E8BC7" w:rsidR="00E609AA" w:rsidRPr="00E266CD" w:rsidRDefault="00E609AA" w:rsidP="00E609AA">
      <w:pPr>
        <w:ind w:firstLine="284"/>
        <w:rPr>
          <w:rFonts w:ascii="Garamond" w:hAnsi="Garamond"/>
          <w:sz w:val="24"/>
          <w:szCs w:val="24"/>
        </w:rPr>
      </w:pPr>
      <w:r w:rsidRPr="00E266CD">
        <w:rPr>
          <w:rFonts w:ascii="Garamond" w:hAnsi="Garamond"/>
          <w:sz w:val="24"/>
          <w:szCs w:val="24"/>
        </w:rPr>
        <w:t>Lidhja me PKIE</w:t>
      </w:r>
      <w:r w:rsidR="007715D0" w:rsidRPr="00E266CD">
        <w:rPr>
          <w:rFonts w:ascii="Garamond" w:hAnsi="Garamond"/>
          <w:sz w:val="24"/>
          <w:szCs w:val="24"/>
        </w:rPr>
        <w:t>-n</w:t>
      </w:r>
      <w:r w:rsidRPr="00E266CD">
        <w:rPr>
          <w:rFonts w:ascii="Garamond" w:hAnsi="Garamond"/>
          <w:sz w:val="24"/>
          <w:szCs w:val="24"/>
        </w:rPr>
        <w:t xml:space="preserve"> &amp; </w:t>
      </w:r>
      <w:r w:rsidR="00927CD7" w:rsidRPr="00E266CD">
        <w:rPr>
          <w:rFonts w:ascii="Garamond" w:hAnsi="Garamond"/>
          <w:i/>
          <w:sz w:val="24"/>
        </w:rPr>
        <w:t>acquis</w:t>
      </w:r>
      <w:r w:rsidR="00927CD7" w:rsidRPr="00E266CD">
        <w:rPr>
          <w:rFonts w:ascii="Garamond" w:hAnsi="Garamond"/>
          <w:sz w:val="24"/>
          <w:szCs w:val="24"/>
        </w:rPr>
        <w:t xml:space="preserve"> </w:t>
      </w:r>
      <w:r w:rsidRPr="00E266CD">
        <w:rPr>
          <w:rFonts w:ascii="Garamond" w:hAnsi="Garamond"/>
          <w:sz w:val="24"/>
          <w:szCs w:val="24"/>
        </w:rPr>
        <w:t>të BE-së</w:t>
      </w:r>
    </w:p>
    <w:p w14:paraId="35F18648"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Lidhja me Objektivat e Zhvillimit të Qëndrueshëm (OZHQ) </w:t>
      </w:r>
    </w:p>
    <w:p w14:paraId="0DB93D65"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Lidhja me angazhime/marrëveshje të tjera ndërkombëtare </w:t>
      </w:r>
    </w:p>
    <w:p w14:paraId="1674F8E0" w14:textId="01EBB5E0" w:rsidR="00E609AA" w:rsidRPr="00E266CD" w:rsidRDefault="00E609AA" w:rsidP="00E609AA">
      <w:pPr>
        <w:ind w:firstLine="284"/>
        <w:rPr>
          <w:rFonts w:ascii="Garamond" w:hAnsi="Garamond"/>
          <w:sz w:val="24"/>
          <w:szCs w:val="24"/>
        </w:rPr>
      </w:pPr>
      <w:r w:rsidRPr="00E266CD">
        <w:rPr>
          <w:rFonts w:ascii="Garamond" w:hAnsi="Garamond"/>
          <w:sz w:val="24"/>
          <w:szCs w:val="24"/>
        </w:rPr>
        <w:t>PJESA II – QËLLIMET E POLITIKAVE DHE OBJEKTIVAT SPECIFIKË TË SKKSHTI 2023</w:t>
      </w:r>
      <w:r w:rsidR="007715D0" w:rsidRPr="00E266CD">
        <w:rPr>
          <w:rFonts w:ascii="Garamond" w:hAnsi="Garamond"/>
          <w:b/>
          <w:sz w:val="24"/>
        </w:rPr>
        <w:t>–</w:t>
      </w:r>
      <w:r w:rsidRPr="00E266CD">
        <w:rPr>
          <w:rFonts w:ascii="Garamond" w:hAnsi="Garamond"/>
          <w:sz w:val="24"/>
          <w:szCs w:val="24"/>
        </w:rPr>
        <w:t xml:space="preserve">2030 </w:t>
      </w:r>
    </w:p>
    <w:p w14:paraId="207C7129" w14:textId="6F7D49CD" w:rsidR="00E609AA" w:rsidRPr="00E266CD" w:rsidRDefault="00E609AA" w:rsidP="00E609AA">
      <w:pPr>
        <w:ind w:firstLine="284"/>
        <w:rPr>
          <w:rFonts w:ascii="Garamond" w:hAnsi="Garamond"/>
          <w:sz w:val="24"/>
          <w:szCs w:val="24"/>
        </w:rPr>
      </w:pPr>
      <w:r w:rsidRPr="00E266CD">
        <w:rPr>
          <w:rFonts w:ascii="Garamond" w:hAnsi="Garamond"/>
          <w:sz w:val="24"/>
          <w:szCs w:val="24"/>
        </w:rPr>
        <w:t>Objektivat specifik</w:t>
      </w:r>
      <w:r w:rsidR="00EB1BF5">
        <w:rPr>
          <w:rFonts w:ascii="Garamond" w:hAnsi="Garamond"/>
          <w:sz w:val="24"/>
          <w:szCs w:val="24"/>
        </w:rPr>
        <w:t>ë</w:t>
      </w:r>
      <w:r w:rsidRPr="00E266CD">
        <w:rPr>
          <w:rFonts w:ascii="Garamond" w:hAnsi="Garamond"/>
          <w:sz w:val="24"/>
          <w:szCs w:val="24"/>
        </w:rPr>
        <w:t>:</w:t>
      </w:r>
    </w:p>
    <w:p w14:paraId="610DE5D1" w14:textId="42AE5DB8"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rejtuese</w:t>
      </w:r>
    </w:p>
    <w:p w14:paraId="6D367E68" w14:textId="6FF2DD51"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-Institucioni </w:t>
      </w:r>
      <w:r w:rsidR="007715D0" w:rsidRPr="00E266CD">
        <w:rPr>
          <w:rFonts w:ascii="Garamond" w:hAnsi="Garamond"/>
          <w:sz w:val="24"/>
          <w:szCs w:val="24"/>
        </w:rPr>
        <w:t>p</w:t>
      </w:r>
      <w:r w:rsidRPr="00E266CD">
        <w:rPr>
          <w:rFonts w:ascii="Garamond" w:hAnsi="Garamond"/>
          <w:sz w:val="24"/>
          <w:szCs w:val="24"/>
        </w:rPr>
        <w:t>jesëmarrës</w:t>
      </w:r>
    </w:p>
    <w:p w14:paraId="5E9C42CE"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Lidhja midis qëllimit të politikës dhe Objektivave të Zhvillimit të Qëndrueshëm (OZHQ) 34</w:t>
      </w:r>
    </w:p>
    <w:p w14:paraId="2BBBCFC0"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Objektivi Specifik 1.1: Plotësimi dhe zbatimi i kuadrit ligjor dhe rregullator për të garantuar cilësinë, etikën dhe efektivitetin në zhvillimin dhe aplikimin e kërkimit në përputhje me fushat prioritare </w:t>
      </w:r>
    </w:p>
    <w:p w14:paraId="5F1DB657"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Analiza e Situatës dhe Sfidat </w:t>
      </w:r>
    </w:p>
    <w:p w14:paraId="11E90D49"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lastRenderedPageBreak/>
        <w:t>Rezultatet që pritet të arrihen përmes zbatimit të masave që lidhen me objektivin specifik.</w:t>
      </w:r>
    </w:p>
    <w:p w14:paraId="34AF6FA7" w14:textId="53214CB5"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 xml:space="preserve">rejtuese </w:t>
      </w:r>
    </w:p>
    <w:p w14:paraId="495B341B" w14:textId="04A7DA52"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p</w:t>
      </w:r>
      <w:r w:rsidRPr="00E266CD">
        <w:rPr>
          <w:rFonts w:ascii="Garamond" w:hAnsi="Garamond"/>
          <w:sz w:val="24"/>
          <w:szCs w:val="24"/>
        </w:rPr>
        <w:t>jesëmarrës</w:t>
      </w:r>
      <w:r w:rsidR="00D52E02">
        <w:rPr>
          <w:rFonts w:ascii="Garamond" w:hAnsi="Garamond"/>
          <w:sz w:val="24"/>
          <w:szCs w:val="24"/>
        </w:rPr>
        <w:t>e</w:t>
      </w:r>
      <w:r w:rsidRPr="00E266CD">
        <w:rPr>
          <w:rFonts w:ascii="Garamond" w:hAnsi="Garamond"/>
          <w:sz w:val="24"/>
          <w:szCs w:val="24"/>
        </w:rPr>
        <w:t xml:space="preserve"> </w:t>
      </w:r>
    </w:p>
    <w:p w14:paraId="4AEAD2DD" w14:textId="6998B239"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2DA84712" w14:textId="07B0525D"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 xml:space="preserve">objektivit specifik </w:t>
      </w:r>
      <w:r w:rsidRPr="00E266CD">
        <w:rPr>
          <w:rFonts w:ascii="Garamond" w:hAnsi="Garamond"/>
          <w:sz w:val="24"/>
          <w:szCs w:val="24"/>
        </w:rPr>
        <w:t>1.1</w:t>
      </w:r>
    </w:p>
    <w:p w14:paraId="2BBB4EC3" w14:textId="14235EF8"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4BC964C8" w14:textId="2BFF14BB"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1.2: Zhvillimi i kapaciteteve njerëzore dhe infrastrukturës mbështetëse</w:t>
      </w:r>
      <w:r w:rsidR="007715D0" w:rsidRPr="00E266CD">
        <w:rPr>
          <w:rFonts w:ascii="Garamond" w:hAnsi="Garamond"/>
          <w:sz w:val="24"/>
          <w:szCs w:val="24"/>
        </w:rPr>
        <w:t xml:space="preserve"> </w:t>
      </w:r>
      <w:r w:rsidRPr="00E266CD">
        <w:rPr>
          <w:rFonts w:ascii="Garamond" w:hAnsi="Garamond"/>
          <w:sz w:val="24"/>
          <w:szCs w:val="24"/>
        </w:rPr>
        <w:t>të kërkimit shkencor (infrastrukturës akademike) për rritjen e performancës në programet kombëtare dhe ndërkombëtare</w:t>
      </w:r>
    </w:p>
    <w:p w14:paraId="082C339D" w14:textId="73CB0C18"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22C4B12E" w14:textId="4F9BDD78"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6ECDEC74" w14:textId="7F1C5E22"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rejtuese</w:t>
      </w:r>
    </w:p>
    <w:p w14:paraId="6CF50790" w14:textId="7DA3855A"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p</w:t>
      </w:r>
      <w:r w:rsidRPr="00E266CD">
        <w:rPr>
          <w:rFonts w:ascii="Garamond" w:hAnsi="Garamond"/>
          <w:sz w:val="24"/>
          <w:szCs w:val="24"/>
        </w:rPr>
        <w:t>jesëmarrëse</w:t>
      </w:r>
    </w:p>
    <w:p w14:paraId="0F300F09" w14:textId="65E4C61B"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41BD7927" w14:textId="652E4E3D"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objektivit sp</w:t>
      </w:r>
      <w:r w:rsidRPr="00E266CD">
        <w:rPr>
          <w:rFonts w:ascii="Garamond" w:hAnsi="Garamond"/>
          <w:sz w:val="24"/>
          <w:szCs w:val="24"/>
        </w:rPr>
        <w:t xml:space="preserve">ecifik 1.2 </w:t>
      </w:r>
    </w:p>
    <w:p w14:paraId="1CDD9F71" w14:textId="1490E170"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7D3A7675"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Objektivi Specifik 1.3: Përmirësimi i mbledhjes, përpunimit, interpretimit dhe publikimi i treguesve statistikorë dhe të tjerë të kërkimit, zhvillimit të teknologjisë dhe inovacionit </w:t>
      </w:r>
    </w:p>
    <w:p w14:paraId="46DF607D" w14:textId="1525412F"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02856A2A" w14:textId="4B13AF1E"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53467D10" w14:textId="0E198FC0"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rejtuese</w:t>
      </w:r>
    </w:p>
    <w:p w14:paraId="5238A44F" w14:textId="05AC77C5"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p</w:t>
      </w:r>
      <w:r w:rsidRPr="00E266CD">
        <w:rPr>
          <w:rFonts w:ascii="Garamond" w:hAnsi="Garamond"/>
          <w:sz w:val="24"/>
          <w:szCs w:val="24"/>
        </w:rPr>
        <w:t xml:space="preserve">jesëmarrëse </w:t>
      </w:r>
    </w:p>
    <w:p w14:paraId="62043ED8" w14:textId="0ECEE7F6"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57EBBDA2" w14:textId="4D49657E"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 xml:space="preserve">objektivit specifik </w:t>
      </w:r>
      <w:r w:rsidRPr="00E266CD">
        <w:rPr>
          <w:rFonts w:ascii="Garamond" w:hAnsi="Garamond"/>
          <w:sz w:val="24"/>
          <w:szCs w:val="24"/>
        </w:rPr>
        <w:t>1.3</w:t>
      </w:r>
    </w:p>
    <w:p w14:paraId="09D6CF8A" w14:textId="1466FE4B"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10E492E3" w14:textId="4E3651B2" w:rsidR="00E609AA" w:rsidRPr="00E266CD" w:rsidRDefault="00E609AA" w:rsidP="00E609AA">
      <w:pPr>
        <w:ind w:firstLine="284"/>
        <w:rPr>
          <w:rFonts w:ascii="Garamond" w:hAnsi="Garamond"/>
          <w:sz w:val="24"/>
          <w:szCs w:val="24"/>
        </w:rPr>
      </w:pPr>
      <w:r w:rsidRPr="00E266CD">
        <w:rPr>
          <w:rFonts w:ascii="Garamond" w:hAnsi="Garamond"/>
          <w:sz w:val="24"/>
          <w:szCs w:val="24"/>
        </w:rPr>
        <w:t>Qëllimi i Politikës 2:</w:t>
      </w:r>
    </w:p>
    <w:p w14:paraId="2BE3D952" w14:textId="48D801C4" w:rsidR="00E609AA" w:rsidRPr="00E266CD" w:rsidRDefault="00E609AA" w:rsidP="00E609AA">
      <w:pPr>
        <w:ind w:firstLine="284"/>
        <w:rPr>
          <w:rFonts w:ascii="Garamond" w:hAnsi="Garamond"/>
          <w:sz w:val="24"/>
          <w:szCs w:val="24"/>
        </w:rPr>
      </w:pPr>
      <w:r w:rsidRPr="00E266CD">
        <w:rPr>
          <w:rFonts w:ascii="Garamond" w:hAnsi="Garamond"/>
          <w:sz w:val="24"/>
          <w:szCs w:val="24"/>
        </w:rPr>
        <w:t>Qëllimi i Politikës 2: Krijimi i një mjedisi që lehtëson dhe inkurajon mekanizmat e ndërveprimit dhe transferimit të teknologjive për bashkëpunim midis komunitetit të kërkimit, ekonomisë,</w:t>
      </w:r>
      <w:r w:rsidR="007715D0" w:rsidRPr="00E266CD">
        <w:rPr>
          <w:rFonts w:ascii="Garamond" w:hAnsi="Garamond"/>
          <w:sz w:val="24"/>
          <w:szCs w:val="24"/>
        </w:rPr>
        <w:t xml:space="preserve"> </w:t>
      </w:r>
      <w:r w:rsidRPr="00E266CD">
        <w:rPr>
          <w:rFonts w:ascii="Garamond" w:hAnsi="Garamond"/>
          <w:sz w:val="24"/>
          <w:szCs w:val="24"/>
        </w:rPr>
        <w:t>inovacionit dhe institucioneve publike</w:t>
      </w:r>
    </w:p>
    <w:p w14:paraId="5F14E3DF" w14:textId="21C89E36"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2.1: Rritja e bashkëpunimit ndërmjet Institucioneve të Arsimit të Lartë, institucioneve të pushtetit qendror dhe pushtetit vendor, sektorit të biznesit dhe shoqërisë civile nëpërmjet zgjerimit të kërkimit dhe zhvillimit të projekteve të përbashkëta (</w:t>
      </w:r>
      <w:r w:rsidRPr="00E266CD">
        <w:rPr>
          <w:rFonts w:ascii="Garamond" w:hAnsi="Garamond"/>
          <w:i/>
          <w:sz w:val="24"/>
        </w:rPr>
        <w:t>Quadruple Helix Model</w:t>
      </w:r>
      <w:r w:rsidRPr="00E266CD">
        <w:rPr>
          <w:rFonts w:ascii="Garamond" w:hAnsi="Garamond"/>
          <w:sz w:val="24"/>
          <w:szCs w:val="24"/>
        </w:rPr>
        <w:t xml:space="preserve">) </w:t>
      </w:r>
    </w:p>
    <w:p w14:paraId="3F76CDFC" w14:textId="286A4793"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4BC90C92" w14:textId="4ADFE7EB"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7AF41693" w14:textId="0C436DFE"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rejtuese</w:t>
      </w:r>
    </w:p>
    <w:p w14:paraId="011307EE" w14:textId="43DE81ED"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p</w:t>
      </w:r>
      <w:r w:rsidRPr="00E266CD">
        <w:rPr>
          <w:rFonts w:ascii="Garamond" w:hAnsi="Garamond"/>
          <w:sz w:val="24"/>
          <w:szCs w:val="24"/>
        </w:rPr>
        <w:t>jesëmarrëse</w:t>
      </w:r>
    </w:p>
    <w:p w14:paraId="5223F91F" w14:textId="42BA2C05"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4918F4ED" w14:textId="746DDFAC"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 xml:space="preserve">objektivit specifik </w:t>
      </w:r>
      <w:r w:rsidRPr="00E266CD">
        <w:rPr>
          <w:rFonts w:ascii="Garamond" w:hAnsi="Garamond"/>
          <w:sz w:val="24"/>
          <w:szCs w:val="24"/>
        </w:rPr>
        <w:t xml:space="preserve">2.1 </w:t>
      </w:r>
    </w:p>
    <w:p w14:paraId="5D790528"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Treguesit kryesorë të rezultateve </w:t>
      </w:r>
    </w:p>
    <w:p w14:paraId="06C7C04D"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Objektivi Specifik 2.2: Përmirësimi i mekanizmave dhe rritja e mbështetjes së transferimit ndërkombëtar të teknologjisë (TNT). </w:t>
      </w:r>
    </w:p>
    <w:p w14:paraId="38290B9C"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Analiza e Situatës dhe Sfidat </w:t>
      </w:r>
    </w:p>
    <w:p w14:paraId="19AF3E02"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Rezultatet që pritet të arrihen përmes zbatimit të masave që lidhen me objektivin specifik. </w:t>
      </w:r>
    </w:p>
    <w:p w14:paraId="72EAA080" w14:textId="1BC33EBE"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Institucionet </w:t>
      </w:r>
      <w:r w:rsidR="007715D0" w:rsidRPr="00E266CD">
        <w:rPr>
          <w:rFonts w:ascii="Garamond" w:hAnsi="Garamond"/>
          <w:sz w:val="24"/>
          <w:szCs w:val="24"/>
        </w:rPr>
        <w:t>d</w:t>
      </w:r>
      <w:r w:rsidRPr="00E266CD">
        <w:rPr>
          <w:rFonts w:ascii="Garamond" w:hAnsi="Garamond"/>
          <w:sz w:val="24"/>
          <w:szCs w:val="24"/>
        </w:rPr>
        <w:t>rejtuese</w:t>
      </w:r>
    </w:p>
    <w:p w14:paraId="2E1C3D2C" w14:textId="04AF0015"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0C637F67" w14:textId="0C3BACCF"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 xml:space="preserve">objektivit specifik </w:t>
      </w:r>
      <w:r w:rsidRPr="00E266CD">
        <w:rPr>
          <w:rFonts w:ascii="Garamond" w:hAnsi="Garamond"/>
          <w:sz w:val="24"/>
          <w:szCs w:val="24"/>
        </w:rPr>
        <w:t>2.2</w:t>
      </w:r>
    </w:p>
    <w:p w14:paraId="601B51A8" w14:textId="77777777"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Objektivi Specifik 2.3: Rritja e rolit të shkencës dhe inovacionit në zhvillimin teknologjik </w:t>
      </w:r>
    </w:p>
    <w:p w14:paraId="13187F90" w14:textId="27EEAF52"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2DE26F83" w14:textId="50BFB3E9"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62DCB0E8" w14:textId="6565CF74" w:rsidR="00E609AA" w:rsidRPr="00E266CD" w:rsidRDefault="00E609AA" w:rsidP="00E609AA">
      <w:pPr>
        <w:ind w:firstLine="284"/>
        <w:rPr>
          <w:rFonts w:ascii="Garamond" w:hAnsi="Garamond"/>
          <w:sz w:val="24"/>
          <w:szCs w:val="24"/>
        </w:rPr>
      </w:pPr>
      <w:r w:rsidRPr="00E266CD">
        <w:rPr>
          <w:rFonts w:ascii="Garamond" w:hAnsi="Garamond"/>
          <w:sz w:val="24"/>
          <w:szCs w:val="24"/>
        </w:rPr>
        <w:t>Institucionet përgjegjëse drejtuese</w:t>
      </w:r>
    </w:p>
    <w:p w14:paraId="477B9696" w14:textId="0DD47EDE" w:rsidR="00E609AA" w:rsidRPr="00E266CD" w:rsidRDefault="00E609AA" w:rsidP="00E609AA">
      <w:pPr>
        <w:ind w:firstLine="284"/>
        <w:rPr>
          <w:rFonts w:ascii="Garamond" w:hAnsi="Garamond"/>
          <w:sz w:val="24"/>
          <w:szCs w:val="24"/>
        </w:rPr>
      </w:pPr>
      <w:r w:rsidRPr="00E266CD">
        <w:rPr>
          <w:rFonts w:ascii="Garamond" w:hAnsi="Garamond"/>
          <w:sz w:val="24"/>
          <w:szCs w:val="24"/>
        </w:rPr>
        <w:t>Institucionet kryesore pjesëmarrëse</w:t>
      </w:r>
    </w:p>
    <w:p w14:paraId="6B4CDE51" w14:textId="0A1AE97E" w:rsidR="00E609AA" w:rsidRPr="00E266CD" w:rsidRDefault="00E609AA" w:rsidP="00E609AA">
      <w:pPr>
        <w:ind w:firstLine="284"/>
        <w:rPr>
          <w:rFonts w:ascii="Garamond" w:hAnsi="Garamond"/>
          <w:sz w:val="24"/>
          <w:szCs w:val="24"/>
        </w:rPr>
      </w:pPr>
      <w:r w:rsidRPr="00E266CD">
        <w:rPr>
          <w:rFonts w:ascii="Garamond" w:hAnsi="Garamond"/>
          <w:sz w:val="24"/>
          <w:szCs w:val="24"/>
        </w:rPr>
        <w:lastRenderedPageBreak/>
        <w:t>Lidhja e objektivit specifik me nënkapitullin përkatës të BE-së sipas MSA-së</w:t>
      </w:r>
    </w:p>
    <w:p w14:paraId="7EF9C3DB" w14:textId="6EA49646"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objektivit sp</w:t>
      </w:r>
      <w:r w:rsidRPr="00E266CD">
        <w:rPr>
          <w:rFonts w:ascii="Garamond" w:hAnsi="Garamond"/>
          <w:sz w:val="24"/>
          <w:szCs w:val="24"/>
        </w:rPr>
        <w:t>ecifik 2.3</w:t>
      </w:r>
    </w:p>
    <w:p w14:paraId="4EDBA144" w14:textId="4AD06F8A"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5AC69F85" w14:textId="3953EF81"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2.4: Fuqizimi dhe rritja e kapaciteteve të qendrave të transferimit të teknologjisë për të avancuar njohuritë në një fushë të caktuar ose për të zhvilluar më tej teknologjinë</w:t>
      </w:r>
    </w:p>
    <w:p w14:paraId="10E287C9" w14:textId="6417F0B1"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5D7FF505" w14:textId="76AAC616"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10E7BA34" w14:textId="107E25E4" w:rsidR="00E609AA" w:rsidRPr="00E266CD" w:rsidRDefault="00E609AA" w:rsidP="00E609AA">
      <w:pPr>
        <w:ind w:firstLine="284"/>
        <w:rPr>
          <w:rFonts w:ascii="Garamond" w:hAnsi="Garamond"/>
          <w:sz w:val="24"/>
          <w:szCs w:val="24"/>
        </w:rPr>
      </w:pPr>
      <w:r w:rsidRPr="00E266CD">
        <w:rPr>
          <w:rFonts w:ascii="Garamond" w:hAnsi="Garamond"/>
          <w:sz w:val="24"/>
          <w:szCs w:val="24"/>
        </w:rPr>
        <w:t>Institucionet përgjegjëse drejtuese</w:t>
      </w:r>
    </w:p>
    <w:p w14:paraId="24DF1A42" w14:textId="528064E2" w:rsidR="00E609AA" w:rsidRPr="00E266CD" w:rsidRDefault="00E609AA" w:rsidP="00E609AA">
      <w:pPr>
        <w:ind w:firstLine="284"/>
        <w:rPr>
          <w:rFonts w:ascii="Garamond" w:hAnsi="Garamond"/>
          <w:sz w:val="24"/>
          <w:szCs w:val="24"/>
        </w:rPr>
      </w:pPr>
      <w:r w:rsidRPr="00E266CD">
        <w:rPr>
          <w:rFonts w:ascii="Garamond" w:hAnsi="Garamond"/>
          <w:sz w:val="24"/>
          <w:szCs w:val="24"/>
        </w:rPr>
        <w:t>Institucionet kryesore pjesëmarrëse</w:t>
      </w:r>
    </w:p>
    <w:p w14:paraId="1DFF26C0" w14:textId="6BC7F285"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607E663F" w14:textId="43AEEEFF"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objektivit s</w:t>
      </w:r>
      <w:r w:rsidRPr="00E266CD">
        <w:rPr>
          <w:rFonts w:ascii="Garamond" w:hAnsi="Garamond"/>
          <w:sz w:val="24"/>
          <w:szCs w:val="24"/>
        </w:rPr>
        <w:t>pecifik 2.4</w:t>
      </w:r>
    </w:p>
    <w:p w14:paraId="6C255833" w14:textId="2071ED59"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6FB58A25" w14:textId="4DAB334B" w:rsidR="00E609AA" w:rsidRPr="00E266CD" w:rsidRDefault="00E609AA" w:rsidP="00E609AA">
      <w:pPr>
        <w:ind w:firstLine="284"/>
        <w:rPr>
          <w:rFonts w:ascii="Garamond" w:hAnsi="Garamond"/>
          <w:sz w:val="24"/>
          <w:szCs w:val="24"/>
        </w:rPr>
      </w:pPr>
      <w:r w:rsidRPr="00E266CD">
        <w:rPr>
          <w:rFonts w:ascii="Garamond" w:hAnsi="Garamond"/>
          <w:sz w:val="24"/>
          <w:szCs w:val="24"/>
        </w:rPr>
        <w:t>Qëllimi i Politikës 3</w:t>
      </w:r>
    </w:p>
    <w:p w14:paraId="2281A3C1" w14:textId="71D9B458" w:rsidR="00E609AA" w:rsidRPr="00E266CD" w:rsidRDefault="00E609AA" w:rsidP="00E609AA">
      <w:pPr>
        <w:ind w:firstLine="284"/>
        <w:rPr>
          <w:rFonts w:ascii="Garamond" w:hAnsi="Garamond"/>
          <w:sz w:val="24"/>
          <w:szCs w:val="24"/>
        </w:rPr>
      </w:pPr>
      <w:r w:rsidRPr="00E266CD">
        <w:rPr>
          <w:rFonts w:ascii="Garamond" w:hAnsi="Garamond"/>
          <w:sz w:val="24"/>
          <w:szCs w:val="24"/>
        </w:rPr>
        <w:t>Qëllimi i Politikës 3: Promovimi i kulturës së shkencës dhe inovacionit në edukim për të siguruar një qasje didaktike me theksin në praktikat kërkimore dhe projektet</w:t>
      </w:r>
    </w:p>
    <w:p w14:paraId="6273F5C2" w14:textId="3FA617E0"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3.1: Reformimi i kurrikulës së shkencës në arsimin parauniversitar duke përfshirë STEM në edukim</w:t>
      </w:r>
    </w:p>
    <w:p w14:paraId="15A7FABB" w14:textId="61EEB20E"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684A96F2" w14:textId="18B08479" w:rsidR="00E609AA" w:rsidRPr="00E266CD" w:rsidRDefault="00E609AA" w:rsidP="00E609AA">
      <w:pPr>
        <w:ind w:firstLine="284"/>
        <w:rPr>
          <w:rFonts w:ascii="Garamond" w:hAnsi="Garamond"/>
          <w:sz w:val="24"/>
          <w:szCs w:val="24"/>
        </w:rPr>
      </w:pPr>
      <w:r w:rsidRPr="00E266CD">
        <w:rPr>
          <w:rFonts w:ascii="Garamond" w:hAnsi="Garamond"/>
          <w:sz w:val="24"/>
          <w:szCs w:val="24"/>
        </w:rPr>
        <w:t>Rezultatet që pritet të arrihen përmes zbatimit të masave që lidhen me objektivin specifik</w:t>
      </w:r>
    </w:p>
    <w:p w14:paraId="108DB8E7" w14:textId="46D6CC21" w:rsidR="00E609AA" w:rsidRPr="00E266CD" w:rsidRDefault="00E609AA" w:rsidP="00E609AA">
      <w:pPr>
        <w:ind w:firstLine="284"/>
        <w:rPr>
          <w:rFonts w:ascii="Garamond" w:hAnsi="Garamond"/>
          <w:sz w:val="24"/>
          <w:szCs w:val="24"/>
        </w:rPr>
      </w:pPr>
      <w:r w:rsidRPr="00E266CD">
        <w:rPr>
          <w:rFonts w:ascii="Garamond" w:hAnsi="Garamond"/>
          <w:sz w:val="24"/>
          <w:szCs w:val="24"/>
        </w:rPr>
        <w:t>Institucionet përgjegjëse drejtuese</w:t>
      </w:r>
    </w:p>
    <w:p w14:paraId="27FB3A7B" w14:textId="3961F457" w:rsidR="00E609AA" w:rsidRPr="00E266CD" w:rsidRDefault="00E609AA" w:rsidP="00E609AA">
      <w:pPr>
        <w:ind w:firstLine="284"/>
        <w:rPr>
          <w:rFonts w:ascii="Garamond" w:hAnsi="Garamond"/>
          <w:sz w:val="24"/>
          <w:szCs w:val="24"/>
        </w:rPr>
      </w:pPr>
      <w:r w:rsidRPr="00E266CD">
        <w:rPr>
          <w:rFonts w:ascii="Garamond" w:hAnsi="Garamond"/>
          <w:sz w:val="24"/>
          <w:szCs w:val="24"/>
        </w:rPr>
        <w:t>Institucionet kryesore pjesëmarrëse</w:t>
      </w:r>
    </w:p>
    <w:p w14:paraId="6BFF3BE0" w14:textId="1CB8B49B" w:rsidR="00E609AA" w:rsidRPr="00E266CD" w:rsidRDefault="00E609AA" w:rsidP="00E609AA">
      <w:pPr>
        <w:ind w:firstLine="284"/>
        <w:rPr>
          <w:rFonts w:ascii="Garamond" w:hAnsi="Garamond"/>
          <w:sz w:val="24"/>
          <w:szCs w:val="24"/>
        </w:rPr>
      </w:pPr>
      <w:r w:rsidRPr="00E266CD">
        <w:rPr>
          <w:rFonts w:ascii="Garamond" w:hAnsi="Garamond"/>
          <w:sz w:val="24"/>
          <w:szCs w:val="24"/>
        </w:rPr>
        <w:t>Lidhja e objektivit specifik me nënkapitullin përkatës të BE-së sipas MSA-së</w:t>
      </w:r>
    </w:p>
    <w:p w14:paraId="39A8ED3F" w14:textId="20604F84"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Lista e masave për arritjen e </w:t>
      </w:r>
      <w:r w:rsidR="007171BF" w:rsidRPr="00E266CD">
        <w:rPr>
          <w:rFonts w:ascii="Garamond" w:hAnsi="Garamond"/>
          <w:sz w:val="24"/>
          <w:szCs w:val="24"/>
        </w:rPr>
        <w:t xml:space="preserve">objektivit specifik </w:t>
      </w:r>
      <w:r w:rsidRPr="00E266CD">
        <w:rPr>
          <w:rFonts w:ascii="Garamond" w:hAnsi="Garamond"/>
          <w:sz w:val="24"/>
          <w:szCs w:val="24"/>
        </w:rPr>
        <w:t>3.1</w:t>
      </w:r>
    </w:p>
    <w:p w14:paraId="20A260E1" w14:textId="040CE9A6" w:rsidR="00E609AA" w:rsidRPr="00E266CD" w:rsidRDefault="00E609AA" w:rsidP="00E609AA">
      <w:pPr>
        <w:ind w:firstLine="284"/>
        <w:rPr>
          <w:rFonts w:ascii="Garamond" w:hAnsi="Garamond"/>
          <w:sz w:val="24"/>
          <w:szCs w:val="24"/>
        </w:rPr>
      </w:pPr>
      <w:r w:rsidRPr="00E266CD">
        <w:rPr>
          <w:rFonts w:ascii="Garamond" w:hAnsi="Garamond"/>
          <w:sz w:val="24"/>
          <w:szCs w:val="24"/>
        </w:rPr>
        <w:t>Treguesit kryesorë të rezultateve</w:t>
      </w:r>
    </w:p>
    <w:p w14:paraId="106B6D29" w14:textId="1ABF4BD4"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3.2: Sensibilizimi në të gjitha nivelet e edukimit parauniversitar, për fuqizimin e rolit të të rinjve në kërkim dhe inovacion</w:t>
      </w:r>
    </w:p>
    <w:p w14:paraId="04477412" w14:textId="37CCC2E2"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443C9687" w14:textId="1FD98430" w:rsidR="00E609AA" w:rsidRPr="00E266CD" w:rsidRDefault="00E609AA" w:rsidP="00E609AA">
      <w:pPr>
        <w:ind w:firstLine="284"/>
        <w:rPr>
          <w:rFonts w:ascii="Garamond" w:hAnsi="Garamond"/>
          <w:sz w:val="24"/>
          <w:szCs w:val="24"/>
        </w:rPr>
      </w:pPr>
      <w:r w:rsidRPr="00E266CD">
        <w:rPr>
          <w:rFonts w:ascii="Garamond" w:hAnsi="Garamond"/>
          <w:sz w:val="24"/>
          <w:szCs w:val="24"/>
        </w:rPr>
        <w:t>Objektivi Specifik 3.3: Zhvillimi i kompetencës digjitale</w:t>
      </w:r>
    </w:p>
    <w:p w14:paraId="63679787" w14:textId="76B0DFE1" w:rsidR="00E609AA" w:rsidRPr="00E266CD" w:rsidRDefault="00E609AA" w:rsidP="00E609AA">
      <w:pPr>
        <w:ind w:firstLine="284"/>
        <w:rPr>
          <w:rFonts w:ascii="Garamond" w:hAnsi="Garamond"/>
          <w:sz w:val="24"/>
          <w:szCs w:val="24"/>
        </w:rPr>
      </w:pPr>
      <w:r w:rsidRPr="00E266CD">
        <w:rPr>
          <w:rFonts w:ascii="Garamond" w:hAnsi="Garamond"/>
          <w:sz w:val="24"/>
          <w:szCs w:val="24"/>
        </w:rPr>
        <w:t>Analiza e Situatës dhe Sfidat</w:t>
      </w:r>
    </w:p>
    <w:p w14:paraId="182CF1C2" w14:textId="0EFE1683"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Pjesa IV: Zbatimi, </w:t>
      </w:r>
      <w:r w:rsidR="007715D0" w:rsidRPr="00E266CD">
        <w:rPr>
          <w:rFonts w:ascii="Garamond" w:hAnsi="Garamond"/>
          <w:sz w:val="24"/>
          <w:szCs w:val="24"/>
        </w:rPr>
        <w:t xml:space="preserve">llogaridhënia dhe koordinimi </w:t>
      </w:r>
    </w:p>
    <w:p w14:paraId="0F435F8B" w14:textId="3625A608" w:rsidR="00E609AA" w:rsidRPr="00E266CD" w:rsidRDefault="00E609AA" w:rsidP="00E609AA">
      <w:pPr>
        <w:ind w:firstLine="284"/>
        <w:rPr>
          <w:rFonts w:ascii="Garamond" w:hAnsi="Garamond"/>
          <w:sz w:val="24"/>
          <w:szCs w:val="24"/>
        </w:rPr>
      </w:pPr>
      <w:r w:rsidRPr="00E266CD">
        <w:rPr>
          <w:rFonts w:ascii="Garamond" w:hAnsi="Garamond"/>
          <w:sz w:val="24"/>
          <w:szCs w:val="24"/>
        </w:rPr>
        <w:t xml:space="preserve">PJESA V: Plani i </w:t>
      </w:r>
      <w:r w:rsidR="007715D0" w:rsidRPr="00E266CD">
        <w:rPr>
          <w:rFonts w:ascii="Garamond" w:hAnsi="Garamond"/>
          <w:sz w:val="24"/>
          <w:szCs w:val="24"/>
        </w:rPr>
        <w:t>veprimit dhe vlerësimet financiare</w:t>
      </w:r>
    </w:p>
    <w:p w14:paraId="26B51696" w14:textId="26DD1DD9" w:rsidR="00E609AA" w:rsidRPr="00E266CD" w:rsidRDefault="00E609AA" w:rsidP="002E7F45">
      <w:pPr>
        <w:pStyle w:val="TEKSTIIII"/>
      </w:pPr>
      <w:r w:rsidRPr="00E266CD">
        <w:t xml:space="preserve">Nevojat për </w:t>
      </w:r>
      <w:r w:rsidR="007715D0" w:rsidRPr="00E266CD">
        <w:t xml:space="preserve">shpenzime kapitale dhe shpenzime korente </w:t>
      </w:r>
    </w:p>
    <w:p w14:paraId="0C305016" w14:textId="1B16491C" w:rsidR="00E609AA" w:rsidRPr="00E266CD" w:rsidRDefault="00E609AA" w:rsidP="002E7F45">
      <w:pPr>
        <w:pStyle w:val="TEKSTIIII"/>
      </w:pPr>
      <w:r w:rsidRPr="00E266CD">
        <w:t xml:space="preserve">Aneks 1 Plani i </w:t>
      </w:r>
      <w:r w:rsidR="007715D0" w:rsidRPr="00E266CD">
        <w:t>veprimit i kostuar</w:t>
      </w:r>
    </w:p>
    <w:p w14:paraId="347D1C6E" w14:textId="3E0EF325" w:rsidR="00C72011" w:rsidRPr="00E266CD" w:rsidRDefault="00E609AA" w:rsidP="002E7F45">
      <w:pPr>
        <w:pStyle w:val="TEKSTIIII"/>
      </w:pPr>
      <w:r w:rsidRPr="00E266CD">
        <w:t xml:space="preserve">Aneks 2 Treguesit e </w:t>
      </w:r>
      <w:r w:rsidR="007715D0" w:rsidRPr="00E266CD">
        <w:t>monitorimit të dokumentit të strategjisë</w:t>
      </w:r>
    </w:p>
    <w:p w14:paraId="3EB889E5" w14:textId="77777777" w:rsidR="009B2A11" w:rsidRPr="00E266CD" w:rsidRDefault="009B2A11" w:rsidP="002E7F45">
      <w:pPr>
        <w:pStyle w:val="TEKSTIIII"/>
        <w:rPr>
          <w:b/>
        </w:rPr>
      </w:pPr>
    </w:p>
    <w:p w14:paraId="488ED92D" w14:textId="77777777" w:rsidR="002E7F45" w:rsidRPr="00E266CD" w:rsidRDefault="002E7F45" w:rsidP="002E7F45">
      <w:pPr>
        <w:pStyle w:val="TEKSTIIII"/>
        <w:rPr>
          <w:b/>
        </w:rPr>
      </w:pPr>
      <w:r w:rsidRPr="00E266CD">
        <w:rPr>
          <w:b/>
        </w:rPr>
        <w:t>Lista e shkurtimeve</w:t>
      </w:r>
    </w:p>
    <w:tbl>
      <w:tblPr>
        <w:tblW w:w="5000" w:type="pct"/>
        <w:tblLook w:val="04A0" w:firstRow="1" w:lastRow="0" w:firstColumn="1" w:lastColumn="0" w:noHBand="0" w:noVBand="1"/>
      </w:tblPr>
      <w:tblGrid>
        <w:gridCol w:w="2580"/>
        <w:gridCol w:w="6491"/>
      </w:tblGrid>
      <w:tr w:rsidR="006A24E5" w:rsidRPr="00E266CD" w14:paraId="352A9DEA" w14:textId="77777777" w:rsidTr="009B2A11">
        <w:trPr>
          <w:trHeight w:val="180"/>
        </w:trPr>
        <w:tc>
          <w:tcPr>
            <w:tcW w:w="1422" w:type="pct"/>
            <w:shd w:val="clear" w:color="auto" w:fill="auto"/>
            <w:noWrap/>
            <w:vAlign w:val="center"/>
            <w:hideMark/>
          </w:tcPr>
          <w:p w14:paraId="2B2E7C06"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ACRIS: </w:t>
            </w:r>
          </w:p>
        </w:tc>
        <w:tc>
          <w:tcPr>
            <w:tcW w:w="3578" w:type="pct"/>
            <w:shd w:val="clear" w:color="auto" w:fill="auto"/>
            <w:noWrap/>
            <w:vAlign w:val="bottom"/>
            <w:hideMark/>
          </w:tcPr>
          <w:p w14:paraId="3158C281" w14:textId="5E92B98B"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Sistemi </w:t>
            </w:r>
            <w:r w:rsidR="007715D0" w:rsidRPr="00E266CD">
              <w:rPr>
                <w:rFonts w:ascii="Garamond" w:eastAsia="Times New Roman" w:hAnsi="Garamond" w:cs="Calibri"/>
                <w:color w:val="000000"/>
                <w:sz w:val="20"/>
                <w:szCs w:val="20"/>
              </w:rPr>
              <w:t xml:space="preserve">Shqiptar </w:t>
            </w:r>
            <w:r w:rsidRPr="00E266CD">
              <w:rPr>
                <w:rFonts w:ascii="Garamond" w:eastAsia="Times New Roman" w:hAnsi="Garamond" w:cs="Calibri"/>
                <w:color w:val="000000"/>
                <w:sz w:val="20"/>
                <w:szCs w:val="20"/>
              </w:rPr>
              <w:t>i Informacionit të Kërkimit Shkencor</w:t>
            </w:r>
          </w:p>
        </w:tc>
      </w:tr>
      <w:tr w:rsidR="006A24E5" w:rsidRPr="00E266CD" w14:paraId="553E09EB" w14:textId="77777777" w:rsidTr="007243A9">
        <w:trPr>
          <w:trHeight w:val="180"/>
        </w:trPr>
        <w:tc>
          <w:tcPr>
            <w:tcW w:w="1422" w:type="pct"/>
            <w:shd w:val="clear" w:color="auto" w:fill="auto"/>
            <w:noWrap/>
            <w:vAlign w:val="center"/>
            <w:hideMark/>
          </w:tcPr>
          <w:p w14:paraId="3EF8E5B0"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AIDA: </w:t>
            </w:r>
          </w:p>
        </w:tc>
        <w:tc>
          <w:tcPr>
            <w:tcW w:w="3578" w:type="pct"/>
            <w:shd w:val="clear" w:color="auto" w:fill="auto"/>
            <w:noWrap/>
            <w:vAlign w:val="bottom"/>
            <w:hideMark/>
          </w:tcPr>
          <w:p w14:paraId="6D9055F2"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Shqiptare e Zhvillimit të Investimeve</w:t>
            </w:r>
          </w:p>
        </w:tc>
      </w:tr>
      <w:tr w:rsidR="006A24E5" w:rsidRPr="00E266CD" w14:paraId="5FE7AB95" w14:textId="77777777" w:rsidTr="007243A9">
        <w:trPr>
          <w:trHeight w:val="180"/>
        </w:trPr>
        <w:tc>
          <w:tcPr>
            <w:tcW w:w="1422" w:type="pct"/>
            <w:shd w:val="clear" w:color="auto" w:fill="auto"/>
            <w:noWrap/>
            <w:vAlign w:val="center"/>
            <w:hideMark/>
          </w:tcPr>
          <w:p w14:paraId="480F5084"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AKFAL: </w:t>
            </w:r>
          </w:p>
        </w:tc>
        <w:tc>
          <w:tcPr>
            <w:tcW w:w="3578" w:type="pct"/>
            <w:shd w:val="clear" w:color="auto" w:fill="auto"/>
            <w:noWrap/>
            <w:vAlign w:val="bottom"/>
            <w:hideMark/>
          </w:tcPr>
          <w:p w14:paraId="0E90B11F"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Kombëtare e Financimit të Arsimit të Lartë</w:t>
            </w:r>
          </w:p>
        </w:tc>
      </w:tr>
      <w:tr w:rsidR="006A24E5" w:rsidRPr="00E266CD" w14:paraId="2736901C" w14:textId="77777777" w:rsidTr="007243A9">
        <w:trPr>
          <w:trHeight w:val="180"/>
        </w:trPr>
        <w:tc>
          <w:tcPr>
            <w:tcW w:w="1422" w:type="pct"/>
            <w:shd w:val="clear" w:color="auto" w:fill="auto"/>
            <w:noWrap/>
            <w:vAlign w:val="center"/>
            <w:hideMark/>
          </w:tcPr>
          <w:p w14:paraId="55AE4B3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AKSHI: </w:t>
            </w:r>
          </w:p>
        </w:tc>
        <w:tc>
          <w:tcPr>
            <w:tcW w:w="3578" w:type="pct"/>
            <w:shd w:val="clear" w:color="auto" w:fill="auto"/>
            <w:noWrap/>
            <w:vAlign w:val="bottom"/>
            <w:hideMark/>
          </w:tcPr>
          <w:p w14:paraId="1A897AB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Kombëtare e Shoqërisë së Inovacionit</w:t>
            </w:r>
          </w:p>
        </w:tc>
      </w:tr>
      <w:tr w:rsidR="006A24E5" w:rsidRPr="00E266CD" w14:paraId="779F53BF" w14:textId="77777777" w:rsidTr="007243A9">
        <w:trPr>
          <w:trHeight w:val="180"/>
        </w:trPr>
        <w:tc>
          <w:tcPr>
            <w:tcW w:w="1422" w:type="pct"/>
            <w:shd w:val="clear" w:color="auto" w:fill="auto"/>
            <w:noWrap/>
            <w:vAlign w:val="center"/>
            <w:hideMark/>
          </w:tcPr>
          <w:p w14:paraId="734347C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AKKSHI: </w:t>
            </w:r>
          </w:p>
        </w:tc>
        <w:tc>
          <w:tcPr>
            <w:tcW w:w="3578" w:type="pct"/>
            <w:shd w:val="clear" w:color="auto" w:fill="auto"/>
            <w:noWrap/>
            <w:vAlign w:val="bottom"/>
            <w:hideMark/>
          </w:tcPr>
          <w:p w14:paraId="772593AD"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Kombëtare e Kërkimit Shkencor dhe Inovacionit</w:t>
            </w:r>
          </w:p>
        </w:tc>
      </w:tr>
      <w:tr w:rsidR="006A24E5" w:rsidRPr="00E266CD" w14:paraId="69C310CD" w14:textId="77777777" w:rsidTr="007243A9">
        <w:trPr>
          <w:trHeight w:val="180"/>
        </w:trPr>
        <w:tc>
          <w:tcPr>
            <w:tcW w:w="1422" w:type="pct"/>
            <w:shd w:val="clear" w:color="auto" w:fill="auto"/>
            <w:noWrap/>
            <w:vAlign w:val="center"/>
            <w:hideMark/>
          </w:tcPr>
          <w:p w14:paraId="365CC8FD"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AMSHC: </w:t>
            </w:r>
          </w:p>
        </w:tc>
        <w:tc>
          <w:tcPr>
            <w:tcW w:w="3578" w:type="pct"/>
            <w:shd w:val="clear" w:color="auto" w:fill="auto"/>
            <w:noWrap/>
            <w:vAlign w:val="bottom"/>
            <w:hideMark/>
          </w:tcPr>
          <w:p w14:paraId="20975C7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për Mbështetjen e Shoqërisë Civile</w:t>
            </w:r>
          </w:p>
        </w:tc>
      </w:tr>
      <w:tr w:rsidR="006A24E5" w:rsidRPr="00E266CD" w14:paraId="3821E72C" w14:textId="77777777" w:rsidTr="007243A9">
        <w:trPr>
          <w:trHeight w:val="180"/>
        </w:trPr>
        <w:tc>
          <w:tcPr>
            <w:tcW w:w="1422" w:type="pct"/>
            <w:shd w:val="clear" w:color="auto" w:fill="auto"/>
            <w:noWrap/>
            <w:vAlign w:val="center"/>
            <w:hideMark/>
          </w:tcPr>
          <w:p w14:paraId="7B6884ED"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ASHSH: </w:t>
            </w:r>
          </w:p>
        </w:tc>
        <w:tc>
          <w:tcPr>
            <w:tcW w:w="3578" w:type="pct"/>
            <w:shd w:val="clear" w:color="auto" w:fill="auto"/>
            <w:noWrap/>
            <w:vAlign w:val="bottom"/>
            <w:hideMark/>
          </w:tcPr>
          <w:p w14:paraId="73C06CFC"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Akademia e Shkencave e Shqipërisë</w:t>
            </w:r>
          </w:p>
        </w:tc>
      </w:tr>
      <w:tr w:rsidR="006A24E5" w:rsidRPr="00E266CD" w14:paraId="7E64E1BB" w14:textId="77777777" w:rsidTr="007243A9">
        <w:trPr>
          <w:trHeight w:val="180"/>
        </w:trPr>
        <w:tc>
          <w:tcPr>
            <w:tcW w:w="1422" w:type="pct"/>
            <w:shd w:val="clear" w:color="auto" w:fill="auto"/>
            <w:noWrap/>
            <w:vAlign w:val="center"/>
            <w:hideMark/>
          </w:tcPr>
          <w:p w14:paraId="07AE64EB"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COST: </w:t>
            </w:r>
          </w:p>
        </w:tc>
        <w:tc>
          <w:tcPr>
            <w:tcW w:w="3578" w:type="pct"/>
            <w:shd w:val="clear" w:color="auto" w:fill="auto"/>
            <w:vAlign w:val="bottom"/>
            <w:hideMark/>
          </w:tcPr>
          <w:p w14:paraId="48624E5B" w14:textId="77777777" w:rsidR="006A24E5" w:rsidRPr="00E266CD" w:rsidRDefault="006A24E5" w:rsidP="006A24E5">
            <w:pPr>
              <w:rPr>
                <w:rFonts w:ascii="Garamond" w:eastAsia="Times New Roman" w:hAnsi="Garamond" w:cs="Calibri"/>
                <w:color w:val="000000"/>
                <w:sz w:val="20"/>
                <w:szCs w:val="20"/>
              </w:rPr>
            </w:pPr>
            <w:r w:rsidRPr="00E266CD">
              <w:rPr>
                <w:rFonts w:ascii="Garamond" w:hAnsi="Garamond"/>
                <w:i/>
                <w:color w:val="000000"/>
                <w:sz w:val="20"/>
              </w:rPr>
              <w:t>European Cooperation in Science and Technology</w:t>
            </w:r>
            <w:r w:rsidRPr="00E266CD">
              <w:rPr>
                <w:rFonts w:ascii="Garamond" w:eastAsia="Times New Roman" w:hAnsi="Garamond" w:cs="Calibri"/>
                <w:color w:val="000000"/>
                <w:sz w:val="20"/>
                <w:szCs w:val="20"/>
              </w:rPr>
              <w:t xml:space="preserve"> (Bashkëpunimi Evropian në Shkencë dhe Teknologji)</w:t>
            </w:r>
          </w:p>
        </w:tc>
      </w:tr>
      <w:tr w:rsidR="006A24E5" w:rsidRPr="00E266CD" w14:paraId="3B811251" w14:textId="77777777" w:rsidTr="007243A9">
        <w:trPr>
          <w:trHeight w:val="180"/>
        </w:trPr>
        <w:tc>
          <w:tcPr>
            <w:tcW w:w="1422" w:type="pct"/>
            <w:shd w:val="clear" w:color="auto" w:fill="auto"/>
            <w:noWrap/>
            <w:vAlign w:val="center"/>
            <w:hideMark/>
          </w:tcPr>
          <w:p w14:paraId="7F34B99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ERA: </w:t>
            </w:r>
          </w:p>
        </w:tc>
        <w:tc>
          <w:tcPr>
            <w:tcW w:w="3578" w:type="pct"/>
            <w:shd w:val="clear" w:color="auto" w:fill="auto"/>
            <w:noWrap/>
            <w:vAlign w:val="bottom"/>
            <w:hideMark/>
          </w:tcPr>
          <w:p w14:paraId="24C1D7D0" w14:textId="77777777" w:rsidR="006A24E5" w:rsidRPr="00E266CD" w:rsidRDefault="006A24E5" w:rsidP="006A24E5">
            <w:pPr>
              <w:rPr>
                <w:rFonts w:ascii="Garamond" w:eastAsia="Times New Roman" w:hAnsi="Garamond" w:cs="Calibri"/>
                <w:color w:val="000000"/>
                <w:sz w:val="20"/>
                <w:szCs w:val="20"/>
              </w:rPr>
            </w:pPr>
            <w:r w:rsidRPr="00E266CD">
              <w:rPr>
                <w:rFonts w:ascii="Garamond" w:hAnsi="Garamond"/>
                <w:i/>
                <w:color w:val="000000"/>
                <w:sz w:val="20"/>
              </w:rPr>
              <w:t>European Higher Education Area</w:t>
            </w:r>
            <w:r w:rsidRPr="00E266CD">
              <w:rPr>
                <w:rFonts w:ascii="Garamond" w:eastAsia="Times New Roman" w:hAnsi="Garamond" w:cs="Calibri"/>
                <w:color w:val="000000"/>
                <w:sz w:val="20"/>
                <w:szCs w:val="20"/>
              </w:rPr>
              <w:t xml:space="preserve"> (Zona Evropiane për Kërkim)</w:t>
            </w:r>
          </w:p>
        </w:tc>
      </w:tr>
      <w:tr w:rsidR="006A24E5" w:rsidRPr="00E266CD" w14:paraId="7DDD6F7D" w14:textId="77777777" w:rsidTr="009B2A11">
        <w:trPr>
          <w:trHeight w:val="180"/>
        </w:trPr>
        <w:tc>
          <w:tcPr>
            <w:tcW w:w="1422" w:type="pct"/>
            <w:shd w:val="clear" w:color="auto" w:fill="auto"/>
            <w:noWrap/>
            <w:vAlign w:val="center"/>
            <w:hideMark/>
          </w:tcPr>
          <w:p w14:paraId="61A8796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EEA: </w:t>
            </w:r>
          </w:p>
        </w:tc>
        <w:tc>
          <w:tcPr>
            <w:tcW w:w="3578" w:type="pct"/>
            <w:shd w:val="clear" w:color="auto" w:fill="auto"/>
            <w:noWrap/>
            <w:vAlign w:val="bottom"/>
            <w:hideMark/>
          </w:tcPr>
          <w:p w14:paraId="1746454E" w14:textId="1096300E"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Zon</w:t>
            </w:r>
            <w:r w:rsidR="007715D0" w:rsidRPr="00E266CD">
              <w:rPr>
                <w:rFonts w:ascii="Garamond" w:eastAsia="Times New Roman" w:hAnsi="Garamond" w:cs="Calibri"/>
                <w:color w:val="000000"/>
                <w:sz w:val="20"/>
                <w:szCs w:val="20"/>
              </w:rPr>
              <w:t>a</w:t>
            </w:r>
            <w:r w:rsidRPr="00E266CD">
              <w:rPr>
                <w:rFonts w:ascii="Garamond" w:eastAsia="Times New Roman" w:hAnsi="Garamond" w:cs="Calibri"/>
                <w:color w:val="000000"/>
                <w:sz w:val="20"/>
                <w:szCs w:val="20"/>
              </w:rPr>
              <w:t xml:space="preserve"> Evropiane </w:t>
            </w:r>
            <w:r w:rsidR="007715D0" w:rsidRPr="00E266CD">
              <w:rPr>
                <w:rFonts w:ascii="Garamond" w:eastAsia="Times New Roman" w:hAnsi="Garamond" w:cs="Calibri"/>
                <w:color w:val="000000"/>
                <w:sz w:val="20"/>
                <w:szCs w:val="20"/>
              </w:rPr>
              <w:t>e</w:t>
            </w:r>
            <w:r w:rsidRPr="00E266CD">
              <w:rPr>
                <w:rFonts w:ascii="Garamond" w:eastAsia="Times New Roman" w:hAnsi="Garamond" w:cs="Calibri"/>
                <w:color w:val="000000"/>
                <w:sz w:val="20"/>
                <w:szCs w:val="20"/>
              </w:rPr>
              <w:t xml:space="preserve"> Arsimit</w:t>
            </w:r>
          </w:p>
        </w:tc>
      </w:tr>
      <w:tr w:rsidR="006A24E5" w:rsidRPr="00E266CD" w14:paraId="6C0BA522" w14:textId="77777777" w:rsidTr="007243A9">
        <w:trPr>
          <w:trHeight w:val="180"/>
        </w:trPr>
        <w:tc>
          <w:tcPr>
            <w:tcW w:w="1422" w:type="pct"/>
            <w:shd w:val="clear" w:color="auto" w:fill="auto"/>
            <w:noWrap/>
            <w:vAlign w:val="center"/>
            <w:hideMark/>
          </w:tcPr>
          <w:p w14:paraId="330B0A6B"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ERP: </w:t>
            </w:r>
          </w:p>
        </w:tc>
        <w:tc>
          <w:tcPr>
            <w:tcW w:w="3578" w:type="pct"/>
            <w:shd w:val="clear" w:color="auto" w:fill="auto"/>
            <w:noWrap/>
            <w:vAlign w:val="bottom"/>
            <w:hideMark/>
          </w:tcPr>
          <w:p w14:paraId="499B7606" w14:textId="77777777" w:rsidR="006A24E5" w:rsidRPr="00E266CD" w:rsidRDefault="006A24E5" w:rsidP="006A24E5">
            <w:pPr>
              <w:rPr>
                <w:rFonts w:ascii="Garamond" w:eastAsia="Times New Roman" w:hAnsi="Garamond" w:cs="Calibri"/>
                <w:color w:val="000000"/>
                <w:sz w:val="20"/>
                <w:szCs w:val="20"/>
              </w:rPr>
            </w:pPr>
            <w:r w:rsidRPr="00E266CD">
              <w:rPr>
                <w:rFonts w:ascii="Garamond" w:hAnsi="Garamond"/>
                <w:i/>
                <w:color w:val="000000"/>
                <w:sz w:val="20"/>
              </w:rPr>
              <w:t>Economic Reform Programme</w:t>
            </w:r>
            <w:r w:rsidRPr="00E266CD">
              <w:rPr>
                <w:rFonts w:ascii="Garamond" w:eastAsia="Times New Roman" w:hAnsi="Garamond" w:cs="Calibri"/>
                <w:color w:val="000000"/>
                <w:sz w:val="20"/>
                <w:szCs w:val="20"/>
              </w:rPr>
              <w:t xml:space="preserve"> (Programi i Reformave Ekonomike)</w:t>
            </w:r>
          </w:p>
        </w:tc>
      </w:tr>
      <w:tr w:rsidR="006A24E5" w:rsidRPr="00E266CD" w14:paraId="394EDCD5" w14:textId="77777777" w:rsidTr="007243A9">
        <w:trPr>
          <w:trHeight w:val="180"/>
        </w:trPr>
        <w:tc>
          <w:tcPr>
            <w:tcW w:w="1422" w:type="pct"/>
            <w:shd w:val="clear" w:color="auto" w:fill="auto"/>
            <w:noWrap/>
            <w:vAlign w:val="center"/>
            <w:hideMark/>
          </w:tcPr>
          <w:p w14:paraId="15CB0B35"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ESFRI: </w:t>
            </w:r>
          </w:p>
        </w:tc>
        <w:tc>
          <w:tcPr>
            <w:tcW w:w="3578" w:type="pct"/>
            <w:shd w:val="clear" w:color="auto" w:fill="auto"/>
            <w:noWrap/>
            <w:vAlign w:val="bottom"/>
            <w:hideMark/>
          </w:tcPr>
          <w:p w14:paraId="29799B7D" w14:textId="77777777" w:rsidR="006A24E5" w:rsidRPr="00E266CD" w:rsidRDefault="006A24E5" w:rsidP="006A24E5">
            <w:pPr>
              <w:rPr>
                <w:rFonts w:ascii="Garamond" w:hAnsi="Garamond"/>
                <w:i/>
                <w:color w:val="000000"/>
                <w:sz w:val="20"/>
              </w:rPr>
            </w:pPr>
            <w:r w:rsidRPr="00E266CD">
              <w:rPr>
                <w:rFonts w:ascii="Garamond" w:hAnsi="Garamond"/>
                <w:i/>
                <w:color w:val="000000"/>
                <w:sz w:val="20"/>
              </w:rPr>
              <w:t>European Strategic Framework of Research Infrastructure</w:t>
            </w:r>
          </w:p>
        </w:tc>
      </w:tr>
      <w:tr w:rsidR="006A24E5" w:rsidRPr="00E266CD" w14:paraId="7146ACC6" w14:textId="77777777" w:rsidTr="007243A9">
        <w:trPr>
          <w:trHeight w:val="180"/>
        </w:trPr>
        <w:tc>
          <w:tcPr>
            <w:tcW w:w="1422" w:type="pct"/>
            <w:shd w:val="clear" w:color="auto" w:fill="auto"/>
            <w:noWrap/>
            <w:vAlign w:val="center"/>
            <w:hideMark/>
          </w:tcPr>
          <w:p w14:paraId="217AA9BA"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INSTAT: </w:t>
            </w:r>
          </w:p>
        </w:tc>
        <w:tc>
          <w:tcPr>
            <w:tcW w:w="3578" w:type="pct"/>
            <w:shd w:val="clear" w:color="auto" w:fill="auto"/>
            <w:noWrap/>
            <w:vAlign w:val="bottom"/>
            <w:hideMark/>
          </w:tcPr>
          <w:p w14:paraId="79CE0FF2"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Instituti i Statistikave</w:t>
            </w:r>
          </w:p>
        </w:tc>
      </w:tr>
      <w:tr w:rsidR="006A24E5" w:rsidRPr="00E266CD" w14:paraId="487E4CF7" w14:textId="77777777" w:rsidTr="007243A9">
        <w:trPr>
          <w:trHeight w:val="180"/>
        </w:trPr>
        <w:tc>
          <w:tcPr>
            <w:tcW w:w="1422" w:type="pct"/>
            <w:shd w:val="clear" w:color="auto" w:fill="auto"/>
            <w:noWrap/>
            <w:vAlign w:val="center"/>
            <w:hideMark/>
          </w:tcPr>
          <w:p w14:paraId="3F5F1D7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iCs/>
                <w:color w:val="000000"/>
                <w:sz w:val="20"/>
                <w:szCs w:val="20"/>
              </w:rPr>
              <w:t xml:space="preserve">IPSIS: </w:t>
            </w:r>
          </w:p>
        </w:tc>
        <w:tc>
          <w:tcPr>
            <w:tcW w:w="3578" w:type="pct"/>
            <w:shd w:val="clear" w:color="auto" w:fill="auto"/>
            <w:noWrap/>
            <w:vAlign w:val="bottom"/>
            <w:hideMark/>
          </w:tcPr>
          <w:p w14:paraId="3EFB447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Sistemi Informatik i Planifikimit të Integruar</w:t>
            </w:r>
          </w:p>
        </w:tc>
      </w:tr>
      <w:tr w:rsidR="006A24E5" w:rsidRPr="00E266CD" w14:paraId="30F0CF23" w14:textId="77777777" w:rsidTr="007243A9">
        <w:trPr>
          <w:trHeight w:val="180"/>
        </w:trPr>
        <w:tc>
          <w:tcPr>
            <w:tcW w:w="1422" w:type="pct"/>
            <w:shd w:val="clear" w:color="auto" w:fill="auto"/>
            <w:noWrap/>
            <w:vAlign w:val="center"/>
            <w:hideMark/>
          </w:tcPr>
          <w:p w14:paraId="305B815D"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KE: </w:t>
            </w:r>
          </w:p>
        </w:tc>
        <w:tc>
          <w:tcPr>
            <w:tcW w:w="3578" w:type="pct"/>
            <w:shd w:val="clear" w:color="auto" w:fill="auto"/>
            <w:noWrap/>
            <w:vAlign w:val="bottom"/>
            <w:hideMark/>
          </w:tcPr>
          <w:p w14:paraId="417E9A43"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Komisioni Evropian</w:t>
            </w:r>
          </w:p>
        </w:tc>
      </w:tr>
      <w:tr w:rsidR="006A24E5" w:rsidRPr="00E266CD" w14:paraId="6C19E770" w14:textId="77777777" w:rsidTr="007243A9">
        <w:trPr>
          <w:trHeight w:val="180"/>
        </w:trPr>
        <w:tc>
          <w:tcPr>
            <w:tcW w:w="1422" w:type="pct"/>
            <w:shd w:val="clear" w:color="auto" w:fill="auto"/>
            <w:noWrap/>
            <w:vAlign w:val="center"/>
            <w:hideMark/>
          </w:tcPr>
          <w:p w14:paraId="2147408B"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MAS: </w:t>
            </w:r>
          </w:p>
        </w:tc>
        <w:tc>
          <w:tcPr>
            <w:tcW w:w="3578" w:type="pct"/>
            <w:shd w:val="clear" w:color="auto" w:fill="auto"/>
            <w:noWrap/>
            <w:vAlign w:val="bottom"/>
            <w:hideMark/>
          </w:tcPr>
          <w:p w14:paraId="4583CB45"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Arsimit dhe Sportit</w:t>
            </w:r>
          </w:p>
        </w:tc>
      </w:tr>
      <w:tr w:rsidR="006A24E5" w:rsidRPr="00E266CD" w14:paraId="5DA7A417" w14:textId="77777777" w:rsidTr="007243A9">
        <w:trPr>
          <w:trHeight w:val="180"/>
        </w:trPr>
        <w:tc>
          <w:tcPr>
            <w:tcW w:w="1422" w:type="pct"/>
            <w:shd w:val="clear" w:color="auto" w:fill="auto"/>
            <w:noWrap/>
            <w:vAlign w:val="center"/>
            <w:hideMark/>
          </w:tcPr>
          <w:p w14:paraId="38D09791"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MBZHR: </w:t>
            </w:r>
          </w:p>
        </w:tc>
        <w:tc>
          <w:tcPr>
            <w:tcW w:w="3578" w:type="pct"/>
            <w:shd w:val="clear" w:color="auto" w:fill="auto"/>
            <w:noWrap/>
            <w:vAlign w:val="bottom"/>
            <w:hideMark/>
          </w:tcPr>
          <w:p w14:paraId="35537476"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Bujqësisë dhe Zhvillimit Rural</w:t>
            </w:r>
          </w:p>
        </w:tc>
      </w:tr>
      <w:tr w:rsidR="006A24E5" w:rsidRPr="00E266CD" w14:paraId="0347FBD3" w14:textId="77777777" w:rsidTr="009B2A11">
        <w:trPr>
          <w:trHeight w:val="180"/>
        </w:trPr>
        <w:tc>
          <w:tcPr>
            <w:tcW w:w="1422" w:type="pct"/>
            <w:shd w:val="clear" w:color="auto" w:fill="auto"/>
            <w:noWrap/>
            <w:vAlign w:val="center"/>
            <w:hideMark/>
          </w:tcPr>
          <w:p w14:paraId="034EDC4D"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lastRenderedPageBreak/>
              <w:t>MEPJ:</w:t>
            </w:r>
          </w:p>
        </w:tc>
        <w:tc>
          <w:tcPr>
            <w:tcW w:w="3578" w:type="pct"/>
            <w:shd w:val="clear" w:color="auto" w:fill="auto"/>
            <w:noWrap/>
            <w:vAlign w:val="bottom"/>
            <w:hideMark/>
          </w:tcPr>
          <w:p w14:paraId="03663691" w14:textId="621793FA"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Ministria për Evropën dhe Punët e Jashtme </w:t>
            </w:r>
          </w:p>
        </w:tc>
      </w:tr>
      <w:tr w:rsidR="00094425" w:rsidRPr="00E266CD" w14:paraId="69E4EA5E" w14:textId="77777777" w:rsidTr="009B2A11">
        <w:trPr>
          <w:trHeight w:val="180"/>
        </w:trPr>
        <w:tc>
          <w:tcPr>
            <w:tcW w:w="1422" w:type="pct"/>
            <w:shd w:val="clear" w:color="auto" w:fill="auto"/>
            <w:noWrap/>
            <w:vAlign w:val="center"/>
          </w:tcPr>
          <w:p w14:paraId="7B947906" w14:textId="77777777" w:rsidR="00094425" w:rsidRPr="00E266CD" w:rsidRDefault="0009442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MFE:</w:t>
            </w:r>
          </w:p>
        </w:tc>
        <w:tc>
          <w:tcPr>
            <w:tcW w:w="3578" w:type="pct"/>
            <w:shd w:val="clear" w:color="auto" w:fill="auto"/>
            <w:noWrap/>
            <w:vAlign w:val="bottom"/>
          </w:tcPr>
          <w:p w14:paraId="09F3D2A6" w14:textId="77777777" w:rsidR="00094425" w:rsidRPr="00E266CD" w:rsidRDefault="0009442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Financave dhe Ekonomisë</w:t>
            </w:r>
          </w:p>
        </w:tc>
      </w:tr>
      <w:tr w:rsidR="006A24E5" w:rsidRPr="00E266CD" w14:paraId="0AD67293" w14:textId="77777777" w:rsidTr="009B2A11">
        <w:trPr>
          <w:trHeight w:val="180"/>
        </w:trPr>
        <w:tc>
          <w:tcPr>
            <w:tcW w:w="1422" w:type="pct"/>
            <w:shd w:val="clear" w:color="auto" w:fill="auto"/>
            <w:noWrap/>
            <w:vAlign w:val="center"/>
            <w:hideMark/>
          </w:tcPr>
          <w:p w14:paraId="0DFFFD9B"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MIE:</w:t>
            </w:r>
          </w:p>
        </w:tc>
        <w:tc>
          <w:tcPr>
            <w:tcW w:w="3578" w:type="pct"/>
            <w:shd w:val="clear" w:color="auto" w:fill="auto"/>
            <w:noWrap/>
            <w:vAlign w:val="bottom"/>
            <w:hideMark/>
          </w:tcPr>
          <w:p w14:paraId="30B0D48A" w14:textId="027D0355"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Infrastrukturës dhe Ekonomisë</w:t>
            </w:r>
          </w:p>
        </w:tc>
      </w:tr>
      <w:tr w:rsidR="006A24E5" w:rsidRPr="00E266CD" w14:paraId="55E54AB9" w14:textId="77777777" w:rsidTr="007243A9">
        <w:trPr>
          <w:trHeight w:val="180"/>
        </w:trPr>
        <w:tc>
          <w:tcPr>
            <w:tcW w:w="1422" w:type="pct"/>
            <w:shd w:val="clear" w:color="auto" w:fill="auto"/>
            <w:noWrap/>
            <w:vAlign w:val="center"/>
            <w:hideMark/>
          </w:tcPr>
          <w:p w14:paraId="5FF62CF8"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MK: </w:t>
            </w:r>
          </w:p>
        </w:tc>
        <w:tc>
          <w:tcPr>
            <w:tcW w:w="3578" w:type="pct"/>
            <w:shd w:val="clear" w:color="auto" w:fill="auto"/>
            <w:noWrap/>
            <w:vAlign w:val="bottom"/>
            <w:hideMark/>
          </w:tcPr>
          <w:p w14:paraId="02280F72"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Kulturës</w:t>
            </w:r>
          </w:p>
        </w:tc>
      </w:tr>
      <w:tr w:rsidR="006A24E5" w:rsidRPr="00E266CD" w14:paraId="37D60780" w14:textId="77777777" w:rsidTr="007243A9">
        <w:trPr>
          <w:trHeight w:val="180"/>
        </w:trPr>
        <w:tc>
          <w:tcPr>
            <w:tcW w:w="1422" w:type="pct"/>
            <w:shd w:val="clear" w:color="auto" w:fill="auto"/>
            <w:noWrap/>
            <w:vAlign w:val="center"/>
            <w:hideMark/>
          </w:tcPr>
          <w:p w14:paraId="587091E5"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MM: </w:t>
            </w:r>
          </w:p>
        </w:tc>
        <w:tc>
          <w:tcPr>
            <w:tcW w:w="3578" w:type="pct"/>
            <w:shd w:val="clear" w:color="auto" w:fill="auto"/>
            <w:noWrap/>
            <w:vAlign w:val="bottom"/>
            <w:hideMark/>
          </w:tcPr>
          <w:p w14:paraId="7199E43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Ministria e Mbrojtjes</w:t>
            </w:r>
          </w:p>
        </w:tc>
      </w:tr>
      <w:tr w:rsidR="006A24E5" w:rsidRPr="00E266CD" w14:paraId="30887044" w14:textId="77777777" w:rsidTr="007243A9">
        <w:trPr>
          <w:trHeight w:val="180"/>
        </w:trPr>
        <w:tc>
          <w:tcPr>
            <w:tcW w:w="1422" w:type="pct"/>
            <w:shd w:val="clear" w:color="auto" w:fill="auto"/>
            <w:noWrap/>
            <w:vAlign w:val="center"/>
            <w:hideMark/>
          </w:tcPr>
          <w:p w14:paraId="28EA7F69"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NCP: </w:t>
            </w:r>
          </w:p>
        </w:tc>
        <w:tc>
          <w:tcPr>
            <w:tcW w:w="3578" w:type="pct"/>
            <w:shd w:val="clear" w:color="auto" w:fill="auto"/>
            <w:noWrap/>
            <w:vAlign w:val="bottom"/>
            <w:hideMark/>
          </w:tcPr>
          <w:p w14:paraId="4726A4AE" w14:textId="77777777" w:rsidR="006A24E5" w:rsidRPr="00E266CD" w:rsidRDefault="006A24E5" w:rsidP="006A24E5">
            <w:pPr>
              <w:rPr>
                <w:rFonts w:ascii="Garamond" w:hAnsi="Garamond"/>
                <w:i/>
                <w:color w:val="000000"/>
                <w:sz w:val="20"/>
              </w:rPr>
            </w:pPr>
            <w:r w:rsidRPr="00E266CD">
              <w:rPr>
                <w:rFonts w:ascii="Garamond" w:hAnsi="Garamond"/>
                <w:i/>
                <w:color w:val="000000"/>
                <w:sz w:val="20"/>
              </w:rPr>
              <w:t>National Contact Point</w:t>
            </w:r>
          </w:p>
        </w:tc>
      </w:tr>
      <w:tr w:rsidR="006A24E5" w:rsidRPr="00E266CD" w14:paraId="049ABB83" w14:textId="77777777" w:rsidTr="007243A9">
        <w:trPr>
          <w:trHeight w:val="180"/>
        </w:trPr>
        <w:tc>
          <w:tcPr>
            <w:tcW w:w="1422" w:type="pct"/>
            <w:shd w:val="clear" w:color="auto" w:fill="auto"/>
            <w:noWrap/>
            <w:vAlign w:val="center"/>
            <w:hideMark/>
          </w:tcPr>
          <w:p w14:paraId="7D47BE5C"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NVM: </w:t>
            </w:r>
          </w:p>
        </w:tc>
        <w:tc>
          <w:tcPr>
            <w:tcW w:w="3578" w:type="pct"/>
            <w:shd w:val="clear" w:color="auto" w:fill="auto"/>
            <w:noWrap/>
            <w:vAlign w:val="bottom"/>
            <w:hideMark/>
          </w:tcPr>
          <w:p w14:paraId="445ED193"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Ndërmarrje të Vogla dhe të Mesme</w:t>
            </w:r>
          </w:p>
        </w:tc>
      </w:tr>
      <w:tr w:rsidR="006A24E5" w:rsidRPr="00E266CD" w14:paraId="0AE7601F" w14:textId="77777777" w:rsidTr="007243A9">
        <w:trPr>
          <w:trHeight w:val="180"/>
        </w:trPr>
        <w:tc>
          <w:tcPr>
            <w:tcW w:w="1422" w:type="pct"/>
            <w:shd w:val="clear" w:color="auto" w:fill="auto"/>
            <w:noWrap/>
            <w:vAlign w:val="center"/>
            <w:hideMark/>
          </w:tcPr>
          <w:p w14:paraId="3F18528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QTT: </w:t>
            </w:r>
          </w:p>
        </w:tc>
        <w:tc>
          <w:tcPr>
            <w:tcW w:w="3578" w:type="pct"/>
            <w:shd w:val="clear" w:color="auto" w:fill="auto"/>
            <w:noWrap/>
            <w:vAlign w:val="bottom"/>
            <w:hideMark/>
          </w:tcPr>
          <w:p w14:paraId="2322D8E4"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Qendra e Transferimit të Teknologjive</w:t>
            </w:r>
          </w:p>
        </w:tc>
      </w:tr>
      <w:tr w:rsidR="006A24E5" w:rsidRPr="00E266CD" w14:paraId="4275E5B0" w14:textId="77777777" w:rsidTr="007243A9">
        <w:trPr>
          <w:trHeight w:val="180"/>
        </w:trPr>
        <w:tc>
          <w:tcPr>
            <w:tcW w:w="1422" w:type="pct"/>
            <w:shd w:val="clear" w:color="auto" w:fill="auto"/>
            <w:noWrap/>
            <w:vAlign w:val="center"/>
            <w:hideMark/>
          </w:tcPr>
          <w:p w14:paraId="695F4F10"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PBA: </w:t>
            </w:r>
          </w:p>
        </w:tc>
        <w:tc>
          <w:tcPr>
            <w:tcW w:w="3578" w:type="pct"/>
            <w:shd w:val="clear" w:color="auto" w:fill="auto"/>
            <w:noWrap/>
            <w:vAlign w:val="bottom"/>
            <w:hideMark/>
          </w:tcPr>
          <w:p w14:paraId="086915CC"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Planifikimi Buxhetor Afatmesëm</w:t>
            </w:r>
          </w:p>
        </w:tc>
      </w:tr>
      <w:tr w:rsidR="006A24E5" w:rsidRPr="00E266CD" w14:paraId="2CAE2A19" w14:textId="77777777" w:rsidTr="007243A9">
        <w:trPr>
          <w:trHeight w:val="180"/>
        </w:trPr>
        <w:tc>
          <w:tcPr>
            <w:tcW w:w="1422" w:type="pct"/>
            <w:shd w:val="clear" w:color="auto" w:fill="auto"/>
            <w:noWrap/>
            <w:vAlign w:val="center"/>
            <w:hideMark/>
          </w:tcPr>
          <w:p w14:paraId="3FF95BB7"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RCC: </w:t>
            </w:r>
          </w:p>
        </w:tc>
        <w:tc>
          <w:tcPr>
            <w:tcW w:w="3578" w:type="pct"/>
            <w:shd w:val="clear" w:color="auto" w:fill="auto"/>
            <w:noWrap/>
            <w:vAlign w:val="bottom"/>
            <w:hideMark/>
          </w:tcPr>
          <w:p w14:paraId="5C405FF5" w14:textId="77777777" w:rsidR="006A24E5" w:rsidRPr="00E266CD" w:rsidRDefault="006A24E5" w:rsidP="006A24E5">
            <w:pPr>
              <w:rPr>
                <w:rFonts w:ascii="Garamond" w:hAnsi="Garamond"/>
                <w:i/>
                <w:color w:val="000000"/>
                <w:sz w:val="20"/>
              </w:rPr>
            </w:pPr>
            <w:r w:rsidRPr="00E266CD">
              <w:rPr>
                <w:rFonts w:ascii="Garamond" w:hAnsi="Garamond"/>
                <w:i/>
                <w:color w:val="000000"/>
                <w:sz w:val="20"/>
              </w:rPr>
              <w:t>Regional Cooperation Council</w:t>
            </w:r>
          </w:p>
        </w:tc>
      </w:tr>
      <w:tr w:rsidR="006A24E5" w:rsidRPr="00E266CD" w14:paraId="03A56B0B" w14:textId="77777777" w:rsidTr="007243A9">
        <w:trPr>
          <w:trHeight w:val="180"/>
        </w:trPr>
        <w:tc>
          <w:tcPr>
            <w:tcW w:w="1422" w:type="pct"/>
            <w:shd w:val="clear" w:color="auto" w:fill="auto"/>
            <w:noWrap/>
            <w:vAlign w:val="center"/>
            <w:hideMark/>
          </w:tcPr>
          <w:p w14:paraId="3091D0BB"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RVN: </w:t>
            </w:r>
          </w:p>
        </w:tc>
        <w:tc>
          <w:tcPr>
            <w:tcW w:w="3578" w:type="pct"/>
            <w:shd w:val="clear" w:color="auto" w:fill="auto"/>
            <w:noWrap/>
            <w:vAlign w:val="bottom"/>
            <w:hideMark/>
          </w:tcPr>
          <w:p w14:paraId="650172F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Raporti i Vlerësimit të Ndikimit</w:t>
            </w:r>
          </w:p>
        </w:tc>
      </w:tr>
      <w:tr w:rsidR="006A24E5" w:rsidRPr="00E266CD" w14:paraId="333D664A" w14:textId="77777777" w:rsidTr="007243A9">
        <w:trPr>
          <w:trHeight w:val="180"/>
        </w:trPr>
        <w:tc>
          <w:tcPr>
            <w:tcW w:w="1422" w:type="pct"/>
            <w:shd w:val="clear" w:color="auto" w:fill="auto"/>
            <w:noWrap/>
            <w:vAlign w:val="center"/>
            <w:hideMark/>
          </w:tcPr>
          <w:p w14:paraId="7C0846A1"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RSH: </w:t>
            </w:r>
          </w:p>
        </w:tc>
        <w:tc>
          <w:tcPr>
            <w:tcW w:w="3578" w:type="pct"/>
            <w:shd w:val="clear" w:color="auto" w:fill="auto"/>
            <w:noWrap/>
            <w:vAlign w:val="bottom"/>
            <w:hideMark/>
          </w:tcPr>
          <w:p w14:paraId="648A932F"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Republika e Shqipërisë</w:t>
            </w:r>
          </w:p>
        </w:tc>
      </w:tr>
      <w:tr w:rsidR="006A24E5" w:rsidRPr="00E266CD" w14:paraId="4C7ACE8B" w14:textId="77777777" w:rsidTr="009B2A11">
        <w:trPr>
          <w:trHeight w:val="180"/>
        </w:trPr>
        <w:tc>
          <w:tcPr>
            <w:tcW w:w="1422" w:type="pct"/>
            <w:shd w:val="clear" w:color="auto" w:fill="auto"/>
            <w:noWrap/>
            <w:vAlign w:val="center"/>
            <w:hideMark/>
          </w:tcPr>
          <w:p w14:paraId="5589F428"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SASPAC:</w:t>
            </w:r>
          </w:p>
        </w:tc>
        <w:tc>
          <w:tcPr>
            <w:tcW w:w="3578" w:type="pct"/>
            <w:shd w:val="clear" w:color="auto" w:fill="auto"/>
            <w:noWrap/>
            <w:vAlign w:val="bottom"/>
            <w:hideMark/>
          </w:tcPr>
          <w:p w14:paraId="2868831E" w14:textId="10F58303"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Agjencia Shtetërore e Programimit Strategjik dhe Koordinimit të Ndihmës</w:t>
            </w:r>
          </w:p>
        </w:tc>
      </w:tr>
      <w:tr w:rsidR="006A24E5" w:rsidRPr="00E266CD" w14:paraId="1F97C878" w14:textId="77777777" w:rsidTr="009B2A11">
        <w:trPr>
          <w:trHeight w:val="180"/>
        </w:trPr>
        <w:tc>
          <w:tcPr>
            <w:tcW w:w="1422" w:type="pct"/>
            <w:shd w:val="clear" w:color="auto" w:fill="auto"/>
            <w:noWrap/>
            <w:vAlign w:val="center"/>
            <w:hideMark/>
          </w:tcPr>
          <w:p w14:paraId="1E5290A0"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SEE-2020:</w:t>
            </w:r>
          </w:p>
        </w:tc>
        <w:tc>
          <w:tcPr>
            <w:tcW w:w="3578" w:type="pct"/>
            <w:shd w:val="clear" w:color="auto" w:fill="auto"/>
            <w:noWrap/>
            <w:vAlign w:val="bottom"/>
            <w:hideMark/>
          </w:tcPr>
          <w:p w14:paraId="608313B4" w14:textId="35AFC73C" w:rsidR="006A24E5" w:rsidRPr="00E266CD" w:rsidRDefault="006A24E5" w:rsidP="006A24E5">
            <w:pPr>
              <w:rPr>
                <w:rFonts w:ascii="Garamond" w:hAnsi="Garamond"/>
                <w:color w:val="000000"/>
                <w:sz w:val="20"/>
              </w:rPr>
            </w:pPr>
            <w:r w:rsidRPr="00E266CD">
              <w:rPr>
                <w:rFonts w:ascii="Garamond" w:hAnsi="Garamond"/>
                <w:i/>
                <w:color w:val="000000"/>
                <w:sz w:val="20"/>
              </w:rPr>
              <w:t>South East Europe Strategy</w:t>
            </w:r>
            <w:r w:rsidRPr="00E266CD">
              <w:rPr>
                <w:rFonts w:ascii="Garamond" w:hAnsi="Garamond"/>
                <w:color w:val="000000"/>
                <w:sz w:val="20"/>
              </w:rPr>
              <w:t xml:space="preserve"> 2020</w:t>
            </w:r>
          </w:p>
        </w:tc>
      </w:tr>
      <w:tr w:rsidR="006A24E5" w:rsidRPr="00E266CD" w14:paraId="32E67D47" w14:textId="77777777" w:rsidTr="007243A9">
        <w:trPr>
          <w:trHeight w:val="180"/>
        </w:trPr>
        <w:tc>
          <w:tcPr>
            <w:tcW w:w="1422" w:type="pct"/>
            <w:shd w:val="clear" w:color="auto" w:fill="auto"/>
            <w:noWrap/>
            <w:vAlign w:val="center"/>
            <w:hideMark/>
          </w:tcPr>
          <w:p w14:paraId="1CF26289"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SEEDS: </w:t>
            </w:r>
          </w:p>
        </w:tc>
        <w:tc>
          <w:tcPr>
            <w:tcW w:w="3578" w:type="pct"/>
            <w:shd w:val="clear" w:color="auto" w:fill="auto"/>
            <w:noWrap/>
            <w:vAlign w:val="bottom"/>
            <w:hideMark/>
          </w:tcPr>
          <w:p w14:paraId="19BAEB6D" w14:textId="77777777" w:rsidR="006A24E5" w:rsidRPr="00E266CD" w:rsidRDefault="006A24E5" w:rsidP="006A24E5">
            <w:pPr>
              <w:rPr>
                <w:rFonts w:ascii="Garamond" w:hAnsi="Garamond"/>
                <w:i/>
                <w:color w:val="000000"/>
                <w:sz w:val="20"/>
              </w:rPr>
            </w:pPr>
            <w:r w:rsidRPr="00E266CD">
              <w:rPr>
                <w:rFonts w:ascii="Garamond" w:hAnsi="Garamond"/>
                <w:i/>
                <w:color w:val="000000"/>
                <w:sz w:val="20"/>
              </w:rPr>
              <w:t>South East Europe Data Services</w:t>
            </w:r>
          </w:p>
        </w:tc>
      </w:tr>
      <w:tr w:rsidR="006A24E5" w:rsidRPr="00E266CD" w14:paraId="2701C55B" w14:textId="77777777" w:rsidTr="007243A9">
        <w:trPr>
          <w:trHeight w:val="180"/>
        </w:trPr>
        <w:tc>
          <w:tcPr>
            <w:tcW w:w="1422" w:type="pct"/>
            <w:shd w:val="clear" w:color="auto" w:fill="auto"/>
            <w:noWrap/>
            <w:vAlign w:val="center"/>
            <w:hideMark/>
          </w:tcPr>
          <w:p w14:paraId="4F60EDF9"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SHTI: </w:t>
            </w:r>
          </w:p>
        </w:tc>
        <w:tc>
          <w:tcPr>
            <w:tcW w:w="3578" w:type="pct"/>
            <w:shd w:val="clear" w:color="auto" w:fill="auto"/>
            <w:noWrap/>
            <w:vAlign w:val="bottom"/>
            <w:hideMark/>
          </w:tcPr>
          <w:p w14:paraId="549659D9"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Shkenca, Teknologjia dhe Inovacioni</w:t>
            </w:r>
          </w:p>
        </w:tc>
      </w:tr>
      <w:tr w:rsidR="006A24E5" w:rsidRPr="00E266CD" w14:paraId="1EB20DD1" w14:textId="77777777" w:rsidTr="007243A9">
        <w:trPr>
          <w:trHeight w:val="180"/>
        </w:trPr>
        <w:tc>
          <w:tcPr>
            <w:tcW w:w="1422" w:type="pct"/>
            <w:shd w:val="clear" w:color="auto" w:fill="auto"/>
            <w:noWrap/>
            <w:vAlign w:val="center"/>
            <w:hideMark/>
          </w:tcPr>
          <w:p w14:paraId="09FD00A4"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 xml:space="preserve">SKKSHTI: </w:t>
            </w:r>
          </w:p>
        </w:tc>
        <w:tc>
          <w:tcPr>
            <w:tcW w:w="3578" w:type="pct"/>
            <w:shd w:val="clear" w:color="auto" w:fill="auto"/>
            <w:noWrap/>
            <w:vAlign w:val="bottom"/>
            <w:hideMark/>
          </w:tcPr>
          <w:p w14:paraId="4A0E391E" w14:textId="77777777" w:rsidR="006A24E5" w:rsidRPr="00E266CD" w:rsidRDefault="006A24E5" w:rsidP="006A24E5">
            <w:pPr>
              <w:rPr>
                <w:rFonts w:ascii="Garamond" w:eastAsia="Times New Roman" w:hAnsi="Garamond" w:cs="Calibri"/>
                <w:color w:val="000000"/>
                <w:sz w:val="20"/>
                <w:szCs w:val="20"/>
              </w:rPr>
            </w:pPr>
            <w:r w:rsidRPr="00E266CD">
              <w:rPr>
                <w:rFonts w:ascii="Garamond" w:eastAsia="Times New Roman" w:hAnsi="Garamond" w:cs="Calibri"/>
                <w:color w:val="000000"/>
                <w:sz w:val="20"/>
                <w:szCs w:val="20"/>
              </w:rPr>
              <w:t>Strategjia Kombëtare për Kërkimin Shkencor, Teknologjinë dhe Inovacionin</w:t>
            </w:r>
          </w:p>
        </w:tc>
      </w:tr>
    </w:tbl>
    <w:p w14:paraId="2FC8BD34" w14:textId="77777777" w:rsidR="00C72011" w:rsidRPr="00E266CD" w:rsidRDefault="00C72011" w:rsidP="002E7F45">
      <w:pPr>
        <w:pStyle w:val="TEKSTIIII"/>
      </w:pPr>
    </w:p>
    <w:p w14:paraId="430F4929" w14:textId="1445F614" w:rsidR="00F91888" w:rsidRPr="00E266CD" w:rsidRDefault="00F91888" w:rsidP="00F91888">
      <w:pPr>
        <w:pStyle w:val="TEKSTIIII"/>
        <w:rPr>
          <w:color w:val="000000"/>
        </w:rPr>
      </w:pPr>
      <w:bookmarkStart w:id="0" w:name="_Toc135703123"/>
      <w:r w:rsidRPr="00E266CD">
        <w:rPr>
          <w:color w:val="000000"/>
        </w:rPr>
        <w:t>PJESA I</w:t>
      </w:r>
      <w:r w:rsidR="00417E27" w:rsidRPr="00E266CD">
        <w:rPr>
          <w:color w:val="000000"/>
        </w:rPr>
        <w:t xml:space="preserve"> –</w:t>
      </w:r>
      <w:r w:rsidRPr="00E266CD">
        <w:rPr>
          <w:color w:val="000000"/>
        </w:rPr>
        <w:t xml:space="preserve"> KONTEKSTI STRATEGJIK</w:t>
      </w:r>
      <w:bookmarkEnd w:id="0"/>
    </w:p>
    <w:p w14:paraId="3C76787F" w14:textId="77777777" w:rsidR="00F91888" w:rsidRPr="00E266CD" w:rsidRDefault="00F91888" w:rsidP="00F91888">
      <w:pPr>
        <w:pStyle w:val="Heading1"/>
        <w:spacing w:before="0"/>
        <w:ind w:firstLine="284"/>
        <w:rPr>
          <w:rFonts w:ascii="Garamond" w:hAnsi="Garamond"/>
          <w:color w:val="000000"/>
          <w:sz w:val="24"/>
        </w:rPr>
      </w:pPr>
      <w:bookmarkStart w:id="1" w:name="_Toc135703124"/>
      <w:r w:rsidRPr="00E266CD">
        <w:rPr>
          <w:rFonts w:ascii="Garamond" w:hAnsi="Garamond"/>
          <w:color w:val="000000"/>
          <w:sz w:val="24"/>
        </w:rPr>
        <w:t>1. Përmbledhje dhe qëllimi i dokumentit strategjik</w:t>
      </w:r>
      <w:bookmarkEnd w:id="1"/>
    </w:p>
    <w:p w14:paraId="27F9685F" w14:textId="56AEC78B" w:rsidR="00F91888" w:rsidRPr="00E266CD" w:rsidRDefault="00F91888" w:rsidP="00F91888">
      <w:pPr>
        <w:ind w:firstLine="284"/>
        <w:rPr>
          <w:rFonts w:ascii="Garamond" w:eastAsia="Times New Roman" w:hAnsi="Garamond"/>
          <w:color w:val="000000"/>
          <w:sz w:val="24"/>
          <w:szCs w:val="24"/>
        </w:rPr>
      </w:pPr>
      <w:r w:rsidRPr="00E266CD">
        <w:rPr>
          <w:rFonts w:ascii="Garamond" w:eastAsia="Times New Roman" w:hAnsi="Garamond"/>
          <w:sz w:val="24"/>
          <w:szCs w:val="24"/>
        </w:rPr>
        <w:t>Strategjia Kombëtare për Kërkimin Shkencor, Teknologjinë dhe Inovacionin (SKKSHTI) 2023</w:t>
      </w:r>
      <w:r w:rsidR="00094425" w:rsidRPr="00E266CD">
        <w:rPr>
          <w:rFonts w:ascii="Garamond" w:hAnsi="Garamond"/>
          <w:sz w:val="24"/>
        </w:rPr>
        <w:t>–</w:t>
      </w:r>
      <w:r w:rsidRPr="00E266CD">
        <w:rPr>
          <w:rFonts w:ascii="Garamond" w:eastAsia="Times New Roman" w:hAnsi="Garamond"/>
          <w:sz w:val="24"/>
          <w:szCs w:val="24"/>
        </w:rPr>
        <w:t>2030 u hartua në përfundim të ciklit të SKKSHTI 2017</w:t>
      </w:r>
      <w:r w:rsidR="00094425" w:rsidRPr="00E266CD">
        <w:rPr>
          <w:rFonts w:ascii="Garamond" w:hAnsi="Garamond"/>
          <w:sz w:val="24"/>
        </w:rPr>
        <w:t>–</w:t>
      </w:r>
      <w:r w:rsidRPr="00E266CD">
        <w:rPr>
          <w:rFonts w:ascii="Garamond" w:eastAsia="Times New Roman" w:hAnsi="Garamond"/>
          <w:sz w:val="24"/>
          <w:szCs w:val="24"/>
        </w:rPr>
        <w:t>2022.</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Kjo strategji është hartuar si një dokument politikash afatmesëm</w:t>
      </w:r>
      <w:r w:rsidR="00E266CD">
        <w:rPr>
          <w:rFonts w:ascii="Garamond" w:eastAsia="Times New Roman" w:hAnsi="Garamond"/>
          <w:sz w:val="24"/>
          <w:szCs w:val="24"/>
        </w:rPr>
        <w:t>,</w:t>
      </w:r>
      <w:r w:rsidRPr="00E266CD">
        <w:rPr>
          <w:rFonts w:ascii="Garamond" w:eastAsia="Times New Roman" w:hAnsi="Garamond"/>
          <w:sz w:val="24"/>
          <w:szCs w:val="24"/>
        </w:rPr>
        <w:t xml:space="preserve"> e shtrirë në 8 vite</w:t>
      </w:r>
      <w:r w:rsidR="00E266CD">
        <w:rPr>
          <w:rFonts w:ascii="Garamond" w:eastAsia="Times New Roman" w:hAnsi="Garamond"/>
          <w:sz w:val="24"/>
          <w:szCs w:val="24"/>
        </w:rPr>
        <w:t>,</w:t>
      </w:r>
      <w:r w:rsidRPr="00E266CD">
        <w:rPr>
          <w:rFonts w:ascii="Garamond" w:eastAsia="Times New Roman" w:hAnsi="Garamond"/>
          <w:sz w:val="24"/>
          <w:szCs w:val="24"/>
        </w:rPr>
        <w:t xml:space="preserve"> duke qenë në këtë mënyrë në përputhje edhe me Strategjinë Kombëtare për Zhvillim dhe Integrim 2022</w:t>
      </w:r>
      <w:r w:rsidR="00094425" w:rsidRPr="00E266CD">
        <w:rPr>
          <w:rFonts w:ascii="Garamond" w:hAnsi="Garamond"/>
          <w:sz w:val="24"/>
        </w:rPr>
        <w:t>–</w:t>
      </w:r>
      <w:r w:rsidRPr="00E266CD">
        <w:rPr>
          <w:rFonts w:ascii="Garamond" w:eastAsia="Times New Roman" w:hAnsi="Garamond"/>
          <w:sz w:val="24"/>
          <w:szCs w:val="24"/>
        </w:rPr>
        <w:t xml:space="preserve">2030. Gjithashtu, strategjia është hartuar në përputhje dhe kontribuon në realizimin e Agjendës 2030 për Zhvillim të Qëndrueshëm, e miratuar në vitin 2015 nga qeveria shqiptare. </w:t>
      </w:r>
      <w:r w:rsidRPr="00E266CD">
        <w:rPr>
          <w:rFonts w:ascii="Garamond" w:eastAsia="Times New Roman" w:hAnsi="Garamond"/>
          <w:color w:val="000000"/>
          <w:sz w:val="24"/>
          <w:szCs w:val="24"/>
        </w:rPr>
        <w:t>Në këtë dokument strategjik parashikohet në një formë gjithëpërfshirëse vizioni i strategjisë, qëllimet e politikave, objektivat specifikë për secilin qëllim dhe masat e nevojshme për arritjen e secilit objektiv specifik. Në të njëjtën kohë, dokumenti strategjik parashikon edhe treguesit kryesorë të performancës, me qëllim matjen e rezultateve për arritjen e objektivave specifikë dhe përmbushjen e qëllimeve të politikave. Për të siguruar arritjen e objektivave specifikë, SKKSHTI është shoqëruar me Planin e Veprimit të Strategjisë që mbulon të njëjtën periudhë 202</w:t>
      </w:r>
      <w:r w:rsidRPr="00E266CD">
        <w:rPr>
          <w:rFonts w:ascii="Garamond" w:eastAsia="Times New Roman" w:hAnsi="Garamond"/>
          <w:sz w:val="24"/>
          <w:szCs w:val="24"/>
        </w:rPr>
        <w:t>3</w:t>
      </w:r>
      <w:r w:rsidR="00094425" w:rsidRPr="00E266CD">
        <w:rPr>
          <w:rFonts w:ascii="Garamond" w:hAnsi="Garamond"/>
          <w:sz w:val="24"/>
        </w:rPr>
        <w:t>–</w:t>
      </w:r>
      <w:r w:rsidRPr="00E266CD">
        <w:rPr>
          <w:rFonts w:ascii="Garamond" w:eastAsia="Times New Roman" w:hAnsi="Garamond"/>
          <w:color w:val="000000"/>
          <w:sz w:val="24"/>
          <w:szCs w:val="24"/>
        </w:rPr>
        <w:t>2030, si edhe parashikon buxhetin e nevojshëm për realizimin e masave të parashikuara për çdo objektiv dhe qëllim politik. Plani i veprimit është hartuar me synimin për të zbërthyer në hollësi masat e detajuara që secili institucion do të ndërmarrë në përmbushje të secilit objektiv specifik</w:t>
      </w:r>
      <w:r w:rsidR="00E266CD">
        <w:rPr>
          <w:rFonts w:ascii="Garamond" w:eastAsia="Times New Roman" w:hAnsi="Garamond"/>
          <w:color w:val="000000"/>
          <w:sz w:val="24"/>
          <w:szCs w:val="24"/>
        </w:rPr>
        <w:t>,</w:t>
      </w:r>
      <w:r w:rsidRPr="00E266CD">
        <w:rPr>
          <w:rFonts w:ascii="Garamond" w:eastAsia="Times New Roman" w:hAnsi="Garamond"/>
          <w:color w:val="000000"/>
          <w:sz w:val="24"/>
          <w:szCs w:val="24"/>
        </w:rPr>
        <w:t xml:space="preserve"> me qëllimin final përmbushjen e qëllimeve të politikës dhe arritjen e vizionit të qeverisë shqiptare në kuadër të kërkimit shkencor, teknologjisë dhe inovacionit.</w:t>
      </w:r>
    </w:p>
    <w:p w14:paraId="2625BBE3" w14:textId="7BFB5402" w:rsidR="00F91888" w:rsidRPr="00E266CD" w:rsidRDefault="00F91888" w:rsidP="00F91888">
      <w:pPr>
        <w:tabs>
          <w:tab w:val="left" w:pos="4680"/>
        </w:tabs>
        <w:ind w:firstLine="284"/>
        <w:rPr>
          <w:rFonts w:ascii="Garamond" w:eastAsia="Times New Roman" w:hAnsi="Garamond"/>
          <w:sz w:val="24"/>
          <w:szCs w:val="24"/>
        </w:rPr>
      </w:pPr>
      <w:r w:rsidRPr="00E266CD">
        <w:rPr>
          <w:rFonts w:ascii="Garamond" w:eastAsia="Times New Roman" w:hAnsi="Garamond"/>
          <w:color w:val="000000"/>
          <w:sz w:val="24"/>
          <w:szCs w:val="24"/>
        </w:rPr>
        <w:t>Duke marrë në konsideratë se kërkimi shkencor dhe inovacioni ka një sferë të gjerë veprimi dhe ndërthuret me disa fusha, ky dokument është konceptuar si një strategji ombrellë, e cila do të përmbajë objektivat më të rëndësishm</w:t>
      </w:r>
      <w:r w:rsidR="00E266CD">
        <w:rPr>
          <w:rFonts w:ascii="Garamond" w:eastAsia="Times New Roman" w:hAnsi="Garamond"/>
          <w:color w:val="000000"/>
          <w:sz w:val="24"/>
          <w:szCs w:val="24"/>
        </w:rPr>
        <w:t>e</w:t>
      </w:r>
      <w:r w:rsidRPr="00E266CD">
        <w:rPr>
          <w:rFonts w:ascii="Garamond" w:eastAsia="Times New Roman" w:hAnsi="Garamond"/>
          <w:color w:val="000000"/>
          <w:sz w:val="24"/>
          <w:szCs w:val="24"/>
        </w:rPr>
        <w:t xml:space="preserve"> për përmbushjen e qëllimeve politike në fushën e kërkimit shkencor, teknologjisë dhe inovacionit nën drejtimin e </w:t>
      </w:r>
      <w:r w:rsidR="00E266CD">
        <w:rPr>
          <w:rFonts w:ascii="Garamond" w:eastAsia="Times New Roman" w:hAnsi="Garamond"/>
          <w:color w:val="000000"/>
          <w:sz w:val="24"/>
          <w:szCs w:val="24"/>
        </w:rPr>
        <w:t>m</w:t>
      </w:r>
      <w:r w:rsidRPr="00E266CD">
        <w:rPr>
          <w:rFonts w:ascii="Garamond" w:eastAsia="Times New Roman" w:hAnsi="Garamond"/>
          <w:color w:val="000000"/>
          <w:sz w:val="24"/>
          <w:szCs w:val="24"/>
        </w:rPr>
        <w:t>inistrisë përgjegjëse për arsimin dhe kërkimin shkencor.</w:t>
      </w:r>
    </w:p>
    <w:p w14:paraId="10A5AFDC" w14:textId="77777777" w:rsidR="00F91888" w:rsidRPr="00E266CD" w:rsidRDefault="00F91888" w:rsidP="00F91888">
      <w:pPr>
        <w:pStyle w:val="TEKSTIIII"/>
        <w:rPr>
          <w:b/>
        </w:rPr>
      </w:pPr>
      <w:bookmarkStart w:id="2" w:name="_Toc135703125"/>
      <w:r w:rsidRPr="00E266CD">
        <w:rPr>
          <w:b/>
        </w:rPr>
        <w:t>Performanca e Shqipërisë në programet kombëtare dhe ndërkombëtare të kërkimit shkencor (veçanërisht në programin kuadër H2020)</w:t>
      </w:r>
      <w:bookmarkEnd w:id="2"/>
    </w:p>
    <w:p w14:paraId="3F584DD5" w14:textId="58B7D3C5"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Strategjia e </w:t>
      </w:r>
      <w:r w:rsidR="00E266CD">
        <w:rPr>
          <w:rFonts w:ascii="Garamond" w:eastAsia="Times New Roman" w:hAnsi="Garamond"/>
          <w:sz w:val="24"/>
          <w:szCs w:val="24"/>
        </w:rPr>
        <w:t>r</w:t>
      </w:r>
      <w:r w:rsidRPr="00E266CD">
        <w:rPr>
          <w:rFonts w:ascii="Garamond" w:eastAsia="Times New Roman" w:hAnsi="Garamond"/>
          <w:sz w:val="24"/>
          <w:szCs w:val="24"/>
        </w:rPr>
        <w:t>e për Ballkanin Perëndimor</w:t>
      </w:r>
      <w:r w:rsidR="00E266CD">
        <w:rPr>
          <w:rFonts w:ascii="Garamond" w:eastAsia="Times New Roman" w:hAnsi="Garamond"/>
          <w:sz w:val="24"/>
          <w:szCs w:val="24"/>
        </w:rPr>
        <w:t>,</w:t>
      </w:r>
      <w:r w:rsidRPr="00E266CD">
        <w:rPr>
          <w:rFonts w:ascii="Garamond" w:eastAsia="Times New Roman" w:hAnsi="Garamond"/>
          <w:sz w:val="24"/>
          <w:szCs w:val="24"/>
        </w:rPr>
        <w:t xml:space="preserve"> prezantuar nga Komisioni Evropian në 2018</w:t>
      </w:r>
      <w:r w:rsidR="00E266CD">
        <w:rPr>
          <w:rFonts w:ascii="Garamond" w:eastAsia="Times New Roman" w:hAnsi="Garamond"/>
          <w:sz w:val="24"/>
          <w:szCs w:val="24"/>
        </w:rPr>
        <w:t>,</w:t>
      </w:r>
      <w:r w:rsidRPr="00E266CD">
        <w:rPr>
          <w:rFonts w:ascii="Garamond" w:eastAsia="Times New Roman" w:hAnsi="Garamond"/>
          <w:sz w:val="24"/>
          <w:szCs w:val="24"/>
        </w:rPr>
        <w:t xml:space="preserve"> njeh “edukimin, kulturën, rininë dhe sportet së bashku me kërkimin shkencor dhe inovacionin”</w:t>
      </w:r>
      <w:r w:rsidR="00E266CD">
        <w:rPr>
          <w:rFonts w:ascii="Garamond" w:eastAsia="Times New Roman" w:hAnsi="Garamond"/>
          <w:sz w:val="24"/>
          <w:szCs w:val="24"/>
        </w:rPr>
        <w:t>,</w:t>
      </w:r>
      <w:r w:rsidRPr="00E266CD">
        <w:rPr>
          <w:rFonts w:ascii="Garamond" w:eastAsia="Times New Roman" w:hAnsi="Garamond"/>
          <w:sz w:val="24"/>
          <w:szCs w:val="24"/>
        </w:rPr>
        <w:t xml:space="preserve"> si treguesit kryesorë për të nxitur zhvillimin ekonomik të rajonit, konkurrencën dhe kohezionin social.</w:t>
      </w:r>
      <w:r w:rsidRPr="00E266CD">
        <w:rPr>
          <w:rFonts w:ascii="Garamond" w:eastAsia="Times New Roman" w:hAnsi="Garamond"/>
          <w:sz w:val="24"/>
          <w:szCs w:val="24"/>
          <w:vertAlign w:val="superscript"/>
        </w:rPr>
        <w:footnoteReference w:id="2"/>
      </w:r>
    </w:p>
    <w:p w14:paraId="39AEC616" w14:textId="16220470"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color w:val="000000"/>
          <w:sz w:val="24"/>
          <w:szCs w:val="24"/>
        </w:rPr>
        <w:t xml:space="preserve">Pjesëmarrja e Shqipërisë në </w:t>
      </w:r>
      <w:r w:rsidRPr="009A203C">
        <w:rPr>
          <w:rFonts w:ascii="Garamond" w:eastAsia="Times New Roman" w:hAnsi="Garamond"/>
          <w:i/>
          <w:color w:val="000000"/>
          <w:sz w:val="24"/>
          <w:szCs w:val="24"/>
        </w:rPr>
        <w:t>Horizon</w:t>
      </w:r>
      <w:r w:rsidRPr="00E266CD">
        <w:rPr>
          <w:rFonts w:ascii="Garamond" w:eastAsia="Times New Roman" w:hAnsi="Garamond"/>
          <w:color w:val="000000"/>
          <w:sz w:val="24"/>
          <w:szCs w:val="24"/>
        </w:rPr>
        <w:t xml:space="preserve"> 2020 është përmirësuar dhe ka arritur rezultate të kënaqshme. Lidhur me këtë program, gjatë periudhës 2014</w:t>
      </w:r>
      <w:r w:rsidR="00094425" w:rsidRPr="00E266CD">
        <w:rPr>
          <w:rFonts w:ascii="Garamond" w:hAnsi="Garamond"/>
          <w:sz w:val="24"/>
        </w:rPr>
        <w:t>–</w:t>
      </w:r>
      <w:r w:rsidRPr="00E266CD">
        <w:rPr>
          <w:rFonts w:ascii="Garamond" w:eastAsia="Times New Roman" w:hAnsi="Garamond"/>
          <w:color w:val="000000"/>
          <w:sz w:val="24"/>
          <w:szCs w:val="24"/>
        </w:rPr>
        <w:t>2022 janë paraqitur</w:t>
      </w:r>
      <w:r w:rsidRPr="00E266CD">
        <w:rPr>
          <w:rFonts w:ascii="Garamond" w:eastAsia="Times New Roman" w:hAnsi="Garamond"/>
          <w:sz w:val="24"/>
          <w:szCs w:val="24"/>
        </w:rPr>
        <w:t xml:space="preserve"> një numër total prej 605 aplikimesh nga të cilat janë shpallur </w:t>
      </w:r>
      <w:r w:rsidRPr="00E266CD">
        <w:rPr>
          <w:rFonts w:ascii="Garamond" w:eastAsia="Times New Roman" w:hAnsi="Garamond"/>
          <w:color w:val="000000"/>
          <w:sz w:val="24"/>
          <w:szCs w:val="24"/>
        </w:rPr>
        <w:t xml:space="preserve">fitues 53 aplikime për pjesëmarrje në veprime të </w:t>
      </w:r>
      <w:r w:rsidRPr="009A203C">
        <w:rPr>
          <w:rFonts w:ascii="Garamond" w:eastAsia="Times New Roman" w:hAnsi="Garamond"/>
          <w:i/>
          <w:color w:val="000000"/>
          <w:sz w:val="24"/>
          <w:szCs w:val="24"/>
        </w:rPr>
        <w:t>Horizon</w:t>
      </w:r>
      <w:r w:rsidRPr="00E266CD">
        <w:rPr>
          <w:rFonts w:ascii="Garamond" w:eastAsia="Times New Roman" w:hAnsi="Garamond"/>
          <w:color w:val="000000"/>
          <w:sz w:val="24"/>
          <w:szCs w:val="24"/>
        </w:rPr>
        <w:t xml:space="preserve"> 2020, duke përfituar 5.82 milionë euro të kontributit të drejtpërdrejtë të BE-së. Gjithashtu, gjatë periudhës </w:t>
      </w:r>
      <w:r w:rsidRPr="00E266CD">
        <w:rPr>
          <w:rFonts w:ascii="Garamond" w:eastAsia="Times New Roman" w:hAnsi="Garamond"/>
          <w:sz w:val="24"/>
          <w:szCs w:val="24"/>
        </w:rPr>
        <w:t>2017</w:t>
      </w:r>
      <w:r w:rsidR="00094425" w:rsidRPr="00E266CD">
        <w:rPr>
          <w:rFonts w:ascii="Garamond" w:hAnsi="Garamond"/>
          <w:sz w:val="24"/>
        </w:rPr>
        <w:t>–</w:t>
      </w:r>
      <w:r w:rsidRPr="00E266CD">
        <w:rPr>
          <w:rFonts w:ascii="Garamond" w:eastAsia="Times New Roman" w:hAnsi="Garamond"/>
          <w:sz w:val="24"/>
          <w:szCs w:val="24"/>
        </w:rPr>
        <w:t>2022</w:t>
      </w:r>
      <w:r w:rsidR="00E266CD">
        <w:rPr>
          <w:rFonts w:ascii="Garamond" w:eastAsia="Times New Roman" w:hAnsi="Garamond"/>
          <w:sz w:val="24"/>
          <w:szCs w:val="24"/>
        </w:rPr>
        <w:t>,</w:t>
      </w:r>
      <w:r w:rsidRPr="00E266CD">
        <w:rPr>
          <w:rFonts w:ascii="Garamond" w:eastAsia="Times New Roman" w:hAnsi="Garamond"/>
          <w:sz w:val="24"/>
          <w:szCs w:val="24"/>
        </w:rPr>
        <w:t xml:space="preserve"> janë rritur aplikimet dhe projektet e fituara me më shumë se 10% në </w:t>
      </w:r>
      <w:r w:rsidRPr="00E266CD">
        <w:rPr>
          <w:rFonts w:ascii="Garamond" w:eastAsia="Times New Roman" w:hAnsi="Garamond"/>
          <w:sz w:val="24"/>
          <w:szCs w:val="24"/>
        </w:rPr>
        <w:lastRenderedPageBreak/>
        <w:t xml:space="preserve">vit. </w:t>
      </w:r>
      <w:r w:rsidRPr="00E266CD">
        <w:rPr>
          <w:rFonts w:ascii="Garamond" w:eastAsia="Times New Roman" w:hAnsi="Garamond"/>
          <w:color w:val="000000"/>
          <w:sz w:val="24"/>
          <w:szCs w:val="24"/>
        </w:rPr>
        <w:t xml:space="preserve">Shkalla e suksesit të propozimeve me pjesëmarrje shqiptare është 8,7% (nga 7.8% që nga viti i kaluar) krahasuar me 12.1% normë suksesi të vendeve në </w:t>
      </w:r>
      <w:r w:rsidRPr="009A203C">
        <w:rPr>
          <w:rFonts w:ascii="Garamond" w:eastAsia="Times New Roman" w:hAnsi="Garamond"/>
          <w:i/>
          <w:color w:val="000000"/>
          <w:sz w:val="24"/>
          <w:szCs w:val="24"/>
        </w:rPr>
        <w:t>Horizon</w:t>
      </w:r>
      <w:r w:rsidRPr="00E266CD">
        <w:rPr>
          <w:rFonts w:ascii="Garamond" w:eastAsia="Times New Roman" w:hAnsi="Garamond"/>
          <w:color w:val="000000"/>
          <w:sz w:val="24"/>
          <w:szCs w:val="24"/>
        </w:rPr>
        <w:t xml:space="preserve"> 2020. </w:t>
      </w:r>
      <w:r w:rsidRPr="00E266CD">
        <w:rPr>
          <w:rFonts w:ascii="Garamond" w:eastAsia="Times New Roman" w:hAnsi="Garamond"/>
          <w:sz w:val="24"/>
          <w:szCs w:val="24"/>
        </w:rPr>
        <w:t xml:space="preserve">Rezultatet e Shqipërisë në </w:t>
      </w:r>
      <w:r w:rsidR="009A203C" w:rsidRPr="00E266CD">
        <w:rPr>
          <w:rFonts w:ascii="Garamond" w:eastAsia="Times New Roman" w:hAnsi="Garamond"/>
          <w:sz w:val="24"/>
          <w:szCs w:val="24"/>
        </w:rPr>
        <w:t xml:space="preserve">programin </w:t>
      </w:r>
      <w:r w:rsidRPr="009A203C">
        <w:rPr>
          <w:rFonts w:ascii="Garamond" w:eastAsia="Times New Roman" w:hAnsi="Garamond"/>
          <w:i/>
          <w:sz w:val="24"/>
          <w:szCs w:val="24"/>
        </w:rPr>
        <w:t>Horizon</w:t>
      </w:r>
      <w:r w:rsidRPr="00E266CD">
        <w:rPr>
          <w:rFonts w:ascii="Garamond" w:eastAsia="Times New Roman" w:hAnsi="Garamond"/>
          <w:sz w:val="24"/>
          <w:szCs w:val="24"/>
        </w:rPr>
        <w:t xml:space="preserve"> 2020 janë pothuajse tre herë më të larta se e njëjta periudhë e programit paraardhës (FP7)</w:t>
      </w:r>
      <w:r w:rsidRPr="00E266CD">
        <w:rPr>
          <w:rFonts w:ascii="Garamond" w:eastAsia="Times New Roman" w:hAnsi="Garamond"/>
          <w:color w:val="000000"/>
          <w:sz w:val="24"/>
          <w:szCs w:val="24"/>
        </w:rPr>
        <w:t xml:space="preserve">. </w:t>
      </w:r>
      <w:r w:rsidRPr="00E266CD">
        <w:rPr>
          <w:rFonts w:ascii="Garamond" w:eastAsia="Times New Roman" w:hAnsi="Garamond"/>
          <w:sz w:val="24"/>
          <w:szCs w:val="24"/>
        </w:rPr>
        <w:t>Megjithatë, pjesëmarrja e sektorit privat në program vazhdon të mbetet veçanërisht e ulët.</w:t>
      </w:r>
      <w:r w:rsidRPr="00E266CD">
        <w:rPr>
          <w:rFonts w:ascii="Garamond" w:eastAsia="Times New Roman" w:hAnsi="Garamond"/>
          <w:sz w:val="24"/>
          <w:szCs w:val="24"/>
          <w:vertAlign w:val="superscript"/>
        </w:rPr>
        <w:footnoteReference w:id="3"/>
      </w:r>
    </w:p>
    <w:p w14:paraId="00F20E71" w14:textId="7777777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Përmes marrëveshjeve dypalëshe për bashkëpunim shkencor dhe teknologjik, AKKSHI ka krijuar hapësira për lehtësimin e lëvizjes së kërkuesve të huaj. AKKSHI aktualisht po monitoron zbatimin e Marrëveshjeve me Republikën e Italisë, Austrisë, Kosovës. Gjithashtu, Shqipëria është duke rishikuar marrëveshjen ekzistuese me Turqinë, si dhe duke hartuar një marrëveshje të re me Republikën e Maltës. Aktualisht ekzistojnë marrëveshje ndërkombëtare të bashkëpunimit dypalësh, të ndara si më poshtë: </w:t>
      </w:r>
    </w:p>
    <w:p w14:paraId="6120AD5C" w14:textId="6FECA502" w:rsidR="00F91888" w:rsidRPr="00E266CD" w:rsidRDefault="00F91888" w:rsidP="00F91888">
      <w:pPr>
        <w:pStyle w:val="TEKSTIIII"/>
      </w:pPr>
      <w:r w:rsidRPr="00E266CD">
        <w:t>- 32 (tridhjetë e dy) marrëveshje me vendet e BE-së;</w:t>
      </w:r>
    </w:p>
    <w:p w14:paraId="3DA797FC" w14:textId="3F886DE4" w:rsidR="00F91888" w:rsidRPr="00E266CD" w:rsidRDefault="00F91888" w:rsidP="00F91888">
      <w:pPr>
        <w:pStyle w:val="TEKSTIIII"/>
      </w:pPr>
      <w:r w:rsidRPr="00E266CD">
        <w:t>- 5 (pesë) marrëveshje me vendet e Ballkanit Perëndimor;</w:t>
      </w:r>
    </w:p>
    <w:p w14:paraId="617E83A0" w14:textId="64832E1E" w:rsidR="00F91888" w:rsidRPr="00E266CD" w:rsidRDefault="00F91888" w:rsidP="00F91888">
      <w:pPr>
        <w:pStyle w:val="TEKSTIIII"/>
      </w:pPr>
      <w:r w:rsidRPr="00E266CD">
        <w:t>-</w:t>
      </w:r>
      <w:r w:rsidR="007715D0" w:rsidRPr="00E266CD">
        <w:t xml:space="preserve"> </w:t>
      </w:r>
      <w:r w:rsidRPr="00E266CD">
        <w:t>6 (gjashtë) marrëveshje me shtete në Amerikë, Azi, Afrikë.</w:t>
      </w:r>
    </w:p>
    <w:p w14:paraId="4D8C6C3D" w14:textId="74925BB5"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Në kuadër të </w:t>
      </w:r>
      <w:r w:rsidR="009A203C" w:rsidRPr="00E266CD">
        <w:rPr>
          <w:rFonts w:ascii="Garamond" w:eastAsia="Times New Roman" w:hAnsi="Garamond"/>
          <w:color w:val="000000"/>
          <w:sz w:val="24"/>
          <w:szCs w:val="24"/>
        </w:rPr>
        <w:t xml:space="preserve">programit </w:t>
      </w:r>
      <w:r w:rsidRPr="009A203C">
        <w:rPr>
          <w:rFonts w:ascii="Garamond" w:eastAsia="Times New Roman" w:hAnsi="Garamond"/>
          <w:i/>
          <w:color w:val="000000"/>
          <w:sz w:val="24"/>
          <w:szCs w:val="24"/>
        </w:rPr>
        <w:t>Horizon</w:t>
      </w:r>
      <w:r w:rsidRPr="00E266CD">
        <w:rPr>
          <w:rFonts w:ascii="Garamond" w:eastAsia="Times New Roman" w:hAnsi="Garamond"/>
          <w:color w:val="000000"/>
          <w:sz w:val="24"/>
          <w:szCs w:val="24"/>
        </w:rPr>
        <w:t xml:space="preserve"> 2020, AKKSHI ka organizuar 250 ditë informuese dhe trajnuese, në IAL-të publike dhe jopublike. Një fokus të veçantë kanë pasur Thirrjet Tematike </w:t>
      </w:r>
      <w:r w:rsidRPr="009A203C">
        <w:rPr>
          <w:rFonts w:ascii="Garamond" w:eastAsia="Times New Roman" w:hAnsi="Garamond"/>
          <w:i/>
          <w:color w:val="000000"/>
          <w:sz w:val="24"/>
          <w:szCs w:val="24"/>
        </w:rPr>
        <w:t>Horizon</w:t>
      </w:r>
      <w:r w:rsidRPr="00E266CD">
        <w:rPr>
          <w:rFonts w:ascii="Garamond" w:eastAsia="Times New Roman" w:hAnsi="Garamond"/>
          <w:color w:val="000000"/>
          <w:sz w:val="24"/>
          <w:szCs w:val="24"/>
        </w:rPr>
        <w:t xml:space="preserve"> 2020 në ardhje, </w:t>
      </w:r>
      <w:r w:rsidR="00055A3F">
        <w:rPr>
          <w:rFonts w:ascii="Garamond" w:eastAsia="Times New Roman" w:hAnsi="Garamond"/>
          <w:color w:val="000000"/>
          <w:sz w:val="24"/>
          <w:szCs w:val="24"/>
        </w:rPr>
        <w:t>r</w:t>
      </w:r>
      <w:r w:rsidRPr="00E266CD">
        <w:rPr>
          <w:rFonts w:ascii="Garamond" w:eastAsia="Times New Roman" w:hAnsi="Garamond"/>
          <w:color w:val="000000"/>
          <w:sz w:val="24"/>
          <w:szCs w:val="24"/>
        </w:rPr>
        <w:t>rjetet NCP, CORDIS dhe gjetja e partnerëve.</w:t>
      </w:r>
    </w:p>
    <w:p w14:paraId="1F213535" w14:textId="4FE52D2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Një nga detyrat e Sektorit të Marrëdhënieve Multilaterale</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xml:space="preserve"> gjatë vitit 2021</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xml:space="preserve"> ka qenë nxitja dhe përfshirja e Agjencisë Kombëtare të Kërkimit Shkencor dhe Inovacionit</w:t>
      </w:r>
      <w:r w:rsidR="00055A3F">
        <w:rPr>
          <w:rFonts w:ascii="Garamond" w:eastAsia="Times New Roman" w:hAnsi="Garamond"/>
          <w:color w:val="000000"/>
          <w:sz w:val="24"/>
          <w:szCs w:val="24"/>
        </w:rPr>
        <w:t>,</w:t>
      </w:r>
      <w:r w:rsidR="007715D0" w:rsidRPr="00E266CD">
        <w:rPr>
          <w:rFonts w:ascii="Garamond" w:eastAsia="Times New Roman" w:hAnsi="Garamond"/>
          <w:color w:val="000000"/>
          <w:sz w:val="24"/>
          <w:szCs w:val="24"/>
        </w:rPr>
        <w:t xml:space="preserve"> </w:t>
      </w:r>
      <w:r w:rsidRPr="00E266CD">
        <w:rPr>
          <w:rFonts w:ascii="Garamond" w:eastAsia="Times New Roman" w:hAnsi="Garamond"/>
          <w:color w:val="000000"/>
          <w:sz w:val="24"/>
          <w:szCs w:val="24"/>
        </w:rPr>
        <w:t>AKKSHI</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xml:space="preserve"> si organizatë partnere në projekte të ndryshme në kuadër të </w:t>
      </w:r>
      <w:r w:rsidRPr="00E266CD">
        <w:rPr>
          <w:rFonts w:ascii="Garamond" w:eastAsia="Times New Roman" w:hAnsi="Garamond"/>
          <w:i/>
          <w:color w:val="000000"/>
          <w:sz w:val="24"/>
          <w:szCs w:val="24"/>
        </w:rPr>
        <w:t>Horizon Europe</w:t>
      </w:r>
      <w:r w:rsidRPr="00E266CD">
        <w:rPr>
          <w:rFonts w:ascii="Garamond" w:eastAsia="Times New Roman" w:hAnsi="Garamond"/>
          <w:color w:val="000000"/>
          <w:sz w:val="24"/>
          <w:szCs w:val="24"/>
        </w:rPr>
        <w:t xml:space="preserve">, IPA, IPA </w:t>
      </w:r>
      <w:r w:rsidRPr="00E266CD">
        <w:rPr>
          <w:rFonts w:ascii="Garamond" w:eastAsia="Times New Roman" w:hAnsi="Garamond"/>
          <w:i/>
          <w:color w:val="000000"/>
          <w:sz w:val="24"/>
          <w:szCs w:val="24"/>
        </w:rPr>
        <w:t>Cross-Border</w:t>
      </w:r>
      <w:r w:rsidRPr="00E266CD">
        <w:rPr>
          <w:rFonts w:ascii="Garamond" w:eastAsia="Times New Roman" w:hAnsi="Garamond"/>
          <w:color w:val="000000"/>
          <w:sz w:val="24"/>
          <w:szCs w:val="24"/>
        </w:rPr>
        <w:t xml:space="preserve"> e INTEREG.</w:t>
      </w:r>
    </w:p>
    <w:p w14:paraId="5802EBF3" w14:textId="5290056E"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Me rëndësi ishte pjesëmarrja gjatë 2021</w:t>
      </w:r>
      <w:r w:rsidR="003135CB" w:rsidRPr="00E266CD">
        <w:rPr>
          <w:rFonts w:ascii="Garamond" w:hAnsi="Garamond"/>
          <w:sz w:val="24"/>
        </w:rPr>
        <w:t>–</w:t>
      </w:r>
      <w:r w:rsidRPr="00E266CD">
        <w:rPr>
          <w:rFonts w:ascii="Garamond" w:eastAsia="Times New Roman" w:hAnsi="Garamond"/>
          <w:color w:val="000000"/>
          <w:sz w:val="24"/>
          <w:szCs w:val="24"/>
        </w:rPr>
        <w:t>2022 në 5 projekte fituese</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xml:space="preserve"> në kuadër të </w:t>
      </w:r>
      <w:r w:rsidRPr="00055A3F">
        <w:rPr>
          <w:rFonts w:ascii="Garamond" w:eastAsia="Times New Roman" w:hAnsi="Garamond"/>
          <w:i/>
          <w:color w:val="000000"/>
          <w:sz w:val="24"/>
          <w:szCs w:val="24"/>
        </w:rPr>
        <w:t>Horizon Europe</w:t>
      </w:r>
      <w:r w:rsidRPr="00E266CD">
        <w:rPr>
          <w:rFonts w:ascii="Garamond" w:eastAsia="Times New Roman" w:hAnsi="Garamond"/>
          <w:color w:val="000000"/>
          <w:sz w:val="24"/>
          <w:szCs w:val="24"/>
        </w:rPr>
        <w:t xml:space="preserve">, IPA, IPA </w:t>
      </w:r>
      <w:r w:rsidRPr="00E266CD">
        <w:rPr>
          <w:rFonts w:ascii="Garamond" w:eastAsia="Times New Roman" w:hAnsi="Garamond"/>
          <w:i/>
          <w:color w:val="000000"/>
          <w:sz w:val="24"/>
          <w:szCs w:val="24"/>
        </w:rPr>
        <w:t>Cross-Border</w:t>
      </w:r>
      <w:r w:rsidRPr="00E266CD">
        <w:rPr>
          <w:rFonts w:ascii="Garamond" w:eastAsia="Times New Roman" w:hAnsi="Garamond"/>
          <w:color w:val="000000"/>
          <w:sz w:val="24"/>
          <w:szCs w:val="24"/>
        </w:rPr>
        <w:t xml:space="preserve"> e INTEREG. Gjithashtu, nga prilli i vitit 2018, Shqipëria është një nga anëtarët e COST pasi plotësoi kushtin e pjesëmarrjes në të paktën 5% të veprimeve COST.</w:t>
      </w:r>
    </w:p>
    <w:p w14:paraId="03229DE0" w14:textId="33DDA5E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2021, Shqipëria është bërë anëtare e plotë e programit EUREKA. Në të njëjtën kohë, ajo është e angazhuar në mënyrë aktive në Bashkëpunimin Evropian në Shkencë dhe Teknologji (COST) me pjesëmarrjen e rreth 200 kërkuesve shqiptarë. Me rëndësi shihet pjesëmarrja në Vlerësimin Evropian të Inovacionit (</w:t>
      </w:r>
      <w:r w:rsidRPr="00E266CD">
        <w:rPr>
          <w:rFonts w:ascii="Garamond" w:hAnsi="Garamond"/>
          <w:i/>
          <w:sz w:val="24"/>
        </w:rPr>
        <w:t>European Innovation Scoreboard</w:t>
      </w:r>
      <w:r w:rsidRPr="00E266CD">
        <w:rPr>
          <w:rFonts w:ascii="Garamond" w:eastAsia="Times New Roman" w:hAnsi="Garamond"/>
          <w:sz w:val="24"/>
          <w:szCs w:val="24"/>
        </w:rPr>
        <w:t>)</w:t>
      </w:r>
      <w:r w:rsidRPr="00E266CD">
        <w:rPr>
          <w:rFonts w:ascii="Garamond" w:eastAsia="Times New Roman" w:hAnsi="Garamond"/>
          <w:sz w:val="24"/>
          <w:szCs w:val="24"/>
          <w:vertAlign w:val="superscript"/>
        </w:rPr>
        <w:footnoteReference w:id="4"/>
      </w:r>
      <w:r w:rsidRPr="00E266CD">
        <w:rPr>
          <w:rFonts w:ascii="Garamond" w:eastAsia="Times New Roman" w:hAnsi="Garamond"/>
          <w:sz w:val="24"/>
          <w:szCs w:val="24"/>
        </w:rPr>
        <w:t>. Kërkimi shkencor, inovacioni dhe zhvillimi janë gjithashtu prioritete të shtetit shqiptar</w:t>
      </w:r>
      <w:r w:rsidR="00055A3F">
        <w:rPr>
          <w:rFonts w:ascii="Garamond" w:eastAsia="Times New Roman" w:hAnsi="Garamond"/>
          <w:sz w:val="24"/>
          <w:szCs w:val="24"/>
        </w:rPr>
        <w:t>,</w:t>
      </w:r>
      <w:r w:rsidRPr="00E266CD">
        <w:rPr>
          <w:rFonts w:ascii="Garamond" w:eastAsia="Times New Roman" w:hAnsi="Garamond"/>
          <w:sz w:val="24"/>
          <w:szCs w:val="24"/>
        </w:rPr>
        <w:t xml:space="preserve"> në kuadër të </w:t>
      </w:r>
      <w:r w:rsidR="00055A3F">
        <w:rPr>
          <w:rFonts w:ascii="Garamond" w:eastAsia="Times New Roman" w:hAnsi="Garamond"/>
          <w:sz w:val="24"/>
          <w:szCs w:val="24"/>
        </w:rPr>
        <w:t>p</w:t>
      </w:r>
      <w:r w:rsidRPr="00E266CD">
        <w:rPr>
          <w:rFonts w:ascii="Garamond" w:eastAsia="Times New Roman" w:hAnsi="Garamond"/>
          <w:sz w:val="24"/>
          <w:szCs w:val="24"/>
        </w:rPr>
        <w:t>rogramit të BE-së për Reformën Ekonomike (ERP).</w:t>
      </w:r>
      <w:r w:rsidRPr="00E266CD">
        <w:rPr>
          <w:rFonts w:ascii="Garamond" w:eastAsia="Times New Roman" w:hAnsi="Garamond"/>
          <w:sz w:val="24"/>
          <w:szCs w:val="24"/>
          <w:vertAlign w:val="superscript"/>
        </w:rPr>
        <w:footnoteReference w:id="5"/>
      </w:r>
    </w:p>
    <w:p w14:paraId="620F509F" w14:textId="7C967B68"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Për më tepër, Shqipëria ka marrë pjesë</w:t>
      </w:r>
      <w:r w:rsidR="00055A3F">
        <w:rPr>
          <w:rFonts w:ascii="Garamond" w:eastAsia="Times New Roman" w:hAnsi="Garamond"/>
          <w:sz w:val="24"/>
          <w:szCs w:val="24"/>
        </w:rPr>
        <w:t>,</w:t>
      </w:r>
      <w:r w:rsidRPr="00E266CD">
        <w:rPr>
          <w:rFonts w:ascii="Garamond" w:eastAsia="Times New Roman" w:hAnsi="Garamond"/>
          <w:sz w:val="24"/>
          <w:szCs w:val="24"/>
        </w:rPr>
        <w:t xml:space="preserve"> me mbështetjen e IPA-s</w:t>
      </w:r>
      <w:r w:rsidR="00055A3F">
        <w:rPr>
          <w:rFonts w:ascii="Garamond" w:eastAsia="Times New Roman" w:hAnsi="Garamond"/>
          <w:sz w:val="24"/>
          <w:szCs w:val="24"/>
        </w:rPr>
        <w:t>,</w:t>
      </w:r>
      <w:r w:rsidRPr="00E266CD">
        <w:rPr>
          <w:rFonts w:ascii="Garamond" w:eastAsia="Times New Roman" w:hAnsi="Garamond"/>
          <w:sz w:val="24"/>
          <w:szCs w:val="24"/>
        </w:rPr>
        <w:t xml:space="preserve"> në programet e bashkëpunimit ndërkombëtar të BE-së: Erasmus+, Evropa Kreative (Kultura dhe Media), Punësimi dhe Inovacioni Social, Programi për Konkur</w:t>
      </w:r>
      <w:r w:rsidR="000A23F0" w:rsidRPr="00E266CD">
        <w:rPr>
          <w:rFonts w:ascii="Garamond" w:eastAsia="Times New Roman" w:hAnsi="Garamond"/>
          <w:sz w:val="24"/>
          <w:szCs w:val="24"/>
        </w:rPr>
        <w:t>r</w:t>
      </w:r>
      <w:r w:rsidRPr="00E266CD">
        <w:rPr>
          <w:rFonts w:ascii="Garamond" w:eastAsia="Times New Roman" w:hAnsi="Garamond"/>
          <w:sz w:val="24"/>
          <w:szCs w:val="24"/>
        </w:rPr>
        <w:t>ueshmërinë e Ndërmarrjeve dhe Ndërmarrjeve të Vogla dhe të Mesme (COSME), Drejtësia, Evropa për Qytetarët dhe Agjencia për të Drejtat Themelore të BE-së.</w:t>
      </w:r>
      <w:r w:rsidRPr="00E266CD">
        <w:rPr>
          <w:rFonts w:ascii="Garamond" w:eastAsia="Times New Roman" w:hAnsi="Garamond"/>
          <w:sz w:val="24"/>
          <w:szCs w:val="24"/>
          <w:vertAlign w:val="superscript"/>
        </w:rPr>
        <w:footnoteReference w:id="6"/>
      </w:r>
      <w:r w:rsidRPr="00E266CD">
        <w:rPr>
          <w:rFonts w:ascii="Garamond" w:eastAsia="Times New Roman" w:hAnsi="Garamond"/>
          <w:sz w:val="24"/>
          <w:szCs w:val="24"/>
        </w:rPr>
        <w:t xml:space="preserve"> Në vitin 2022, Shqipëria nënshkroi Marrëveshjen e Asocimit </w:t>
      </w:r>
      <w:r w:rsidRPr="00055A3F">
        <w:rPr>
          <w:rFonts w:ascii="Garamond" w:eastAsia="Times New Roman" w:hAnsi="Garamond"/>
          <w:i/>
          <w:sz w:val="24"/>
          <w:szCs w:val="24"/>
        </w:rPr>
        <w:t>Horizon Europe</w:t>
      </w:r>
      <w:r w:rsidRPr="00E266CD">
        <w:rPr>
          <w:rFonts w:ascii="Garamond" w:eastAsia="Times New Roman" w:hAnsi="Garamond"/>
          <w:sz w:val="24"/>
          <w:szCs w:val="24"/>
        </w:rPr>
        <w:t>, e cila nënvizon rëndësinë që do të luajë në të ardhmen bashkëpunimi në fushën e kërkimit dhe inovacionit dhe fuqinë transformuese të politikave të kërkimit shkencor dhe inovacionit në përshpejtimin e reformave në fushën e digjitalizimit, ekonomisë së gjelbër dhe zhvillimeve teknologjike.</w:t>
      </w:r>
      <w:r w:rsidRPr="00E266CD">
        <w:rPr>
          <w:rFonts w:ascii="Garamond" w:eastAsia="Times New Roman" w:hAnsi="Garamond"/>
          <w:sz w:val="24"/>
          <w:szCs w:val="24"/>
          <w:vertAlign w:val="superscript"/>
        </w:rPr>
        <w:footnoteReference w:id="7"/>
      </w:r>
    </w:p>
    <w:p w14:paraId="0094D117" w14:textId="61892B75"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Gjithashtu, Shqipëria ka marrë pjesë në ciklet e vlerësimit ndërkombëtar të studentëve të kryer nga Organizata për Zhvillimin dhe Bashkëpunimin Ekonomik (OECD) nga viti 2000. Po kështu, Shqipëria ka qenë pjesë e shteteve të Ballkanit Perëndimor që ka përfunduar në vitin 2020 rishikimin e politikave arsimore nga OECD në bashkëpunim me UNICEF.</w:t>
      </w:r>
      <w:r w:rsidRPr="00E266CD">
        <w:rPr>
          <w:rFonts w:ascii="Garamond" w:eastAsia="Times New Roman" w:hAnsi="Garamond"/>
          <w:sz w:val="24"/>
          <w:szCs w:val="24"/>
          <w:vertAlign w:val="superscript"/>
        </w:rPr>
        <w:footnoteReference w:id="8"/>
      </w:r>
    </w:p>
    <w:p w14:paraId="682603FE" w14:textId="1CA3A0E2"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lastRenderedPageBreak/>
        <w:t xml:space="preserve">Në drejtim të inovacionit, krijimi i një ekosistemi të favorshëm për </w:t>
      </w:r>
      <w:r w:rsidRPr="00E266CD">
        <w:rPr>
          <w:rFonts w:ascii="Garamond" w:eastAsia="Times New Roman" w:hAnsi="Garamond"/>
          <w:i/>
          <w:sz w:val="24"/>
          <w:szCs w:val="24"/>
        </w:rPr>
        <w:t>startup</w:t>
      </w:r>
      <w:r w:rsidRPr="00E266CD">
        <w:rPr>
          <w:rFonts w:ascii="Garamond" w:eastAsia="Times New Roman" w:hAnsi="Garamond"/>
          <w:sz w:val="24"/>
          <w:szCs w:val="24"/>
        </w:rPr>
        <w:t>-et është bërë një prioritet për Shqipërinë. Në 2022</w:t>
      </w:r>
      <w:r w:rsidR="00055A3F">
        <w:rPr>
          <w:rFonts w:ascii="Garamond" w:eastAsia="Times New Roman" w:hAnsi="Garamond"/>
          <w:sz w:val="24"/>
          <w:szCs w:val="24"/>
        </w:rPr>
        <w:t>-shin</w:t>
      </w:r>
      <w:r w:rsidRPr="00E266CD">
        <w:rPr>
          <w:rFonts w:ascii="Garamond" w:eastAsia="Times New Roman" w:hAnsi="Garamond"/>
          <w:sz w:val="24"/>
          <w:szCs w:val="24"/>
        </w:rPr>
        <w:t xml:space="preserve"> u miratua ligji për inovacionin i dedikuar për </w:t>
      </w:r>
      <w:r w:rsidRPr="00E266CD">
        <w:rPr>
          <w:rFonts w:ascii="Garamond" w:eastAsia="Times New Roman" w:hAnsi="Garamond"/>
          <w:i/>
          <w:sz w:val="24"/>
          <w:szCs w:val="24"/>
        </w:rPr>
        <w:t>startup</w:t>
      </w:r>
      <w:r w:rsidR="00055A3F">
        <w:rPr>
          <w:rFonts w:ascii="Garamond" w:eastAsia="Times New Roman" w:hAnsi="Garamond"/>
          <w:sz w:val="24"/>
          <w:szCs w:val="24"/>
        </w:rPr>
        <w:t>-et</w:t>
      </w:r>
      <w:r w:rsidRPr="00E266CD">
        <w:rPr>
          <w:rFonts w:ascii="Garamond" w:eastAsia="Times New Roman" w:hAnsi="Garamond"/>
          <w:sz w:val="24"/>
          <w:szCs w:val="24"/>
        </w:rPr>
        <w:t xml:space="preserve">, i cili parashikon një ndarje të buxhetit të shtetit në mbështetje të ekosistemit të inovacionit. Janë ngritur nisma të shumta të mbështetura nga sektori privat, ofrimi i programeve të përshpejtimit për </w:t>
      </w:r>
      <w:r w:rsidRPr="00E266CD">
        <w:rPr>
          <w:rFonts w:ascii="Garamond" w:eastAsia="Times New Roman" w:hAnsi="Garamond"/>
          <w:i/>
          <w:sz w:val="24"/>
          <w:szCs w:val="24"/>
        </w:rPr>
        <w:t>startup</w:t>
      </w:r>
      <w:r w:rsidR="00055A3F">
        <w:rPr>
          <w:rFonts w:ascii="Garamond" w:eastAsia="Times New Roman" w:hAnsi="Garamond"/>
          <w:sz w:val="24"/>
          <w:szCs w:val="24"/>
        </w:rPr>
        <w:t>-et</w:t>
      </w:r>
      <w:r w:rsidRPr="00E266CD">
        <w:rPr>
          <w:rFonts w:ascii="Garamond" w:eastAsia="Times New Roman" w:hAnsi="Garamond"/>
          <w:sz w:val="24"/>
          <w:szCs w:val="24"/>
        </w:rPr>
        <w:t xml:space="preserve"> me potencial të lartë, asistencë teknike, mentorim dhe trajnime për marrëdhëniet me investitorët.</w:t>
      </w:r>
      <w:r w:rsidRPr="00E266CD">
        <w:rPr>
          <w:rFonts w:ascii="Garamond" w:eastAsia="Times New Roman" w:hAnsi="Garamond"/>
          <w:sz w:val="24"/>
          <w:szCs w:val="24"/>
          <w:vertAlign w:val="superscript"/>
        </w:rPr>
        <w:footnoteReference w:id="9"/>
      </w:r>
      <w:r w:rsidRPr="00E266CD">
        <w:rPr>
          <w:rFonts w:ascii="Garamond" w:eastAsia="Times New Roman" w:hAnsi="Garamond"/>
          <w:sz w:val="24"/>
          <w:szCs w:val="24"/>
        </w:rPr>
        <w:t xml:space="preserve"> Si pjesë e Agjendës së Ballkanit Perëndimor mbi inovacionin, kërkimin, edukimin, kulturën, rininë dhe sportet, asociacioni dhe veçanërisht integrimi i Shqipërisë në Zonën e re Evropiane për Kërkim (ERA) dhe Zonën Evropiane të Arsimit (EEA) do të shërbejë si nxitës për reformat kombëtare dhe tranzicionin e politikave drejt një sistemi </w:t>
      </w:r>
      <w:r w:rsidR="00055A3F" w:rsidRPr="00E266CD">
        <w:rPr>
          <w:rFonts w:ascii="Garamond" w:eastAsia="Times New Roman" w:hAnsi="Garamond"/>
          <w:sz w:val="24"/>
          <w:szCs w:val="24"/>
        </w:rPr>
        <w:t xml:space="preserve">kërkimi dhe inovacioni </w:t>
      </w:r>
      <w:r w:rsidRPr="00E266CD">
        <w:rPr>
          <w:rFonts w:ascii="Garamond" w:eastAsia="Times New Roman" w:hAnsi="Garamond"/>
          <w:sz w:val="24"/>
          <w:szCs w:val="24"/>
        </w:rPr>
        <w:t>më efikas</w:t>
      </w:r>
      <w:r w:rsidR="00055A3F">
        <w:rPr>
          <w:rFonts w:ascii="Garamond" w:eastAsia="Times New Roman" w:hAnsi="Garamond"/>
          <w:sz w:val="24"/>
          <w:szCs w:val="24"/>
        </w:rPr>
        <w:t>,</w:t>
      </w:r>
      <w:r w:rsidRPr="00E266CD">
        <w:rPr>
          <w:rFonts w:ascii="Garamond" w:eastAsia="Times New Roman" w:hAnsi="Garamond"/>
          <w:sz w:val="24"/>
          <w:szCs w:val="24"/>
        </w:rPr>
        <w:t xml:space="preserve"> duke ndihmuar vendin të rrisë kapacitetet e tij dhe potencialin në infrastrukturë</w:t>
      </w:r>
      <w:r w:rsidR="00055A3F">
        <w:rPr>
          <w:rFonts w:ascii="Garamond" w:eastAsia="Times New Roman" w:hAnsi="Garamond"/>
          <w:sz w:val="24"/>
          <w:szCs w:val="24"/>
        </w:rPr>
        <w:t>,</w:t>
      </w:r>
      <w:r w:rsidRPr="00E266CD">
        <w:rPr>
          <w:rFonts w:ascii="Garamond" w:eastAsia="Times New Roman" w:hAnsi="Garamond"/>
          <w:sz w:val="24"/>
          <w:szCs w:val="24"/>
        </w:rPr>
        <w:t xml:space="preserve"> si dhe përafrimin e tij të vazhdueshëm me </w:t>
      </w:r>
      <w:r w:rsidRPr="00E266CD">
        <w:rPr>
          <w:rFonts w:ascii="Garamond" w:hAnsi="Garamond"/>
          <w:i/>
          <w:sz w:val="24"/>
        </w:rPr>
        <w:t>acquis</w:t>
      </w:r>
      <w:r w:rsidRPr="00E266CD">
        <w:rPr>
          <w:rFonts w:ascii="Garamond" w:eastAsia="Times New Roman" w:hAnsi="Garamond"/>
          <w:sz w:val="24"/>
          <w:szCs w:val="24"/>
        </w:rPr>
        <w:t xml:space="preserve"> të Bashkimit Evropian</w:t>
      </w:r>
      <w:r w:rsidRPr="00E266CD">
        <w:rPr>
          <w:rFonts w:ascii="Garamond" w:eastAsia="Times New Roman" w:hAnsi="Garamond"/>
          <w:sz w:val="24"/>
          <w:szCs w:val="24"/>
          <w:vertAlign w:val="superscript"/>
        </w:rPr>
        <w:footnoteReference w:id="10"/>
      </w:r>
      <w:r w:rsidRPr="00E266CD">
        <w:rPr>
          <w:rFonts w:ascii="Garamond" w:eastAsia="Times New Roman" w:hAnsi="Garamond"/>
          <w:sz w:val="24"/>
          <w:szCs w:val="24"/>
        </w:rPr>
        <w:t>.</w:t>
      </w:r>
    </w:p>
    <w:p w14:paraId="157420A9" w14:textId="43BFB318" w:rsidR="00F91888" w:rsidRPr="00E266CD" w:rsidRDefault="00F91888" w:rsidP="006A3F62">
      <w:pPr>
        <w:pStyle w:val="TEKSTIIII"/>
        <w:rPr>
          <w:b/>
        </w:rPr>
      </w:pPr>
      <w:bookmarkStart w:id="3" w:name="_Toc135703126"/>
      <w:r w:rsidRPr="00E266CD">
        <w:rPr>
          <w:b/>
        </w:rPr>
        <w:t>Raportet e Komisionit Evropian për vitin 2021</w:t>
      </w:r>
      <w:r w:rsidR="00094425" w:rsidRPr="00E266CD">
        <w:rPr>
          <w:b/>
        </w:rPr>
        <w:t>–</w:t>
      </w:r>
      <w:r w:rsidRPr="00E266CD">
        <w:rPr>
          <w:b/>
        </w:rPr>
        <w:t>2022</w:t>
      </w:r>
      <w:bookmarkEnd w:id="3"/>
    </w:p>
    <w:p w14:paraId="2315BC3A" w14:textId="44B3F315"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Pjesëmarrja e Shqipërisë në bashkëpunimet kërkimore kombëtare dhe ndërkombëtare ka qenë një nga prioritetet e qeverisë shqiptare</w:t>
      </w:r>
      <w:r w:rsidR="00055A3F">
        <w:rPr>
          <w:rFonts w:ascii="Garamond" w:eastAsia="Times New Roman" w:hAnsi="Garamond"/>
          <w:sz w:val="24"/>
          <w:szCs w:val="24"/>
        </w:rPr>
        <w:t>,</w:t>
      </w:r>
      <w:r w:rsidRPr="00E266CD">
        <w:rPr>
          <w:rFonts w:ascii="Garamond" w:eastAsia="Times New Roman" w:hAnsi="Garamond"/>
          <w:sz w:val="24"/>
          <w:szCs w:val="24"/>
        </w:rPr>
        <w:t xml:space="preserve"> gjatë viteve 2021</w:t>
      </w:r>
      <w:r w:rsidR="00094425" w:rsidRPr="00E266CD">
        <w:rPr>
          <w:rFonts w:ascii="Garamond" w:hAnsi="Garamond"/>
          <w:sz w:val="24"/>
        </w:rPr>
        <w:t>–</w:t>
      </w:r>
      <w:r w:rsidRPr="00E266CD">
        <w:rPr>
          <w:rFonts w:ascii="Garamond" w:eastAsia="Times New Roman" w:hAnsi="Garamond"/>
          <w:sz w:val="24"/>
          <w:szCs w:val="24"/>
        </w:rPr>
        <w:t xml:space="preserve">2022. Bazuar në Raportin e Progresit të Komisionit Evropian (KE) për vitin 2021, shteti shqiptar ka ndërmarrë hapa të rëndësishëm në fushat e mbuluara nga </w:t>
      </w:r>
      <w:r w:rsidRPr="00E266CD">
        <w:rPr>
          <w:rFonts w:ascii="Garamond" w:eastAsia="Times New Roman" w:hAnsi="Garamond"/>
          <w:b/>
          <w:i/>
          <w:sz w:val="24"/>
          <w:szCs w:val="24"/>
        </w:rPr>
        <w:t>kapitulli 25</w:t>
      </w:r>
      <w:r w:rsidRPr="00E266CD">
        <w:rPr>
          <w:rFonts w:ascii="Garamond" w:eastAsia="Times New Roman" w:hAnsi="Garamond"/>
          <w:sz w:val="24"/>
          <w:szCs w:val="24"/>
        </w:rPr>
        <w:t xml:space="preserve"> “</w:t>
      </w:r>
      <w:r w:rsidRPr="00E266CD">
        <w:rPr>
          <w:rFonts w:ascii="Garamond" w:eastAsia="Times New Roman" w:hAnsi="Garamond"/>
          <w:b/>
          <w:i/>
          <w:sz w:val="24"/>
          <w:szCs w:val="24"/>
        </w:rPr>
        <w:t xml:space="preserve">Shkenca dhe </w:t>
      </w:r>
      <w:r w:rsidR="00055A3F">
        <w:rPr>
          <w:rFonts w:ascii="Garamond" w:eastAsia="Times New Roman" w:hAnsi="Garamond"/>
          <w:b/>
          <w:i/>
          <w:sz w:val="24"/>
          <w:szCs w:val="24"/>
        </w:rPr>
        <w:t>k</w:t>
      </w:r>
      <w:r w:rsidRPr="00E266CD">
        <w:rPr>
          <w:rFonts w:ascii="Garamond" w:eastAsia="Times New Roman" w:hAnsi="Garamond"/>
          <w:b/>
          <w:i/>
          <w:sz w:val="24"/>
          <w:szCs w:val="24"/>
        </w:rPr>
        <w:t>ërkimi shkencor</w:t>
      </w:r>
      <w:r w:rsidRPr="00E266CD">
        <w:rPr>
          <w:rFonts w:ascii="Garamond" w:eastAsia="Times New Roman" w:hAnsi="Garamond"/>
          <w:sz w:val="24"/>
          <w:szCs w:val="24"/>
        </w:rPr>
        <w:t>”</w:t>
      </w:r>
      <w:r w:rsidR="00055A3F">
        <w:rPr>
          <w:rFonts w:ascii="Garamond" w:eastAsia="Times New Roman" w:hAnsi="Garamond"/>
          <w:sz w:val="24"/>
          <w:szCs w:val="24"/>
        </w:rPr>
        <w:t>,</w:t>
      </w:r>
      <w:r w:rsidRPr="00E266CD">
        <w:rPr>
          <w:rFonts w:ascii="Garamond" w:eastAsia="Times New Roman" w:hAnsi="Garamond"/>
          <w:sz w:val="24"/>
          <w:szCs w:val="24"/>
        </w:rPr>
        <w:t xml:space="preserve"> sidomos lidhur me procesin e hartimit të Strategjisë së Specializimit të Zgjuar</w:t>
      </w:r>
      <w:r w:rsidR="00055A3F">
        <w:rPr>
          <w:rFonts w:ascii="Garamond" w:eastAsia="Times New Roman" w:hAnsi="Garamond"/>
          <w:sz w:val="24"/>
          <w:szCs w:val="24"/>
        </w:rPr>
        <w:t>,</w:t>
      </w:r>
      <w:r w:rsidRPr="00E266CD">
        <w:rPr>
          <w:rFonts w:ascii="Garamond" w:eastAsia="Times New Roman" w:hAnsi="Garamond"/>
          <w:sz w:val="24"/>
          <w:szCs w:val="24"/>
        </w:rPr>
        <w:t xml:space="preserve"> si edhe pjesëmarrjen në programin e kërkimit Horizon 2020. Megjithatë, pavarësisht arritjeve, KE ka evidentuar si pikë të dobët ndërveprimin midis biznesit dhe kërkuesve shkencorë në Shqipëri. Raporti i progresit për vitin 2021 nënvizon se përqindja e kompanive që investojnë në “Kërkim dhe </w:t>
      </w:r>
      <w:r w:rsidR="00055A3F">
        <w:rPr>
          <w:rFonts w:ascii="Garamond" w:eastAsia="Times New Roman" w:hAnsi="Garamond"/>
          <w:sz w:val="24"/>
          <w:szCs w:val="24"/>
        </w:rPr>
        <w:t>z</w:t>
      </w:r>
      <w:r w:rsidRPr="00E266CD">
        <w:rPr>
          <w:rFonts w:ascii="Garamond" w:eastAsia="Times New Roman" w:hAnsi="Garamond"/>
          <w:sz w:val="24"/>
          <w:szCs w:val="24"/>
        </w:rPr>
        <w:t xml:space="preserve">hvillim” në Shqipëri është e ulët (rreth 18%) dhe 0.03% e </w:t>
      </w:r>
      <w:r w:rsidR="00055A3F" w:rsidRPr="00E266CD">
        <w:rPr>
          <w:rFonts w:ascii="Garamond" w:eastAsia="Times New Roman" w:hAnsi="Garamond"/>
          <w:sz w:val="24"/>
          <w:szCs w:val="24"/>
        </w:rPr>
        <w:t xml:space="preserve">produktit të brendshëm bruto </w:t>
      </w:r>
      <w:r w:rsidRPr="00E266CD">
        <w:rPr>
          <w:rFonts w:ascii="Garamond" w:eastAsia="Times New Roman" w:hAnsi="Garamond"/>
          <w:sz w:val="24"/>
          <w:szCs w:val="24"/>
        </w:rPr>
        <w:t>(PBB-së) për kërkimin shkencor mbeten të pamjaftueshme për të forcuar lidhjen midis biznesit dhe akademisë.</w:t>
      </w:r>
      <w:r w:rsidRPr="00E266CD">
        <w:rPr>
          <w:rFonts w:ascii="Garamond" w:eastAsia="Times New Roman" w:hAnsi="Garamond"/>
          <w:sz w:val="24"/>
          <w:szCs w:val="24"/>
          <w:vertAlign w:val="superscript"/>
        </w:rPr>
        <w:footnoteReference w:id="11"/>
      </w:r>
      <w:r w:rsidRPr="00E266CD">
        <w:rPr>
          <w:rFonts w:ascii="Garamond" w:eastAsia="Times New Roman" w:hAnsi="Garamond"/>
          <w:sz w:val="24"/>
          <w:szCs w:val="24"/>
        </w:rPr>
        <w:t xml:space="preserve"> Në të njëjtën kohë, rritja e investimeve për kërkimin shkencor</w:t>
      </w:r>
      <w:r w:rsidR="00055A3F">
        <w:rPr>
          <w:rFonts w:ascii="Garamond" w:eastAsia="Times New Roman" w:hAnsi="Garamond"/>
          <w:sz w:val="24"/>
          <w:szCs w:val="24"/>
        </w:rPr>
        <w:t>,</w:t>
      </w:r>
      <w:r w:rsidRPr="00E266CD">
        <w:rPr>
          <w:rFonts w:ascii="Garamond" w:eastAsia="Times New Roman" w:hAnsi="Garamond"/>
          <w:sz w:val="24"/>
          <w:szCs w:val="24"/>
        </w:rPr>
        <w:t xml:space="preserve"> në përputhje me parimet dhe prioritetet e Zonës së Kërkimit Evropian ka qenë një nga detyrimet e qeverisë shqiptare për vitin 2022.</w:t>
      </w:r>
      <w:r w:rsidRPr="00E266CD">
        <w:rPr>
          <w:rFonts w:ascii="Garamond" w:eastAsia="Times New Roman" w:hAnsi="Garamond"/>
          <w:sz w:val="24"/>
          <w:szCs w:val="24"/>
          <w:vertAlign w:val="superscript"/>
        </w:rPr>
        <w:footnoteReference w:id="12"/>
      </w:r>
    </w:p>
    <w:p w14:paraId="13E2C5D4"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Ndërkohë, Raporti i Komisionit Evropian për vitin 2022, duke njohur arritjet e shtetit shqiptar në këtë fushë për vitin 2021, nënvizon se qeveria shqiptare nevojitet ende të marrë masa lidhur me:</w:t>
      </w:r>
      <w:r w:rsidRPr="00E266CD">
        <w:rPr>
          <w:rFonts w:ascii="Garamond" w:eastAsia="Times New Roman" w:hAnsi="Garamond"/>
          <w:sz w:val="24"/>
          <w:szCs w:val="24"/>
          <w:vertAlign w:val="superscript"/>
        </w:rPr>
        <w:footnoteReference w:id="13"/>
      </w:r>
    </w:p>
    <w:p w14:paraId="7DCC17CD" w14:textId="65ECB89F" w:rsidR="00F91888" w:rsidRPr="00E266CD" w:rsidRDefault="006A3F62" w:rsidP="006A3F62">
      <w:pPr>
        <w:pStyle w:val="TEKSTIIII"/>
      </w:pPr>
      <w:r w:rsidRPr="00E266CD">
        <w:t xml:space="preserve">- </w:t>
      </w:r>
      <w:r w:rsidR="00F91888" w:rsidRPr="00E266CD">
        <w:t xml:space="preserve">Rritjen e nivelit të investimeve në kërkimin shkencor, në përputhje me angazhimet qeveritare </w:t>
      </w:r>
      <w:r w:rsidR="00055A3F" w:rsidRPr="00E266CD">
        <w:t xml:space="preserve">dhe prioritetet e reja </w:t>
      </w:r>
      <w:r w:rsidR="00F91888" w:rsidRPr="00E266CD">
        <w:t>të Zonës Evropiane Kërkimore;</w:t>
      </w:r>
    </w:p>
    <w:p w14:paraId="19B9FFBF" w14:textId="77777777" w:rsidR="00F91888" w:rsidRPr="00E266CD" w:rsidRDefault="006A3F62" w:rsidP="006A3F62">
      <w:pPr>
        <w:pStyle w:val="TEKSTIIII"/>
      </w:pPr>
      <w:r w:rsidRPr="00E266CD">
        <w:t xml:space="preserve">- </w:t>
      </w:r>
      <w:r w:rsidR="00F91888" w:rsidRPr="00E266CD">
        <w:t>Finalizimin dhe miratimin e Strategjisë së Specializimit të Zgjuar dhe ligjit për kërkimin shkencor;</w:t>
      </w:r>
    </w:p>
    <w:p w14:paraId="0F950800" w14:textId="3DACFE56" w:rsidR="00F91888" w:rsidRPr="00E266CD" w:rsidRDefault="006A3F62" w:rsidP="006A3F62">
      <w:pPr>
        <w:pStyle w:val="TEKSTIIII"/>
      </w:pPr>
      <w:r w:rsidRPr="00E266CD">
        <w:t xml:space="preserve">- </w:t>
      </w:r>
      <w:r w:rsidR="00F91888" w:rsidRPr="00E266CD">
        <w:t xml:space="preserve">Prodhimin e statistikave dhe të dhënave të besueshme për shkencën dhe teknologjinë, duke përfshirë treguesin mbi shpenzimet e brendshme bruto për </w:t>
      </w:r>
      <w:r w:rsidR="00055A3F" w:rsidRPr="00E266CD">
        <w:t>kërkimin dhe inovacionin</w:t>
      </w:r>
      <w:r w:rsidR="00F91888" w:rsidRPr="00E266CD">
        <w:t>.</w:t>
      </w:r>
    </w:p>
    <w:p w14:paraId="636091A9" w14:textId="6B83CFA3"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Nisur nga rekomandimet e raport progresit të vitit 2022 janë identifikuar si nevoja për </w:t>
      </w:r>
      <w:r w:rsidR="00417E27" w:rsidRPr="00E266CD">
        <w:rPr>
          <w:rFonts w:ascii="Garamond" w:eastAsia="Times New Roman" w:hAnsi="Garamond"/>
          <w:sz w:val="24"/>
          <w:szCs w:val="24"/>
        </w:rPr>
        <w:t>t’u</w:t>
      </w:r>
      <w:r w:rsidRPr="00E266CD">
        <w:rPr>
          <w:rFonts w:ascii="Garamond" w:eastAsia="Times New Roman" w:hAnsi="Garamond"/>
          <w:sz w:val="24"/>
          <w:szCs w:val="24"/>
        </w:rPr>
        <w:t xml:space="preserve"> plotësuar në kuadër të këtij dokumenti strategjik:</w:t>
      </w:r>
      <w:r w:rsidRPr="00E266CD">
        <w:rPr>
          <w:rFonts w:ascii="Garamond" w:eastAsia="Times New Roman" w:hAnsi="Garamond"/>
          <w:sz w:val="24"/>
          <w:szCs w:val="24"/>
          <w:vertAlign w:val="superscript"/>
        </w:rPr>
        <w:footnoteReference w:id="14"/>
      </w:r>
    </w:p>
    <w:p w14:paraId="0AC0D9F0" w14:textId="77777777" w:rsidR="00F91888" w:rsidRPr="00E266CD" w:rsidRDefault="006A3F62" w:rsidP="006A3F62">
      <w:pPr>
        <w:pStyle w:val="TEKSTIIII"/>
      </w:pPr>
      <w:r w:rsidRPr="00E266CD">
        <w:t xml:space="preserve">- </w:t>
      </w:r>
      <w:r w:rsidR="00F91888" w:rsidRPr="00E266CD">
        <w:t>Hartimi i metodologjisë për krijimin e fondeve për kërkimin dhe shkencën;</w:t>
      </w:r>
    </w:p>
    <w:p w14:paraId="237581FD" w14:textId="77777777" w:rsidR="00F91888" w:rsidRPr="00E266CD" w:rsidRDefault="006A3F62" w:rsidP="006A3F62">
      <w:pPr>
        <w:pStyle w:val="TEKSTIIII"/>
      </w:pPr>
      <w:r w:rsidRPr="00E266CD">
        <w:t xml:space="preserve">- </w:t>
      </w:r>
      <w:r w:rsidR="00F91888" w:rsidRPr="00E266CD">
        <w:t>Zhvillimi i politikave inovative që synojnë promovimin e lidhjeve më të mira ndërmjet akademisë, industrisë dhe qeverisë në fushat e aksesit të hapur dhe të dhënave të hapura;</w:t>
      </w:r>
    </w:p>
    <w:p w14:paraId="6E088A6B" w14:textId="77777777" w:rsidR="00F91888" w:rsidRPr="00E266CD" w:rsidRDefault="006A3F62" w:rsidP="006A3F62">
      <w:pPr>
        <w:pStyle w:val="TEKSTIIII"/>
      </w:pPr>
      <w:r w:rsidRPr="00E266CD">
        <w:t xml:space="preserve">- </w:t>
      </w:r>
      <w:r w:rsidR="00F91888" w:rsidRPr="00E266CD">
        <w:t xml:space="preserve">Rritja e ndërgjegjësimit për pjesëmarrjen në programin e ri </w:t>
      </w:r>
      <w:r w:rsidR="00F91888" w:rsidRPr="00E266CD">
        <w:rPr>
          <w:i/>
        </w:rPr>
        <w:t>Horizon Europe</w:t>
      </w:r>
      <w:r w:rsidR="00F91888" w:rsidRPr="00E266CD">
        <w:t>;</w:t>
      </w:r>
    </w:p>
    <w:p w14:paraId="58B31DF6" w14:textId="462591C9" w:rsidR="00F91888" w:rsidRPr="00E266CD" w:rsidRDefault="006A3F62" w:rsidP="006A3F62">
      <w:pPr>
        <w:pStyle w:val="TEKSTIIII"/>
      </w:pPr>
      <w:r w:rsidRPr="00E266CD">
        <w:t xml:space="preserve">- </w:t>
      </w:r>
      <w:r w:rsidR="00F91888" w:rsidRPr="00E266CD">
        <w:t>Përmirësimi i lidhjeve me partnerët evropianë</w:t>
      </w:r>
      <w:r w:rsidR="00055A3F">
        <w:t>,</w:t>
      </w:r>
      <w:r w:rsidR="00F91888" w:rsidRPr="00E266CD">
        <w:t xml:space="preserve"> me qëllim rritjen e projekteve të përbashkëta ndërkombëtare, në kuadër të integrimit në Zonën Evropiane të Kërkimit</w:t>
      </w:r>
      <w:r w:rsidR="00055A3F">
        <w:t>;</w:t>
      </w:r>
    </w:p>
    <w:p w14:paraId="6A914034" w14:textId="6E215C34" w:rsidR="00F91888" w:rsidRPr="00E266CD" w:rsidRDefault="006A3F62" w:rsidP="006A3F62">
      <w:pPr>
        <w:pStyle w:val="TEKSTIIII"/>
      </w:pPr>
      <w:r w:rsidRPr="00E266CD">
        <w:t xml:space="preserve">- </w:t>
      </w:r>
      <w:r w:rsidR="00F91888" w:rsidRPr="00E266CD">
        <w:t xml:space="preserve">Rritja e angazhimit të Shqipërisë në Bashkëpunimet Evropiane në fushën e </w:t>
      </w:r>
      <w:r w:rsidR="00055A3F" w:rsidRPr="00E266CD">
        <w:t>shkencës dhe teknologjisë</w:t>
      </w:r>
      <w:r w:rsidR="00055A3F">
        <w:t>;</w:t>
      </w:r>
    </w:p>
    <w:p w14:paraId="615902ED" w14:textId="77777777" w:rsidR="00F91888" w:rsidRPr="00E266CD" w:rsidRDefault="006A3F62" w:rsidP="006A3F62">
      <w:pPr>
        <w:pStyle w:val="TEKSTIIII"/>
      </w:pPr>
      <w:r w:rsidRPr="00E266CD">
        <w:t xml:space="preserve">- </w:t>
      </w:r>
      <w:r w:rsidR="00F91888" w:rsidRPr="00E266CD">
        <w:t>Arritja e rezultateve të kënaqshme të pjesëmarrjes së Shqipërisë në programin EUREKA.</w:t>
      </w:r>
    </w:p>
    <w:p w14:paraId="2ED2177D" w14:textId="77777777" w:rsidR="00F91888" w:rsidRPr="00E266CD" w:rsidRDefault="00F91888" w:rsidP="006A3F62">
      <w:pPr>
        <w:pStyle w:val="TEKSTIIII"/>
        <w:rPr>
          <w:b/>
        </w:rPr>
      </w:pPr>
      <w:bookmarkStart w:id="4" w:name="_Toc135703127"/>
      <w:r w:rsidRPr="00E266CD">
        <w:rPr>
          <w:b/>
        </w:rPr>
        <w:t>2. Korniza ligjore dhe institucionale, arritjet dhe mësimet e nxjerra</w:t>
      </w:r>
      <w:bookmarkEnd w:id="4"/>
    </w:p>
    <w:p w14:paraId="4CDBE4A3" w14:textId="77777777" w:rsidR="00F91888" w:rsidRPr="00E266CD" w:rsidRDefault="00F91888" w:rsidP="006A3F62">
      <w:pPr>
        <w:pStyle w:val="TEKSTIIII"/>
        <w:rPr>
          <w:b/>
        </w:rPr>
      </w:pPr>
      <w:r w:rsidRPr="00E266CD">
        <w:rPr>
          <w:b/>
        </w:rPr>
        <w:t>Procesi i hartimit të SKKSHTI</w:t>
      </w:r>
    </w:p>
    <w:p w14:paraId="2ADF0CF8" w14:textId="0026F362"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color w:val="000000"/>
          <w:sz w:val="24"/>
          <w:szCs w:val="24"/>
        </w:rPr>
        <w:t xml:space="preserve">Në zbatim të </w:t>
      </w:r>
      <w:r w:rsidR="00094425" w:rsidRPr="00E266CD">
        <w:rPr>
          <w:rFonts w:ascii="Garamond" w:eastAsia="Times New Roman" w:hAnsi="Garamond"/>
          <w:color w:val="000000"/>
          <w:sz w:val="24"/>
          <w:szCs w:val="24"/>
        </w:rPr>
        <w:t>v</w:t>
      </w:r>
      <w:r w:rsidRPr="00E266CD">
        <w:rPr>
          <w:rFonts w:ascii="Garamond" w:eastAsia="Times New Roman" w:hAnsi="Garamond"/>
          <w:color w:val="000000"/>
          <w:sz w:val="24"/>
          <w:szCs w:val="24"/>
        </w:rPr>
        <w:t>endimit të Këshillit të Ministrave nr.</w:t>
      </w:r>
      <w:r w:rsidR="00094425" w:rsidRPr="00E266CD">
        <w:rPr>
          <w:rFonts w:ascii="Garamond" w:eastAsia="Times New Roman" w:hAnsi="Garamond"/>
          <w:color w:val="000000"/>
          <w:sz w:val="24"/>
          <w:szCs w:val="24"/>
        </w:rPr>
        <w:t xml:space="preserve"> </w:t>
      </w:r>
      <w:r w:rsidRPr="00E266CD">
        <w:rPr>
          <w:rFonts w:ascii="Garamond" w:eastAsia="Times New Roman" w:hAnsi="Garamond"/>
          <w:color w:val="000000"/>
          <w:sz w:val="24"/>
          <w:szCs w:val="24"/>
        </w:rPr>
        <w:t>12, datë 13.1.2022</w:t>
      </w:r>
      <w:r w:rsidR="00094425" w:rsidRPr="00E266CD">
        <w:rPr>
          <w:rFonts w:ascii="Garamond" w:eastAsia="Times New Roman" w:hAnsi="Garamond"/>
          <w:color w:val="000000"/>
          <w:sz w:val="24"/>
          <w:szCs w:val="24"/>
        </w:rPr>
        <w:t>,</w:t>
      </w:r>
      <w:r w:rsidRPr="00E266CD">
        <w:rPr>
          <w:rFonts w:ascii="Garamond" w:eastAsia="Times New Roman" w:hAnsi="Garamond"/>
          <w:color w:val="000000"/>
          <w:sz w:val="24"/>
          <w:szCs w:val="24"/>
        </w:rPr>
        <w:t xml:space="preserve"> “Për disa shtesa dhe ndryshime në vendimin nr. 290, datë 11.4.2020</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xml:space="preserve"> </w:t>
      </w:r>
      <w:r w:rsidR="00055A3F">
        <w:rPr>
          <w:rFonts w:ascii="Garamond" w:eastAsia="Times New Roman" w:hAnsi="Garamond"/>
          <w:color w:val="000000"/>
          <w:sz w:val="24"/>
          <w:szCs w:val="24"/>
        </w:rPr>
        <w:t>‘</w:t>
      </w:r>
      <w:r w:rsidRPr="00055A3F">
        <w:rPr>
          <w:rFonts w:ascii="Garamond" w:hAnsi="Garamond"/>
          <w:color w:val="000000"/>
          <w:sz w:val="24"/>
        </w:rPr>
        <w:t xml:space="preserve">Për krijimin e bazës </w:t>
      </w:r>
      <w:r w:rsidR="00094425" w:rsidRPr="00055A3F">
        <w:rPr>
          <w:rFonts w:ascii="Garamond" w:eastAsia="Times New Roman" w:hAnsi="Garamond"/>
          <w:color w:val="000000"/>
          <w:sz w:val="24"/>
          <w:szCs w:val="24"/>
        </w:rPr>
        <w:t>s</w:t>
      </w:r>
      <w:r w:rsidRPr="00055A3F">
        <w:rPr>
          <w:rFonts w:ascii="Garamond" w:eastAsia="Times New Roman" w:hAnsi="Garamond"/>
          <w:color w:val="000000"/>
          <w:sz w:val="24"/>
          <w:szCs w:val="24"/>
        </w:rPr>
        <w:t>ë</w:t>
      </w:r>
      <w:r w:rsidRPr="00055A3F">
        <w:rPr>
          <w:rFonts w:ascii="Garamond" w:hAnsi="Garamond"/>
          <w:color w:val="000000"/>
          <w:sz w:val="24"/>
        </w:rPr>
        <w:t xml:space="preserve"> të dhënave shtetërore të Sistemit Informatik të Planifikimit të Integruar (SIPI/IPSIS</w:t>
      </w:r>
      <w:r w:rsidRPr="00055A3F">
        <w:rPr>
          <w:rFonts w:ascii="Garamond" w:eastAsia="Times New Roman" w:hAnsi="Garamond"/>
          <w:color w:val="000000"/>
          <w:sz w:val="24"/>
          <w:szCs w:val="24"/>
        </w:rPr>
        <w:t>)</w:t>
      </w:r>
      <w:r w:rsidR="00055A3F">
        <w:rPr>
          <w:rFonts w:ascii="Garamond" w:eastAsia="Times New Roman" w:hAnsi="Garamond"/>
          <w:color w:val="000000"/>
          <w:sz w:val="24"/>
          <w:szCs w:val="24"/>
        </w:rPr>
        <w:t>’</w:t>
      </w:r>
      <w:r w:rsidRPr="00E266CD">
        <w:rPr>
          <w:rFonts w:ascii="Garamond" w:eastAsia="Times New Roman" w:hAnsi="Garamond"/>
          <w:color w:val="000000"/>
          <w:sz w:val="24"/>
          <w:szCs w:val="24"/>
        </w:rPr>
        <w:t>”, procesi për Strategjinë Kombëtare të Shkencës, Teknologjisë dhe Inovacionit 2023</w:t>
      </w:r>
      <w:r w:rsidR="00770FF0" w:rsidRPr="00E266CD">
        <w:rPr>
          <w:rFonts w:ascii="Garamond" w:hAnsi="Garamond"/>
          <w:sz w:val="24"/>
        </w:rPr>
        <w:t>–</w:t>
      </w:r>
      <w:r w:rsidRPr="00E266CD">
        <w:rPr>
          <w:rFonts w:ascii="Garamond" w:eastAsia="Times New Roman" w:hAnsi="Garamond"/>
          <w:color w:val="000000"/>
          <w:sz w:val="24"/>
          <w:szCs w:val="24"/>
        </w:rPr>
        <w:t xml:space="preserve">2030 ka filluar me hartimin e </w:t>
      </w:r>
      <w:r w:rsidR="00055A3F">
        <w:rPr>
          <w:rFonts w:ascii="Garamond" w:eastAsia="Times New Roman" w:hAnsi="Garamond"/>
          <w:color w:val="000000"/>
          <w:sz w:val="24"/>
          <w:szCs w:val="24"/>
        </w:rPr>
        <w:t>k</w:t>
      </w:r>
      <w:r w:rsidRPr="00E266CD">
        <w:rPr>
          <w:rFonts w:ascii="Garamond" w:eastAsia="Times New Roman" w:hAnsi="Garamond"/>
          <w:color w:val="000000"/>
          <w:sz w:val="24"/>
          <w:szCs w:val="24"/>
        </w:rPr>
        <w:t>oncept</w:t>
      </w:r>
      <w:r w:rsidR="00055A3F">
        <w:rPr>
          <w:rFonts w:ascii="Garamond" w:eastAsia="Times New Roman" w:hAnsi="Garamond"/>
          <w:color w:val="000000"/>
          <w:sz w:val="24"/>
          <w:szCs w:val="24"/>
        </w:rPr>
        <w:t>-</w:t>
      </w:r>
      <w:r w:rsidR="00055A3F" w:rsidRPr="00E266CD">
        <w:rPr>
          <w:rFonts w:ascii="Garamond" w:eastAsia="Times New Roman" w:hAnsi="Garamond"/>
          <w:color w:val="000000"/>
          <w:sz w:val="24"/>
          <w:szCs w:val="24"/>
        </w:rPr>
        <w:t>dokumentit të kësaj strategjie</w:t>
      </w:r>
      <w:r w:rsidRPr="00E266CD">
        <w:rPr>
          <w:rFonts w:ascii="Garamond" w:eastAsia="Times New Roman" w:hAnsi="Garamond"/>
          <w:color w:val="000000"/>
          <w:sz w:val="24"/>
          <w:szCs w:val="24"/>
        </w:rPr>
        <w:t xml:space="preserve">, </w:t>
      </w:r>
      <w:r w:rsidRPr="00E266CD">
        <w:rPr>
          <w:rFonts w:ascii="Garamond" w:eastAsia="Times New Roman" w:hAnsi="Garamond"/>
          <w:sz w:val="24"/>
          <w:szCs w:val="24"/>
        </w:rPr>
        <w:t xml:space="preserve">i cili </w:t>
      </w:r>
      <w:r w:rsidRPr="00E266CD">
        <w:rPr>
          <w:rFonts w:ascii="Garamond" w:eastAsia="Times New Roman" w:hAnsi="Garamond"/>
          <w:color w:val="000000"/>
          <w:sz w:val="24"/>
          <w:szCs w:val="24"/>
        </w:rPr>
        <w:t>pas konsultimit me të gjithë përfaqësuesit e grupeve të punës për hartimin e strategjisë u prezantua në Komitetin e Planifikimit Strategjik përpara Agjencisë Shtetërore për Programimin Strategjik dhe Koordinimin e Ndihmës (SASPAC) në Kryeministri.</w:t>
      </w:r>
    </w:p>
    <w:p w14:paraId="4A015212" w14:textId="323D6C9A"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Në nivel teknik, puna për hartimin e dokumentit strategjik nisi me miratimin e </w:t>
      </w:r>
      <w:r w:rsidR="00094425" w:rsidRPr="00E266CD">
        <w:rPr>
          <w:rFonts w:ascii="Garamond" w:eastAsia="Times New Roman" w:hAnsi="Garamond"/>
          <w:sz w:val="24"/>
          <w:szCs w:val="24"/>
        </w:rPr>
        <w:t>u</w:t>
      </w:r>
      <w:r w:rsidRPr="00E266CD">
        <w:rPr>
          <w:rFonts w:ascii="Garamond" w:eastAsia="Times New Roman" w:hAnsi="Garamond"/>
          <w:sz w:val="24"/>
          <w:szCs w:val="24"/>
        </w:rPr>
        <w:t xml:space="preserve">rdhrit të </w:t>
      </w:r>
      <w:r w:rsidR="00770FF0" w:rsidRPr="00E266CD">
        <w:rPr>
          <w:rFonts w:ascii="Garamond" w:eastAsia="Times New Roman" w:hAnsi="Garamond"/>
          <w:sz w:val="24"/>
          <w:szCs w:val="24"/>
        </w:rPr>
        <w:t>m</w:t>
      </w:r>
      <w:r w:rsidRPr="00E266CD">
        <w:rPr>
          <w:rFonts w:ascii="Garamond" w:eastAsia="Times New Roman" w:hAnsi="Garamond"/>
          <w:sz w:val="24"/>
          <w:szCs w:val="24"/>
        </w:rPr>
        <w:t>inistrit nr.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53, datë 9.2.2022</w:t>
      </w:r>
      <w:r w:rsidR="00770FF0" w:rsidRPr="00E266CD">
        <w:rPr>
          <w:rFonts w:ascii="Garamond" w:eastAsia="Times New Roman" w:hAnsi="Garamond"/>
          <w:sz w:val="24"/>
          <w:szCs w:val="24"/>
        </w:rPr>
        <w:t>,</w:t>
      </w:r>
      <w:r w:rsidRPr="00E266CD">
        <w:rPr>
          <w:rFonts w:ascii="Garamond" w:eastAsia="Times New Roman" w:hAnsi="Garamond"/>
          <w:sz w:val="24"/>
          <w:szCs w:val="24"/>
        </w:rPr>
        <w:t xml:space="preserve"> “Për ngritjen e grupit të koordinimit për hartimin e strategjisë kombëtare për shkencën, teknologjinë dhe inovacionin”, që përcakton të gjithë anëtarët e grupeve të punës për secilin institucion pjesëmarrës</w:t>
      </w:r>
      <w:r w:rsidR="00055A3F">
        <w:rPr>
          <w:rFonts w:ascii="Garamond" w:eastAsia="Times New Roman" w:hAnsi="Garamond"/>
          <w:sz w:val="24"/>
          <w:szCs w:val="24"/>
        </w:rPr>
        <w:t>,</w:t>
      </w:r>
      <w:r w:rsidRPr="00E266CD">
        <w:rPr>
          <w:rFonts w:ascii="Garamond" w:eastAsia="Times New Roman" w:hAnsi="Garamond"/>
          <w:sz w:val="24"/>
          <w:szCs w:val="24"/>
        </w:rPr>
        <w:t xml:space="preserve"> që mund të ndërlidhë aktivitetet e tij me hartimin e strategjisë dhe mund të kenë kontribut në fushën e kërkimit shkencor, teknologjisë dhe inovacionit. Me urdhrin e </w:t>
      </w:r>
      <w:r w:rsidR="00770FF0" w:rsidRPr="00E266CD">
        <w:rPr>
          <w:rFonts w:ascii="Garamond" w:eastAsia="Times New Roman" w:hAnsi="Garamond"/>
          <w:sz w:val="24"/>
          <w:szCs w:val="24"/>
        </w:rPr>
        <w:t>m</w:t>
      </w:r>
      <w:r w:rsidRPr="00E266CD">
        <w:rPr>
          <w:rFonts w:ascii="Garamond" w:eastAsia="Times New Roman" w:hAnsi="Garamond"/>
          <w:sz w:val="24"/>
          <w:szCs w:val="24"/>
        </w:rPr>
        <w:t>inistrit të Arsimit dhe Sportit nr.</w:t>
      </w:r>
      <w:r w:rsidR="00770FF0" w:rsidRPr="00E266CD">
        <w:rPr>
          <w:rFonts w:ascii="Garamond" w:eastAsia="Times New Roman" w:hAnsi="Garamond"/>
          <w:sz w:val="24"/>
          <w:szCs w:val="24"/>
        </w:rPr>
        <w:t xml:space="preserve"> </w:t>
      </w:r>
      <w:r w:rsidRPr="00E266CD">
        <w:rPr>
          <w:rFonts w:ascii="Garamond" w:eastAsia="Times New Roman" w:hAnsi="Garamond"/>
          <w:sz w:val="24"/>
          <w:szCs w:val="24"/>
        </w:rPr>
        <w:t>336, datë 16.6.2022</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“Për ngritjen e grupeve teknike për hartimin e Strategjisë Kombëtare për Shkencën, Teknologjinë dhe Inovacionin 2023</w:t>
      </w:r>
      <w:bookmarkStart w:id="5" w:name="_Hlk146276715"/>
      <w:r w:rsidR="00094425" w:rsidRPr="00E266CD">
        <w:rPr>
          <w:rFonts w:ascii="Garamond" w:hAnsi="Garamond"/>
          <w:sz w:val="24"/>
        </w:rPr>
        <w:t>–</w:t>
      </w:r>
      <w:bookmarkEnd w:id="5"/>
      <w:r w:rsidRPr="00E266CD">
        <w:rPr>
          <w:rFonts w:ascii="Garamond" w:eastAsia="Times New Roman" w:hAnsi="Garamond"/>
          <w:sz w:val="24"/>
          <w:szCs w:val="24"/>
        </w:rPr>
        <w:t>2030” janë ngritur katër grupet teknike:</w:t>
      </w:r>
    </w:p>
    <w:p w14:paraId="2FB65D6C" w14:textId="078047B6" w:rsidR="00F91888" w:rsidRPr="00E266CD" w:rsidRDefault="006A3F62" w:rsidP="006A3F62">
      <w:pPr>
        <w:pStyle w:val="TEKSTIIII"/>
      </w:pPr>
      <w:r w:rsidRPr="00E266CD">
        <w:t xml:space="preserve">a) </w:t>
      </w:r>
      <w:r w:rsidR="00055A3F" w:rsidRPr="00E266CD">
        <w:t xml:space="preserve">grupi </w:t>
      </w:r>
      <w:r w:rsidR="00F91888" w:rsidRPr="00E266CD">
        <w:t>teknik i punës për hartimin e politikave dhe kuadrit ligjor;</w:t>
      </w:r>
    </w:p>
    <w:p w14:paraId="022ACCC2" w14:textId="2EFA77A1" w:rsidR="00F91888" w:rsidRPr="00E266CD" w:rsidRDefault="006A3F62" w:rsidP="006A3F62">
      <w:pPr>
        <w:pStyle w:val="TEKSTIIII"/>
      </w:pPr>
      <w:r w:rsidRPr="00E266CD">
        <w:t xml:space="preserve">b) </w:t>
      </w:r>
      <w:r w:rsidR="00055A3F" w:rsidRPr="00E266CD">
        <w:t xml:space="preserve">grupi </w:t>
      </w:r>
      <w:r w:rsidR="00F91888" w:rsidRPr="00E266CD">
        <w:t>teknik i punës për infrastrukturën institucionale;</w:t>
      </w:r>
    </w:p>
    <w:p w14:paraId="3EFDDDC2" w14:textId="3E701ED0" w:rsidR="00F91888" w:rsidRPr="00E266CD" w:rsidRDefault="006A3F62" w:rsidP="006A3F62">
      <w:pPr>
        <w:pStyle w:val="TEKSTIIII"/>
      </w:pPr>
      <w:r w:rsidRPr="00E266CD">
        <w:t xml:space="preserve">c) </w:t>
      </w:r>
      <w:r w:rsidR="00055A3F" w:rsidRPr="00E266CD">
        <w:t xml:space="preserve">grupi </w:t>
      </w:r>
      <w:r w:rsidR="00F91888" w:rsidRPr="00E266CD">
        <w:t>teknik i punës për buxhetimin dhe statistikat;</w:t>
      </w:r>
    </w:p>
    <w:p w14:paraId="2C31268F" w14:textId="2BF14EF8" w:rsidR="00F91888" w:rsidRPr="00E266CD" w:rsidRDefault="006A3F62" w:rsidP="006A3F62">
      <w:pPr>
        <w:pStyle w:val="TEKSTIIII"/>
      </w:pPr>
      <w:r w:rsidRPr="00E266CD">
        <w:t xml:space="preserve">d) </w:t>
      </w:r>
      <w:r w:rsidR="00055A3F" w:rsidRPr="00E266CD">
        <w:t xml:space="preserve">grupi </w:t>
      </w:r>
      <w:r w:rsidR="00F91888" w:rsidRPr="00E266CD">
        <w:t>teknik për inovacionin dhe kërkimin shkencor.</w:t>
      </w:r>
    </w:p>
    <w:p w14:paraId="74A10693" w14:textId="5F4BD1A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Bazuar në secilin prej këtyre dy urdhrave, anëtarët e grupeve të koordinimit për hartimin e dokumentit strategjik dhe grupeve teknike të punës, në bashkëpunim me ekspertët kombëtarë përgatitën planin e detajuar të punës për hartimin e SKSHTI</w:t>
      </w:r>
      <w:r w:rsidR="00055A3F">
        <w:rPr>
          <w:rFonts w:ascii="Garamond" w:eastAsia="Times New Roman" w:hAnsi="Garamond"/>
          <w:sz w:val="24"/>
          <w:szCs w:val="24"/>
        </w:rPr>
        <w:t>,</w:t>
      </w:r>
      <w:r w:rsidRPr="00E266CD">
        <w:rPr>
          <w:rFonts w:ascii="Garamond" w:eastAsia="Times New Roman" w:hAnsi="Garamond"/>
          <w:sz w:val="24"/>
          <w:szCs w:val="24"/>
        </w:rPr>
        <w:t xml:space="preserve"> në respektim të hapave dhe përmbajtjes së dokumentit strategjik sipas standardeve të sistemit IPSIS.</w:t>
      </w:r>
    </w:p>
    <w:p w14:paraId="6086324E" w14:textId="24AE0087" w:rsidR="00F91888" w:rsidRPr="00E266CD" w:rsidRDefault="00F91888" w:rsidP="006A3F62">
      <w:pPr>
        <w:pStyle w:val="TEKSTIIII"/>
      </w:pPr>
      <w:r w:rsidRPr="00E266CD">
        <w:t xml:space="preserve">Dokumenti strategjik u konsultua në disa faza me grupet teknike në </w:t>
      </w:r>
      <w:r w:rsidR="00055A3F">
        <w:t>m</w:t>
      </w:r>
      <w:r w:rsidRPr="00E266CD">
        <w:t>inistrinë përgjegjëse për kërkimin shkencor</w:t>
      </w:r>
      <w:r w:rsidR="00055A3F">
        <w:t>,</w:t>
      </w:r>
      <w:r w:rsidRPr="00E266CD">
        <w:t xml:space="preserve"> si edhe me grupet teknike të </w:t>
      </w:r>
      <w:r w:rsidR="00055A3F" w:rsidRPr="00E266CD">
        <w:t xml:space="preserve">ministrive të tjera të linjës </w:t>
      </w:r>
      <w:r w:rsidRPr="00E266CD">
        <w:t>me përgjegjësi të veçanta</w:t>
      </w:r>
      <w:r w:rsidR="00055A3F">
        <w:t>,</w:t>
      </w:r>
      <w:r w:rsidRPr="00E266CD">
        <w:t xml:space="preserve"> sidomos në fushën e teknologjisë dhe inovacionit. Në të njëjtën kohë, draftstrategjia së bashku me Planin e Veprimit dhe Treguesit kryesorë të performancës u konsultuan me të gjitha grupet e interesit</w:t>
      </w:r>
      <w:r w:rsidR="00055A3F">
        <w:t>,</w:t>
      </w:r>
      <w:r w:rsidRPr="00E266CD">
        <w:t xml:space="preserve"> në kuadër të procesit të konsultimit publik. Komentet dhe sugjerimet e dala nga ky proces janë reflektuar në dokumentin final të </w:t>
      </w:r>
      <w:r w:rsidR="00055A3F">
        <w:t>s</w:t>
      </w:r>
      <w:r w:rsidRPr="00E266CD">
        <w:t>trategjisë i cili kaloi për miratim te Këshilli i Ministrave.</w:t>
      </w:r>
    </w:p>
    <w:p w14:paraId="1744D2C0" w14:textId="1DEC2044" w:rsidR="00F91888" w:rsidRPr="00E266CD" w:rsidRDefault="00F91888" w:rsidP="006A3F62">
      <w:pPr>
        <w:pStyle w:val="TEKSTIIII"/>
        <w:rPr>
          <w:b/>
        </w:rPr>
      </w:pPr>
      <w:r w:rsidRPr="00E266CD">
        <w:rPr>
          <w:b/>
        </w:rPr>
        <w:t xml:space="preserve">Kuadri </w:t>
      </w:r>
      <w:r w:rsidR="00055A3F">
        <w:rPr>
          <w:b/>
        </w:rPr>
        <w:t>i</w:t>
      </w:r>
      <w:r w:rsidRPr="00E266CD">
        <w:rPr>
          <w:b/>
        </w:rPr>
        <w:t>nstitucional</w:t>
      </w:r>
    </w:p>
    <w:p w14:paraId="4655BF41" w14:textId="77777777"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Aktualisht, institucionet përgjegjëse për hartimin dhe zbatimin e politikave në lidhje me kërkimin shkencor, teknologjinë dhe inovacionin janë:</w:t>
      </w:r>
    </w:p>
    <w:p w14:paraId="62970098" w14:textId="265985B0" w:rsidR="00F91888" w:rsidRPr="00E266CD" w:rsidRDefault="006A3F62" w:rsidP="006A3F62">
      <w:pPr>
        <w:pStyle w:val="TEKSTIIII"/>
      </w:pPr>
      <w:r w:rsidRPr="00E266CD">
        <w:t xml:space="preserve">- </w:t>
      </w:r>
      <w:r w:rsidR="00F91888" w:rsidRPr="00E266CD">
        <w:t>Ministria e Arsimit dhe Sportit (MAS)</w:t>
      </w:r>
      <w:r w:rsidR="00094425" w:rsidRPr="00E266CD">
        <w:t>;</w:t>
      </w:r>
    </w:p>
    <w:p w14:paraId="55FEBB35" w14:textId="536A7832" w:rsidR="00F91888" w:rsidRPr="00E266CD" w:rsidRDefault="006A3F62" w:rsidP="006A3F62">
      <w:pPr>
        <w:pStyle w:val="TEKSTIIII"/>
        <w:rPr>
          <w:color w:val="222222"/>
        </w:rPr>
      </w:pPr>
      <w:r w:rsidRPr="00E266CD">
        <w:rPr>
          <w:color w:val="222222"/>
        </w:rPr>
        <w:t xml:space="preserve">- </w:t>
      </w:r>
      <w:r w:rsidR="00F91888" w:rsidRPr="00E266CD">
        <w:rPr>
          <w:color w:val="222222"/>
        </w:rPr>
        <w:t>Agjencia Kombëtare e Kërkimit Shkencor dhe Inovacionit (AKKSHI)</w:t>
      </w:r>
      <w:r w:rsidR="00094425" w:rsidRPr="00E266CD">
        <w:rPr>
          <w:color w:val="222222"/>
        </w:rPr>
        <w:t>;</w:t>
      </w:r>
    </w:p>
    <w:p w14:paraId="2860C0FD" w14:textId="77777777" w:rsidR="00F91888" w:rsidRPr="00E266CD" w:rsidRDefault="006A3F62" w:rsidP="006A3F62">
      <w:pPr>
        <w:pStyle w:val="TEKSTIIII"/>
      </w:pPr>
      <w:r w:rsidRPr="00E266CD">
        <w:t xml:space="preserve">- </w:t>
      </w:r>
      <w:r w:rsidR="00F91888" w:rsidRPr="00E266CD">
        <w:t>Institucionet e Arsimit të Lartë (IAL) dhe institutet kërkimore që janë pjesë e tyre</w:t>
      </w:r>
      <w:r w:rsidR="00094425" w:rsidRPr="00E266CD">
        <w:t>;</w:t>
      </w:r>
    </w:p>
    <w:p w14:paraId="22D8707F" w14:textId="3691E60A" w:rsidR="00F91888" w:rsidRPr="00E266CD" w:rsidRDefault="006A3F62" w:rsidP="006A3F62">
      <w:pPr>
        <w:pStyle w:val="TEKSTIIII"/>
      </w:pPr>
      <w:r w:rsidRPr="00E266CD">
        <w:t xml:space="preserve">- </w:t>
      </w:r>
      <w:r w:rsidR="00F91888" w:rsidRPr="00E266CD">
        <w:t>Agjencia Kombëtare e Financimit të Arsimit të Lartë (AKFAL)</w:t>
      </w:r>
      <w:r w:rsidR="00094425" w:rsidRPr="00E266CD">
        <w:t>;</w:t>
      </w:r>
    </w:p>
    <w:p w14:paraId="64606FA8" w14:textId="1632D93D" w:rsidR="00F91888" w:rsidRPr="00E266CD" w:rsidRDefault="006A3F62" w:rsidP="006A3F62">
      <w:pPr>
        <w:pStyle w:val="TEKSTIIII"/>
      </w:pPr>
      <w:r w:rsidRPr="00E266CD">
        <w:t xml:space="preserve">- </w:t>
      </w:r>
      <w:r w:rsidR="00F91888" w:rsidRPr="00E266CD">
        <w:t>Qendra Ndërinstitucionale “Rrjeti Akademik Shqiptar” (RASH)</w:t>
      </w:r>
      <w:r w:rsidR="00094425" w:rsidRPr="00E266CD">
        <w:t>;</w:t>
      </w:r>
    </w:p>
    <w:p w14:paraId="62A870B9" w14:textId="37C4B734" w:rsidR="00F91888" w:rsidRPr="00E266CD" w:rsidRDefault="006A3F62" w:rsidP="006A3F62">
      <w:pPr>
        <w:pStyle w:val="TEKSTIIII"/>
      </w:pPr>
      <w:r w:rsidRPr="00E266CD">
        <w:t xml:space="preserve">- </w:t>
      </w:r>
      <w:r w:rsidR="00F91888" w:rsidRPr="00E266CD">
        <w:t>Agjencia e Sigurimit të Cilësisë në Arsimin e Lartë (ASCAL) Akademia e Shkencave e Shqipërisë (ASHSH)</w:t>
      </w:r>
      <w:r w:rsidR="00094425" w:rsidRPr="00E266CD">
        <w:t>;</w:t>
      </w:r>
    </w:p>
    <w:p w14:paraId="72F94A3D" w14:textId="77777777" w:rsidR="00F91888" w:rsidRPr="00E266CD" w:rsidRDefault="006A3F62" w:rsidP="006A3F62">
      <w:pPr>
        <w:pStyle w:val="TEKSTIIII"/>
      </w:pPr>
      <w:r w:rsidRPr="00E266CD">
        <w:t xml:space="preserve">- </w:t>
      </w:r>
      <w:r w:rsidR="00F91888" w:rsidRPr="00E266CD">
        <w:t>Ministritë përgjegjëse për politika në fusha të veçanta lidhur me kërkimin shkencor, teknologjinë dhe inovacionin</w:t>
      </w:r>
      <w:r w:rsidR="00094425" w:rsidRPr="00E266CD">
        <w:t>;</w:t>
      </w:r>
    </w:p>
    <w:p w14:paraId="60A1E89D" w14:textId="10B508A8" w:rsidR="00F91888" w:rsidRPr="00E266CD" w:rsidRDefault="006A3F62" w:rsidP="006A3F62">
      <w:pPr>
        <w:pStyle w:val="TEKSTIIII"/>
      </w:pPr>
      <w:r w:rsidRPr="00E266CD">
        <w:t xml:space="preserve">- </w:t>
      </w:r>
      <w:r w:rsidR="00F91888" w:rsidRPr="00E266CD">
        <w:t>Ministria e Bujqësisë dhe Zhvillimit Rural (MBZHR)</w:t>
      </w:r>
      <w:r w:rsidR="00094425" w:rsidRPr="00E266CD">
        <w:t>;</w:t>
      </w:r>
    </w:p>
    <w:p w14:paraId="3E65C2F3" w14:textId="0C19C271" w:rsidR="00F91888" w:rsidRPr="00E266CD" w:rsidRDefault="006A3F62" w:rsidP="006A3F62">
      <w:pPr>
        <w:pStyle w:val="TEKSTIIII"/>
      </w:pPr>
      <w:r w:rsidRPr="00E266CD">
        <w:t xml:space="preserve">- </w:t>
      </w:r>
      <w:r w:rsidR="00F91888" w:rsidRPr="00E266CD">
        <w:t>Ministria e Financave dhe Ekonomisë (MFE)</w:t>
      </w:r>
      <w:r w:rsidR="00094425" w:rsidRPr="00E266CD">
        <w:t>;</w:t>
      </w:r>
    </w:p>
    <w:p w14:paraId="60F4BE0A" w14:textId="77777777" w:rsidR="00F91888" w:rsidRPr="00E266CD" w:rsidRDefault="006A3F62" w:rsidP="006A3F62">
      <w:pPr>
        <w:pStyle w:val="TEKSTIIII"/>
      </w:pPr>
      <w:r w:rsidRPr="00E266CD">
        <w:t xml:space="preserve">- </w:t>
      </w:r>
      <w:r w:rsidR="00F91888" w:rsidRPr="00E266CD">
        <w:t>Ministri i Shtetit për Mbrojtjen e Sipërmarrjes</w:t>
      </w:r>
      <w:r w:rsidR="00094425" w:rsidRPr="00E266CD">
        <w:t>;</w:t>
      </w:r>
    </w:p>
    <w:p w14:paraId="282B76B4" w14:textId="53451F5F" w:rsidR="00F91888" w:rsidRPr="00E266CD" w:rsidRDefault="006A3F62" w:rsidP="006A3F62">
      <w:pPr>
        <w:pStyle w:val="TEKSTIIII"/>
      </w:pPr>
      <w:r w:rsidRPr="00E266CD">
        <w:t xml:space="preserve">- </w:t>
      </w:r>
      <w:r w:rsidR="00F91888" w:rsidRPr="00E266CD">
        <w:t>Ministria e Shëndetësisë dhe Mbrojtjes Sociale (MSHMS)</w:t>
      </w:r>
      <w:r w:rsidR="00094425" w:rsidRPr="00E266CD">
        <w:t>;</w:t>
      </w:r>
    </w:p>
    <w:p w14:paraId="26758E8A" w14:textId="1DD173CE" w:rsidR="00F91888" w:rsidRPr="00E266CD" w:rsidRDefault="006A3F62" w:rsidP="006A3F62">
      <w:pPr>
        <w:pStyle w:val="TEKSTIIII"/>
        <w:rPr>
          <w:color w:val="222222"/>
        </w:rPr>
      </w:pPr>
      <w:r w:rsidRPr="00E266CD">
        <w:rPr>
          <w:color w:val="000000"/>
        </w:rPr>
        <w:t xml:space="preserve">- </w:t>
      </w:r>
      <w:r w:rsidR="00F91888" w:rsidRPr="00E266CD">
        <w:rPr>
          <w:color w:val="000000"/>
        </w:rPr>
        <w:t>Ministria e Mbrojtjes (MM)</w:t>
      </w:r>
      <w:r w:rsidR="00094425" w:rsidRPr="00E266CD">
        <w:rPr>
          <w:color w:val="000000"/>
        </w:rPr>
        <w:t>;</w:t>
      </w:r>
    </w:p>
    <w:p w14:paraId="06EA11FD" w14:textId="582AEB96" w:rsidR="00F91888" w:rsidRPr="00E266CD" w:rsidRDefault="006A3F62" w:rsidP="006A3F62">
      <w:pPr>
        <w:pStyle w:val="TEKSTIIII"/>
        <w:rPr>
          <w:color w:val="000000"/>
        </w:rPr>
      </w:pPr>
      <w:r w:rsidRPr="00E266CD">
        <w:rPr>
          <w:color w:val="000000"/>
        </w:rPr>
        <w:t xml:space="preserve">- </w:t>
      </w:r>
      <w:r w:rsidR="00F91888" w:rsidRPr="00E266CD">
        <w:rPr>
          <w:color w:val="000000"/>
        </w:rPr>
        <w:t>Agjencia Kombëtare e Shoqërisë s</w:t>
      </w:r>
      <w:r w:rsidR="00AB67E7">
        <w:rPr>
          <w:color w:val="000000"/>
        </w:rPr>
        <w:t>ë</w:t>
      </w:r>
      <w:r w:rsidR="00F91888" w:rsidRPr="00E266CD">
        <w:rPr>
          <w:color w:val="000000"/>
        </w:rPr>
        <w:t xml:space="preserve"> Informacionit (AKSHI)</w:t>
      </w:r>
      <w:r w:rsidR="00094425" w:rsidRPr="00E266CD">
        <w:rPr>
          <w:color w:val="000000"/>
        </w:rPr>
        <w:t>;</w:t>
      </w:r>
    </w:p>
    <w:p w14:paraId="5CC0BFD2" w14:textId="496929F1" w:rsidR="00F91888" w:rsidRPr="00E266CD" w:rsidRDefault="006A3F62" w:rsidP="006A3F62">
      <w:pPr>
        <w:pStyle w:val="TEKSTIIII"/>
      </w:pPr>
      <w:r w:rsidRPr="00E266CD">
        <w:t xml:space="preserve">- </w:t>
      </w:r>
      <w:r w:rsidR="00F91888" w:rsidRPr="00E266CD">
        <w:t>Agjencia Shqiptare e Zhvillimit të Investimeve (AIDA)</w:t>
      </w:r>
      <w:r w:rsidR="00094425" w:rsidRPr="00E266CD">
        <w:t>;</w:t>
      </w:r>
    </w:p>
    <w:p w14:paraId="698BBBDF" w14:textId="627AE1EF" w:rsidR="00F91888" w:rsidRPr="00E266CD" w:rsidRDefault="006A3F62" w:rsidP="006A3F62">
      <w:pPr>
        <w:pStyle w:val="TEKSTIIII"/>
      </w:pPr>
      <w:r w:rsidRPr="00E266CD">
        <w:t xml:space="preserve">- </w:t>
      </w:r>
      <w:r w:rsidR="00F91888" w:rsidRPr="00E266CD">
        <w:t>Agjencia Kombëtare e Diasporës (AKD)</w:t>
      </w:r>
      <w:r w:rsidR="00094425" w:rsidRPr="00E266CD">
        <w:t>;</w:t>
      </w:r>
    </w:p>
    <w:p w14:paraId="30B33906" w14:textId="1F3A706F" w:rsidR="00F91888" w:rsidRPr="00E266CD" w:rsidRDefault="006A3F62" w:rsidP="006A3F62">
      <w:pPr>
        <w:pStyle w:val="TEKSTIIII"/>
      </w:pPr>
      <w:r w:rsidRPr="00E266CD">
        <w:t xml:space="preserve">- </w:t>
      </w:r>
      <w:r w:rsidR="00F91888" w:rsidRPr="00E266CD">
        <w:t>Agjencia e Mbështetjes së Shoqërisë Civile (AMSHC)</w:t>
      </w:r>
      <w:r w:rsidR="00094425" w:rsidRPr="00E266CD">
        <w:t>;</w:t>
      </w:r>
    </w:p>
    <w:p w14:paraId="669F5AF1" w14:textId="1FF8074D" w:rsidR="00F91888" w:rsidRPr="00E266CD" w:rsidRDefault="006A3F62" w:rsidP="006A3F62">
      <w:pPr>
        <w:pStyle w:val="TEKSTIIII"/>
      </w:pPr>
      <w:r w:rsidRPr="00E266CD">
        <w:t xml:space="preserve">- </w:t>
      </w:r>
      <w:r w:rsidR="00F91888" w:rsidRPr="00E266CD">
        <w:t>Instituti i Statistikave (INSTAT)</w:t>
      </w:r>
      <w:r w:rsidR="00094425" w:rsidRPr="00E266CD">
        <w:t>;</w:t>
      </w:r>
    </w:p>
    <w:p w14:paraId="0A70BF7F" w14:textId="093CD890" w:rsidR="00F91888" w:rsidRPr="00E266CD" w:rsidRDefault="006A3F62" w:rsidP="006A3F62">
      <w:pPr>
        <w:pStyle w:val="TEKSTIIII"/>
      </w:pPr>
      <w:r w:rsidRPr="00E266CD">
        <w:t xml:space="preserve">- </w:t>
      </w:r>
      <w:r w:rsidR="00F91888" w:rsidRPr="00E266CD">
        <w:t>Dhoma e Tregtisë dhe Industrisë</w:t>
      </w:r>
      <w:r w:rsidR="00094425" w:rsidRPr="00E266CD">
        <w:t>;</w:t>
      </w:r>
    </w:p>
    <w:p w14:paraId="226F2CDA" w14:textId="7E4CB9A4" w:rsidR="00F91888" w:rsidRPr="00E266CD" w:rsidRDefault="006A3F62" w:rsidP="006A3F62">
      <w:pPr>
        <w:pStyle w:val="TEKSTIIII"/>
      </w:pPr>
      <w:r w:rsidRPr="00E266CD">
        <w:t xml:space="preserve">- </w:t>
      </w:r>
      <w:r w:rsidR="00F91888" w:rsidRPr="00E266CD">
        <w:t>Drejtoria e Përgjithshme e Pronësisë Intelektuale (DPPI)</w:t>
      </w:r>
      <w:r w:rsidR="00094425" w:rsidRPr="00E266CD">
        <w:t>;</w:t>
      </w:r>
    </w:p>
    <w:p w14:paraId="1E186623" w14:textId="607AC4A8" w:rsidR="00F91888" w:rsidRPr="00E266CD" w:rsidRDefault="006A3F62" w:rsidP="006A3F62">
      <w:pPr>
        <w:pStyle w:val="TEKSTIIII"/>
        <w:rPr>
          <w:color w:val="222222"/>
        </w:rPr>
      </w:pPr>
      <w:r w:rsidRPr="00E266CD">
        <w:rPr>
          <w:color w:val="000000"/>
        </w:rPr>
        <w:t xml:space="preserve">- </w:t>
      </w:r>
      <w:r w:rsidR="00F91888" w:rsidRPr="00E266CD">
        <w:rPr>
          <w:color w:val="000000"/>
        </w:rPr>
        <w:t>Shkolla Shqiptare e Administratës Publike (ASPA)</w:t>
      </w:r>
      <w:r w:rsidR="00094425" w:rsidRPr="00E266CD">
        <w:rPr>
          <w:color w:val="000000"/>
        </w:rPr>
        <w:t>.</w:t>
      </w:r>
    </w:p>
    <w:p w14:paraId="2913165F" w14:textId="2FED2BAF"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Ministria e Arsimit dhe Sportit</w:t>
      </w:r>
      <w:r w:rsidRPr="00E266CD">
        <w:rPr>
          <w:rFonts w:ascii="Garamond" w:eastAsia="Times New Roman" w:hAnsi="Garamond"/>
          <w:sz w:val="24"/>
          <w:szCs w:val="24"/>
        </w:rPr>
        <w:t xml:space="preserve"> është institucioni kryesor përgjegjës për hartimin dhe zbatimin e politikave të arsimit të lartë dhe kërkimit shkencor</w:t>
      </w:r>
      <w:r w:rsidR="0061006C">
        <w:rPr>
          <w:rFonts w:ascii="Garamond" w:eastAsia="Times New Roman" w:hAnsi="Garamond"/>
          <w:sz w:val="24"/>
          <w:szCs w:val="24"/>
        </w:rPr>
        <w:t>,</w:t>
      </w:r>
      <w:r w:rsidRPr="00E266CD">
        <w:rPr>
          <w:rFonts w:ascii="Garamond" w:eastAsia="Times New Roman" w:hAnsi="Garamond"/>
          <w:sz w:val="24"/>
          <w:szCs w:val="24"/>
        </w:rPr>
        <w:t xml:space="preserve"> si dhe miraton planin strategjik në këtë fushë. Ajo harton dhe propozon bazën ligjore në fushën e arsimit të lartë dhe kërkimit shkencor dhe propozon në Këshillin e Ministrave modelin e financimit të buxhetit për arsimin e lartë dhe kërkimin shkencor, sipas përcaktimeve të këtij ligji dhe akteve të tjera ligjore e nënligjore, në fuqi</w:t>
      </w:r>
      <w:r w:rsidRPr="00E266CD">
        <w:rPr>
          <w:rFonts w:ascii="Garamond" w:eastAsia="Times New Roman" w:hAnsi="Garamond"/>
          <w:sz w:val="24"/>
          <w:szCs w:val="24"/>
          <w:vertAlign w:val="superscript"/>
        </w:rPr>
        <w:footnoteReference w:id="15"/>
      </w:r>
      <w:r w:rsidRPr="00E266CD">
        <w:rPr>
          <w:rFonts w:ascii="Garamond" w:eastAsia="Times New Roman" w:hAnsi="Garamond"/>
          <w:sz w:val="24"/>
          <w:szCs w:val="24"/>
        </w:rPr>
        <w:t>. Fusha e përgjegjësi</w:t>
      </w:r>
      <w:bookmarkStart w:id="6" w:name="_Hlk146530112"/>
      <w:r w:rsidRPr="00E266CD">
        <w:rPr>
          <w:rFonts w:ascii="Garamond" w:eastAsia="Times New Roman" w:hAnsi="Garamond"/>
          <w:sz w:val="24"/>
          <w:szCs w:val="24"/>
        </w:rPr>
        <w:t>së</w:t>
      </w:r>
      <w:bookmarkEnd w:id="6"/>
      <w:r w:rsidRPr="00E266CD">
        <w:rPr>
          <w:rFonts w:ascii="Garamond" w:eastAsia="Times New Roman" w:hAnsi="Garamond"/>
          <w:sz w:val="24"/>
          <w:szCs w:val="24"/>
        </w:rPr>
        <w:t xml:space="preserve"> </w:t>
      </w:r>
      <w:r w:rsidR="0061006C" w:rsidRPr="00E266CD">
        <w:rPr>
          <w:rFonts w:ascii="Garamond" w:eastAsia="Times New Roman" w:hAnsi="Garamond"/>
          <w:sz w:val="24"/>
          <w:szCs w:val="24"/>
        </w:rPr>
        <w:t>së</w:t>
      </w:r>
      <w:r w:rsidRPr="00E266CD">
        <w:rPr>
          <w:rFonts w:ascii="Garamond" w:eastAsia="Times New Roman" w:hAnsi="Garamond"/>
          <w:sz w:val="24"/>
          <w:szCs w:val="24"/>
        </w:rPr>
        <w:t xml:space="preserve"> MAS</w:t>
      </w:r>
      <w:r w:rsidR="0061006C">
        <w:rPr>
          <w:rFonts w:ascii="Garamond" w:eastAsia="Times New Roman" w:hAnsi="Garamond"/>
          <w:sz w:val="24"/>
          <w:szCs w:val="24"/>
        </w:rPr>
        <w:t>-it</w:t>
      </w:r>
      <w:r w:rsidRPr="00E266CD">
        <w:rPr>
          <w:rFonts w:ascii="Garamond" w:eastAsia="Times New Roman" w:hAnsi="Garamond"/>
          <w:sz w:val="24"/>
          <w:szCs w:val="24"/>
        </w:rPr>
        <w:t xml:space="preserve"> mbulon kërkimin shkencor dhe inovacionin që zhvillohet në IAL. Pra, për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sa i përket inovacionit</w:t>
      </w:r>
      <w:r w:rsidR="0061006C">
        <w:rPr>
          <w:rFonts w:ascii="Garamond" w:eastAsia="Times New Roman" w:hAnsi="Garamond"/>
          <w:sz w:val="24"/>
          <w:szCs w:val="24"/>
        </w:rPr>
        <w:t>,</w:t>
      </w:r>
      <w:r w:rsidRPr="00E266CD">
        <w:rPr>
          <w:rFonts w:ascii="Garamond" w:eastAsia="Times New Roman" w:hAnsi="Garamond"/>
          <w:sz w:val="24"/>
          <w:szCs w:val="24"/>
        </w:rPr>
        <w:t xml:space="preserve"> MAS</w:t>
      </w:r>
      <w:r w:rsidR="0061006C">
        <w:rPr>
          <w:rFonts w:ascii="Garamond" w:eastAsia="Times New Roman" w:hAnsi="Garamond"/>
          <w:sz w:val="24"/>
          <w:szCs w:val="24"/>
        </w:rPr>
        <w:t>-i</w:t>
      </w:r>
      <w:r w:rsidRPr="00E266CD">
        <w:rPr>
          <w:rFonts w:ascii="Garamond" w:eastAsia="Times New Roman" w:hAnsi="Garamond"/>
          <w:sz w:val="24"/>
          <w:szCs w:val="24"/>
        </w:rPr>
        <w:t xml:space="preserve"> ka një përgjegjësi të kufizuar. Pavarësisht se ka ndryshuar fushën e përgjegjësisë shtetërore disa herë, përsëri kompetencat në këtë fushë nuk kanë ndryshuar, por janë shtuar edhe në fushën e inovacionit. Përveç drejtorive politikëbërëse, pranë Ministrisë së Arsimit dhe Sportit është ngritur edhe Këshilli i Arsimit të Lartë dhe Kërkimit Shkencor që përbëhet nga 12 anëtarë. Ky këshill është organi kryesor që këshillon ministrinë për kuadrin strategjik dhe politik të arsimit të lartë dhe kërkimit shkencor.</w:t>
      </w:r>
    </w:p>
    <w:p w14:paraId="5C4E0331" w14:textId="6C8BA885"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 xml:space="preserve">Agjencia Kombëtare e Kërkimit Shkencor dhe Inovacionit (AKKSHI) </w:t>
      </w:r>
      <w:r w:rsidRPr="00E266CD">
        <w:rPr>
          <w:rFonts w:ascii="Garamond" w:eastAsia="Times New Roman" w:hAnsi="Garamond"/>
          <w:color w:val="222222"/>
          <w:sz w:val="24"/>
          <w:szCs w:val="24"/>
        </w:rPr>
        <w:t>u krijua bazuar në vendimin nr. 607, datë 31.8.2016</w:t>
      </w:r>
      <w:r w:rsidR="00094425" w:rsidRPr="00E266CD">
        <w:rPr>
          <w:rFonts w:ascii="Garamond" w:eastAsia="Times New Roman" w:hAnsi="Garamond"/>
          <w:color w:val="222222"/>
          <w:sz w:val="24"/>
          <w:szCs w:val="24"/>
        </w:rPr>
        <w:t>,</w:t>
      </w:r>
      <w:r w:rsidRPr="00E266CD">
        <w:rPr>
          <w:rFonts w:ascii="Garamond" w:eastAsia="Times New Roman" w:hAnsi="Garamond"/>
          <w:color w:val="222222"/>
          <w:sz w:val="24"/>
          <w:szCs w:val="24"/>
        </w:rPr>
        <w:t xml:space="preserve"> të Këshillit të Ministrave</w:t>
      </w:r>
      <w:r w:rsidR="00094425" w:rsidRPr="00E266CD">
        <w:rPr>
          <w:rFonts w:ascii="Garamond" w:eastAsia="Times New Roman" w:hAnsi="Garamond"/>
          <w:color w:val="222222"/>
          <w:sz w:val="24"/>
          <w:szCs w:val="24"/>
        </w:rPr>
        <w:t>,</w:t>
      </w:r>
      <w:r w:rsidRPr="00E266CD">
        <w:rPr>
          <w:rFonts w:ascii="Garamond" w:eastAsia="Times New Roman" w:hAnsi="Garamond"/>
          <w:color w:val="222222"/>
          <w:sz w:val="24"/>
          <w:szCs w:val="24"/>
        </w:rPr>
        <w:t xml:space="preserve"> “Për krijimin, përbërjen, organizimin dhe funksionimin e Agjencisë Kombëtare të Kërkimit Shkencor, Teknologjisë dhe Inovacionit”. AKKSHI është një institucion juridik publik në varësi të ministrisë përgjegjëse për arsimin dhe kërkimin shkencor</w:t>
      </w:r>
      <w:r w:rsidR="0061006C">
        <w:rPr>
          <w:rFonts w:ascii="Garamond" w:eastAsia="Times New Roman" w:hAnsi="Garamond"/>
          <w:color w:val="222222"/>
          <w:sz w:val="24"/>
          <w:szCs w:val="24"/>
        </w:rPr>
        <w:t>,</w:t>
      </w:r>
      <w:r w:rsidRPr="00E266CD">
        <w:rPr>
          <w:rFonts w:ascii="Garamond" w:eastAsia="Times New Roman" w:hAnsi="Garamond"/>
          <w:color w:val="222222"/>
          <w:sz w:val="24"/>
          <w:szCs w:val="24"/>
        </w:rPr>
        <w:t xml:space="preserve"> që synon ndërtimin e një sistemi modern të shkencës, fuqizimin e kërkimit shkencor dhe teknologjik, si dhe integrimin e tyre në sistemin e arsimit të lartë. Nga viti 2017, Agjencia Kombëtare</w:t>
      </w:r>
      <w:r w:rsidRPr="00E266CD">
        <w:rPr>
          <w:rFonts w:ascii="Garamond" w:eastAsia="Times New Roman" w:hAnsi="Garamond"/>
          <w:sz w:val="24"/>
          <w:szCs w:val="24"/>
        </w:rPr>
        <w:t xml:space="preserve"> e Kërkimit Shkencor dhe Inovacionit (zëvendësoi AKTI) mori përgjegjësitë kryesore në lidhje me financimin e kërkimit shkencor dhe zbatimin e politikave në fushën e kërkimit shkencor, inovacionit dhe teknologjisë. Kjo agjenci duhet të bashkërendojë punën për zbatimin e politikave me institucionin përgjegjës për mbrojtjen e sipërmarrjes</w:t>
      </w:r>
      <w:r w:rsidR="0061006C">
        <w:rPr>
          <w:rFonts w:ascii="Garamond" w:eastAsia="Times New Roman" w:hAnsi="Garamond"/>
          <w:sz w:val="24"/>
          <w:szCs w:val="24"/>
        </w:rPr>
        <w:t>,</w:t>
      </w:r>
      <w:r w:rsidRPr="00E266CD">
        <w:rPr>
          <w:rFonts w:ascii="Garamond" w:eastAsia="Times New Roman" w:hAnsi="Garamond"/>
          <w:sz w:val="24"/>
          <w:szCs w:val="24"/>
        </w:rPr>
        <w:t xml:space="preserve"> që aktualisht është Ministria e </w:t>
      </w:r>
      <w:r w:rsidR="0061006C" w:rsidRPr="00E266CD">
        <w:rPr>
          <w:rFonts w:ascii="Garamond" w:eastAsia="Times New Roman" w:hAnsi="Garamond"/>
          <w:sz w:val="24"/>
          <w:szCs w:val="24"/>
        </w:rPr>
        <w:t xml:space="preserve">Shtetit </w:t>
      </w:r>
      <w:r w:rsidRPr="00E266CD">
        <w:rPr>
          <w:rFonts w:ascii="Garamond" w:eastAsia="Times New Roman" w:hAnsi="Garamond"/>
          <w:sz w:val="24"/>
          <w:szCs w:val="24"/>
        </w:rPr>
        <w:t xml:space="preserve">për </w:t>
      </w:r>
      <w:r w:rsidR="0061006C" w:rsidRPr="00E266CD">
        <w:rPr>
          <w:rFonts w:ascii="Garamond" w:eastAsia="Times New Roman" w:hAnsi="Garamond"/>
          <w:sz w:val="24"/>
          <w:szCs w:val="24"/>
        </w:rPr>
        <w:t xml:space="preserve">Mbrojtjen </w:t>
      </w:r>
      <w:r w:rsidRPr="00E266CD">
        <w:rPr>
          <w:rFonts w:ascii="Garamond" w:eastAsia="Times New Roman" w:hAnsi="Garamond"/>
          <w:sz w:val="24"/>
          <w:szCs w:val="24"/>
        </w:rPr>
        <w:t xml:space="preserve">e </w:t>
      </w:r>
      <w:r w:rsidR="0061006C" w:rsidRPr="00E266CD">
        <w:rPr>
          <w:rFonts w:ascii="Garamond" w:eastAsia="Times New Roman" w:hAnsi="Garamond"/>
          <w:sz w:val="24"/>
          <w:szCs w:val="24"/>
        </w:rPr>
        <w:t>Sipërmarrjes</w:t>
      </w:r>
      <w:r w:rsidRPr="00E266CD">
        <w:rPr>
          <w:rFonts w:ascii="Garamond" w:eastAsia="Times New Roman" w:hAnsi="Garamond"/>
          <w:sz w:val="24"/>
          <w:szCs w:val="24"/>
        </w:rPr>
        <w:t>, Agjencinë Shqiptare të Zhvillimit të Investimeve (AIDA) institucionin përgjegjës për mbështetjen e NVM</w:t>
      </w:r>
      <w:r w:rsidR="0061006C">
        <w:rPr>
          <w:rFonts w:ascii="Garamond" w:eastAsia="Times New Roman" w:hAnsi="Garamond"/>
          <w:sz w:val="24"/>
          <w:szCs w:val="24"/>
        </w:rPr>
        <w:t>-ve,</w:t>
      </w:r>
      <w:r w:rsidRPr="00E266CD">
        <w:rPr>
          <w:rFonts w:ascii="Garamond" w:eastAsia="Times New Roman" w:hAnsi="Garamond"/>
          <w:sz w:val="24"/>
          <w:szCs w:val="24"/>
        </w:rPr>
        <w:t xml:space="preserve"> që aktualisht është Agjencia Shqiptare e NVM dhe Fondin e Inovacionit.</w:t>
      </w:r>
    </w:p>
    <w:p w14:paraId="37DD4FFC" w14:textId="44CCEAD4" w:rsidR="00F91888" w:rsidRPr="00E266CD" w:rsidRDefault="00F91888" w:rsidP="00F91888">
      <w:pPr>
        <w:shd w:val="clear" w:color="auto" w:fill="FFFFFF"/>
        <w:ind w:firstLine="284"/>
        <w:rPr>
          <w:rFonts w:ascii="Garamond" w:eastAsia="Times New Roman" w:hAnsi="Garamond"/>
          <w:bCs/>
          <w:sz w:val="24"/>
          <w:szCs w:val="24"/>
        </w:rPr>
      </w:pPr>
      <w:r w:rsidRPr="00E266CD">
        <w:rPr>
          <w:rFonts w:ascii="Garamond" w:eastAsia="Times New Roman" w:hAnsi="Garamond"/>
          <w:b/>
          <w:sz w:val="24"/>
          <w:szCs w:val="24"/>
        </w:rPr>
        <w:t>Agjencia Kombëtare e Shoqërisë së Informacionit (AKSHI)</w:t>
      </w:r>
      <w:r w:rsidRPr="00E266CD">
        <w:rPr>
          <w:rFonts w:ascii="Garamond" w:eastAsia="Times New Roman" w:hAnsi="Garamond"/>
          <w:bCs/>
          <w:sz w:val="24"/>
          <w:szCs w:val="24"/>
        </w:rPr>
        <w:t xml:space="preserve"> është institucioni kryesor për sa i përket digjitalizimit të administratës publike dhe shërbimeve publike të ofruara për qytetarët dhe bizneset në Shqipëri. AKSHI administron infrastrukturën </w:t>
      </w:r>
      <w:r w:rsidRPr="00E266CD">
        <w:rPr>
          <w:rFonts w:ascii="Garamond" w:hAnsi="Garamond"/>
          <w:i/>
          <w:sz w:val="24"/>
        </w:rPr>
        <w:t>e-Gov</w:t>
      </w:r>
      <w:r w:rsidRPr="00E266CD">
        <w:rPr>
          <w:rFonts w:ascii="Garamond" w:eastAsia="Times New Roman" w:hAnsi="Garamond"/>
          <w:bCs/>
          <w:sz w:val="24"/>
          <w:szCs w:val="24"/>
        </w:rPr>
        <w:t xml:space="preserve">, si dhe infrastrukturën e Teknologjisë së Informacionit dhe Komunikimit (TIK) për institucionet dhe organet e administratës buxhetore nën përgjegjësinë e Këshillit të Ministrave, si dhe institucioneve jobuxhetore, për të cilat përdoren tarifat e shërbimit. Rregullon sektorin e TIK-ut dhe është një ofrues i shërbimeve TIK dhe shërbimeve elektronike për qytetarët, bizneset dhe administratën publike. AKSHI krijon, mirëmban dhe administron sistemet dhe aplikacionet e teknologjisë së informacionit dhe komunikimit, infrastrukturën e centralizuar dhe infrastrukturën e TIK-ut për institucionet e administratës shtetërore dhe organet nën përgjegjësinë e Këshillit të Ministrave. Ky institucion promovon gjithashtu teknologji të reja, harton strategji dhe plane veprimi për zbatimin e politikave në fushën e teknologjisë së informacionit dhe komunikimit elektronik </w:t>
      </w:r>
      <w:r w:rsidRPr="00E266CD">
        <w:rPr>
          <w:rFonts w:ascii="Garamond" w:hAnsi="Garamond"/>
          <w:sz w:val="24"/>
        </w:rPr>
        <w:t>e-Gov</w:t>
      </w:r>
      <w:r w:rsidR="00094425" w:rsidRPr="00E266CD">
        <w:rPr>
          <w:rFonts w:ascii="Garamond" w:eastAsia="Times New Roman" w:hAnsi="Garamond"/>
          <w:bCs/>
          <w:sz w:val="24"/>
          <w:szCs w:val="24"/>
        </w:rPr>
        <w:t>,</w:t>
      </w:r>
      <w:r w:rsidRPr="00E266CD">
        <w:rPr>
          <w:rFonts w:ascii="Garamond" w:eastAsia="Times New Roman" w:hAnsi="Garamond"/>
          <w:bCs/>
          <w:sz w:val="24"/>
          <w:szCs w:val="24"/>
        </w:rPr>
        <w:t xml:space="preserve"> si dhe promovon aktivitetet e sektorit të TIK-ut brenda kornizës së detyrimeve, konventave dhe marrëveshjeve ndërkombëtare, bilaterale dhe shumëpalëshe, në fushën e komunikimeve elektronike </w:t>
      </w:r>
      <w:r w:rsidRPr="00E266CD">
        <w:rPr>
          <w:rFonts w:ascii="Garamond" w:hAnsi="Garamond"/>
          <w:i/>
          <w:sz w:val="24"/>
        </w:rPr>
        <w:t>e-Gov</w:t>
      </w:r>
      <w:r w:rsidR="00094425" w:rsidRPr="00E266CD">
        <w:rPr>
          <w:rFonts w:ascii="Garamond" w:eastAsia="Times New Roman" w:hAnsi="Garamond"/>
          <w:bCs/>
          <w:sz w:val="24"/>
          <w:szCs w:val="24"/>
        </w:rPr>
        <w:t>.</w:t>
      </w:r>
    </w:p>
    <w:p w14:paraId="40524094" w14:textId="5420E605"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Akademia e Shkencave e Shqipërisë (ASHSH)</w:t>
      </w:r>
      <w:r w:rsidRPr="00E266CD">
        <w:rPr>
          <w:rFonts w:ascii="Garamond" w:eastAsia="Times New Roman" w:hAnsi="Garamond"/>
          <w:sz w:val="24"/>
          <w:szCs w:val="24"/>
        </w:rPr>
        <w:t xml:space="preserve"> është institucioni publik më i lartë që përfaqëson e mbart vlerat më të mira të shkencës, të kërkimit shkencor, të krijimtarisë dhe të debatit e bashkëveprimit të mendimit shkencor në vend, përmes një bashkësie të zgjedhur shkencëtarësh e krijuesish. Në të njëjtën kohë, ASHSH</w:t>
      </w:r>
      <w:r w:rsidR="0061006C">
        <w:rPr>
          <w:rFonts w:ascii="Garamond" w:eastAsia="Times New Roman" w:hAnsi="Garamond"/>
          <w:sz w:val="24"/>
          <w:szCs w:val="24"/>
        </w:rPr>
        <w:t>-ja</w:t>
      </w:r>
      <w:r w:rsidRPr="00E266CD">
        <w:rPr>
          <w:rFonts w:ascii="Garamond" w:eastAsia="Times New Roman" w:hAnsi="Garamond"/>
          <w:sz w:val="24"/>
          <w:szCs w:val="24"/>
        </w:rPr>
        <w:t xml:space="preserve"> propozon fusha të reja kërkimore e studimore, në përputhje me nevojat e zhvillimit të vendit dhe u ofron institucioneve shtetërore ekspertizën e nevojshme për zgjidhjen e çështjeve të rëndësishme për vendin.</w:t>
      </w:r>
      <w:r w:rsidRPr="00E266CD">
        <w:rPr>
          <w:rFonts w:ascii="Garamond" w:eastAsia="Times New Roman" w:hAnsi="Garamond"/>
          <w:sz w:val="24"/>
          <w:szCs w:val="24"/>
          <w:vertAlign w:val="superscript"/>
        </w:rPr>
        <w:footnoteReference w:id="16"/>
      </w:r>
      <w:r w:rsidRPr="00E266CD">
        <w:rPr>
          <w:rFonts w:ascii="Garamond" w:eastAsia="Times New Roman" w:hAnsi="Garamond"/>
          <w:sz w:val="24"/>
          <w:szCs w:val="24"/>
        </w:rPr>
        <w:t>. Akademia e Shkencave të Shqipërisë është institucion qendror shkencor kombëtar. Akademia duhet të</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të kryejë kërkime shkencore fondamentale dhe aplikative në fusha të ndryshme të shkencave sociale, humanitare, natyrore e albanologjike; 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të kujdeset për të hapur fusha të reja të kërkimeve shkencore, në përputhje me nevojat e vendit; iii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w:t>
      </w:r>
      <w:r w:rsidR="00417E27" w:rsidRPr="00E266CD">
        <w:rPr>
          <w:rFonts w:ascii="Garamond" w:eastAsia="Times New Roman" w:hAnsi="Garamond"/>
          <w:sz w:val="24"/>
          <w:szCs w:val="24"/>
        </w:rPr>
        <w:t>t’u</w:t>
      </w:r>
      <w:r w:rsidRPr="00E266CD">
        <w:rPr>
          <w:rFonts w:ascii="Garamond" w:eastAsia="Times New Roman" w:hAnsi="Garamond"/>
          <w:sz w:val="24"/>
          <w:szCs w:val="24"/>
        </w:rPr>
        <w:t xml:space="preserve"> parashtrojë organeve shtetërore çështje të rëndësishme për gjendjen e kërkimit shkencor e të zhvillimit teknologjik në fusha të ndryshme</w:t>
      </w:r>
      <w:r w:rsidR="0061006C">
        <w:rPr>
          <w:rFonts w:ascii="Garamond" w:eastAsia="Times New Roman" w:hAnsi="Garamond"/>
          <w:sz w:val="24"/>
          <w:szCs w:val="24"/>
        </w:rPr>
        <w:t>,</w:t>
      </w:r>
      <w:r w:rsidRPr="00E266CD">
        <w:rPr>
          <w:rFonts w:ascii="Garamond" w:eastAsia="Times New Roman" w:hAnsi="Garamond"/>
          <w:sz w:val="24"/>
          <w:szCs w:val="24"/>
        </w:rPr>
        <w:t xml:space="preserve"> për rrugët e zhvillimit të shkencës e të kulturës; iv</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të punojë për përfshirjen sa më të frytshme të shkencës shqiptare në shkencën botërore.</w:t>
      </w:r>
      <w:r w:rsidRPr="00E266CD">
        <w:rPr>
          <w:rFonts w:ascii="Garamond" w:eastAsia="Times New Roman" w:hAnsi="Garamond"/>
          <w:sz w:val="24"/>
          <w:szCs w:val="24"/>
          <w:vertAlign w:val="superscript"/>
        </w:rPr>
        <w:footnoteReference w:id="17"/>
      </w:r>
    </w:p>
    <w:p w14:paraId="2E8432ED" w14:textId="7A34CBF9"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Institucionet e Arsimit të Lartë (IAL)</w:t>
      </w:r>
      <w:r w:rsidRPr="00E266CD">
        <w:rPr>
          <w:rFonts w:ascii="Garamond" w:eastAsia="Times New Roman" w:hAnsi="Garamond"/>
          <w:sz w:val="24"/>
          <w:szCs w:val="24"/>
        </w:rPr>
        <w:t xml:space="preserve"> luajnë një rol shumë të rëndësishëm në rritjen e kërkimit shkencor, inovacionit dhe teknologjisë pasi ato janë hartuesit, zbatuesit dhe përfituesit kryesorë nga marrëveshjet apo anëtarësimet në organizata të ndryshme që bëhen nga vetë ato ose nga AKKSHI apo institucione të tjera. Aktualisht ekzistojnë 15 IAL</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publike dhe 27 IAL jopublike. Një pjesë e këtyre institucioneve kanë hapur qendra apo zbatojnë projekte që nxisin përdorimin e inovacionit dhe teknologjisë jo vetëm nga IAL</w:t>
      </w:r>
      <w:r w:rsidR="0061006C">
        <w:rPr>
          <w:rFonts w:ascii="Garamond" w:eastAsia="Times New Roman" w:hAnsi="Garamond"/>
          <w:sz w:val="24"/>
          <w:szCs w:val="24"/>
        </w:rPr>
        <w:t>-të</w:t>
      </w:r>
      <w:r w:rsidRPr="00E266CD">
        <w:rPr>
          <w:rFonts w:ascii="Garamond" w:eastAsia="Times New Roman" w:hAnsi="Garamond"/>
          <w:sz w:val="24"/>
          <w:szCs w:val="24"/>
        </w:rPr>
        <w:t xml:space="preserve">, por edhe nga bizneset apo institucione të tjera. Një </w:t>
      </w:r>
      <w:r w:rsidR="0061006C" w:rsidRPr="00E266CD">
        <w:rPr>
          <w:rFonts w:ascii="Garamond" w:eastAsia="Times New Roman" w:hAnsi="Garamond"/>
          <w:sz w:val="24"/>
          <w:szCs w:val="24"/>
        </w:rPr>
        <w:t xml:space="preserve">model i ri financimi </w:t>
      </w:r>
      <w:r w:rsidRPr="00E266CD">
        <w:rPr>
          <w:rFonts w:ascii="Garamond" w:eastAsia="Times New Roman" w:hAnsi="Garamond"/>
          <w:sz w:val="24"/>
          <w:szCs w:val="24"/>
        </w:rPr>
        <w:t xml:space="preserve">i </w:t>
      </w:r>
      <w:r w:rsidR="0061006C" w:rsidRPr="00E266CD">
        <w:rPr>
          <w:rFonts w:ascii="Garamond" w:eastAsia="Times New Roman" w:hAnsi="Garamond"/>
          <w:sz w:val="24"/>
          <w:szCs w:val="24"/>
        </w:rPr>
        <w:t xml:space="preserve">institucioneve publike </w:t>
      </w:r>
      <w:r w:rsidRPr="00E266CD">
        <w:rPr>
          <w:rFonts w:ascii="Garamond" w:eastAsia="Times New Roman" w:hAnsi="Garamond"/>
          <w:sz w:val="24"/>
          <w:szCs w:val="24"/>
        </w:rPr>
        <w:t xml:space="preserve">të </w:t>
      </w:r>
      <w:r w:rsidR="0061006C" w:rsidRPr="00E266CD">
        <w:rPr>
          <w:rFonts w:ascii="Garamond" w:eastAsia="Times New Roman" w:hAnsi="Garamond"/>
          <w:sz w:val="24"/>
          <w:szCs w:val="24"/>
        </w:rPr>
        <w:t xml:space="preserve">arsimit të lartë dhe kërkimit shkencor, i </w:t>
      </w:r>
      <w:r w:rsidRPr="00E266CD">
        <w:rPr>
          <w:rFonts w:ascii="Garamond" w:eastAsia="Times New Roman" w:hAnsi="Garamond"/>
          <w:sz w:val="24"/>
          <w:szCs w:val="24"/>
        </w:rPr>
        <w:t>miratuar në vitin 2018</w:t>
      </w:r>
      <w:r w:rsidRPr="00E266CD">
        <w:rPr>
          <w:rFonts w:ascii="Garamond" w:eastAsia="Times New Roman" w:hAnsi="Garamond"/>
          <w:sz w:val="24"/>
          <w:szCs w:val="24"/>
          <w:vertAlign w:val="superscript"/>
        </w:rPr>
        <w:footnoteReference w:id="18"/>
      </w:r>
      <w:r w:rsidRPr="00E266CD">
        <w:rPr>
          <w:rFonts w:ascii="Garamond" w:eastAsia="Times New Roman" w:hAnsi="Garamond"/>
          <w:sz w:val="24"/>
          <w:szCs w:val="24"/>
        </w:rPr>
        <w:t>, prezantoi një sistem financimi të përditësuar, por jo të plotë</w:t>
      </w:r>
      <w:r w:rsidR="0061006C">
        <w:rPr>
          <w:rFonts w:ascii="Garamond" w:eastAsia="Times New Roman" w:hAnsi="Garamond"/>
          <w:sz w:val="24"/>
          <w:szCs w:val="24"/>
        </w:rPr>
        <w:t>,</w:t>
      </w:r>
      <w:r w:rsidRPr="00E266CD">
        <w:rPr>
          <w:rFonts w:ascii="Garamond" w:eastAsia="Times New Roman" w:hAnsi="Garamond"/>
          <w:sz w:val="24"/>
          <w:szCs w:val="24"/>
        </w:rPr>
        <w:t xml:space="preserve"> për IAL-të dhe RDI</w:t>
      </w:r>
      <w:r w:rsidR="0061006C">
        <w:rPr>
          <w:rFonts w:ascii="Garamond" w:eastAsia="Times New Roman" w:hAnsi="Garamond"/>
          <w:sz w:val="24"/>
          <w:szCs w:val="24"/>
        </w:rPr>
        <w:t>-</w:t>
      </w:r>
      <w:r w:rsidRPr="00E266CD">
        <w:rPr>
          <w:rFonts w:ascii="Garamond" w:eastAsia="Times New Roman" w:hAnsi="Garamond"/>
          <w:sz w:val="24"/>
          <w:szCs w:val="24"/>
        </w:rPr>
        <w:t>të</w:t>
      </w:r>
      <w:r w:rsidR="0061006C" w:rsidRPr="00E266CD">
        <w:rPr>
          <w:rFonts w:ascii="Garamond" w:eastAsia="Times New Roman" w:hAnsi="Garamond"/>
          <w:sz w:val="24"/>
          <w:szCs w:val="24"/>
          <w:vertAlign w:val="superscript"/>
        </w:rPr>
        <w:footnoteReference w:id="19"/>
      </w:r>
      <w:r w:rsidRPr="00E266CD">
        <w:rPr>
          <w:rFonts w:ascii="Garamond" w:eastAsia="Times New Roman" w:hAnsi="Garamond"/>
          <w:sz w:val="24"/>
          <w:szCs w:val="24"/>
        </w:rPr>
        <w:t>. Sipas sistemit, financimi institucional ndahet në bazë të renditjes kombëtare të institucionit dhe nëpërmjet granteve konkurruese, ku këto të fundit shpërndahen nëpërmjet AKKSHI-</w:t>
      </w:r>
      <w:r w:rsidR="000C5E7E">
        <w:rPr>
          <w:rFonts w:ascii="Garamond" w:eastAsia="Times New Roman" w:hAnsi="Garamond"/>
          <w:sz w:val="24"/>
          <w:szCs w:val="24"/>
        </w:rPr>
        <w:t>t</w:t>
      </w:r>
      <w:r w:rsidRPr="00E266CD">
        <w:rPr>
          <w:rFonts w:ascii="Garamond" w:eastAsia="Times New Roman" w:hAnsi="Garamond"/>
          <w:sz w:val="24"/>
          <w:szCs w:val="24"/>
        </w:rPr>
        <w:t xml:space="preserve"> në përputhje me praktikat më të mira ndërkombëtare. Në drejtim të inovacionit, disa IAL kanë përfituar nga financimi i donatorëve për projekte inovative ose bashkëpunuese, siç janë inkubatorët e biznesit.</w:t>
      </w:r>
    </w:p>
    <w:p w14:paraId="20A27AAD" w14:textId="77777777" w:rsidR="00F91888" w:rsidRPr="00E266CD" w:rsidRDefault="00F91888" w:rsidP="00094425">
      <w:pPr>
        <w:shd w:val="clear" w:color="auto" w:fill="FFFFFF"/>
        <w:ind w:firstLine="284"/>
        <w:rPr>
          <w:rFonts w:ascii="Garamond" w:eastAsia="Times New Roman" w:hAnsi="Garamond"/>
          <w:sz w:val="24"/>
          <w:szCs w:val="24"/>
        </w:rPr>
      </w:pPr>
      <w:r w:rsidRPr="00E266CD">
        <w:rPr>
          <w:rFonts w:ascii="Garamond" w:eastAsia="Times New Roman" w:hAnsi="Garamond"/>
          <w:b/>
          <w:bCs/>
          <w:sz w:val="24"/>
          <w:szCs w:val="24"/>
        </w:rPr>
        <w:t xml:space="preserve">Agjencia Kombëtare e Financimit të Arsimit të Lartë (AKFAL) </w:t>
      </w:r>
      <w:r w:rsidRPr="00E266CD">
        <w:rPr>
          <w:rFonts w:ascii="Garamond" w:eastAsia="Times New Roman" w:hAnsi="Garamond"/>
          <w:sz w:val="24"/>
          <w:szCs w:val="24"/>
        </w:rPr>
        <w:t xml:space="preserve">është institucioni </w:t>
      </w:r>
      <w:r w:rsidRPr="00E266CD">
        <w:rPr>
          <w:rFonts w:ascii="Garamond" w:hAnsi="Garamond"/>
          <w:sz w:val="24"/>
          <w:szCs w:val="24"/>
        </w:rPr>
        <w:t>publik në varësi të ministrisë përgjegjëse për arsimin, që ka për detyrë kryesore shpërndarjen e fondeve publike për: mbështetjen e veprimtarisë së institucioneve publike të arsimit të lartë, ku përfshihet mësimdhënia, kërkimi shkencor dhe pjesëmarrja në çështjet e menaxhimit akademik dhe administrativ; mbështetjen me bursa studimi për studentët e shkëlqyer me notë mesatare maksimale nga sistemi i arsimit të mesëm të lartë, studentët në programet e studimit në fusha prioritare dhe studentët nga shtresa sociale në nevojë; garantimin e skemës së kredive studentore. AKFAL-i propozon kriteret për shpërndarjen e fondeve publike.</w:t>
      </w:r>
    </w:p>
    <w:p w14:paraId="14490AC1" w14:textId="5443F34C"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Qendra Ndërinstitucionale “Rrjeti Akademik Shqiptar”</w:t>
      </w:r>
      <w:r w:rsidRPr="00E266CD">
        <w:rPr>
          <w:rFonts w:ascii="Garamond" w:eastAsia="Times New Roman" w:hAnsi="Garamond"/>
          <w:sz w:val="24"/>
          <w:szCs w:val="24"/>
        </w:rPr>
        <w:t xml:space="preserve"> është një organ i ngritur pas reformës së arsimit të lartë të vitit 2015 dhe veprimtaria e saj ndikon drejtpërdrejtë në realizimin e politikave</w:t>
      </w:r>
      <w:r w:rsidR="000C5E7E">
        <w:rPr>
          <w:rFonts w:ascii="Garamond" w:eastAsia="Times New Roman" w:hAnsi="Garamond"/>
          <w:sz w:val="24"/>
          <w:szCs w:val="24"/>
        </w:rPr>
        <w:t>,</w:t>
      </w:r>
      <w:r w:rsidRPr="00E266CD">
        <w:rPr>
          <w:rFonts w:ascii="Garamond" w:eastAsia="Times New Roman" w:hAnsi="Garamond"/>
          <w:sz w:val="24"/>
          <w:szCs w:val="24"/>
        </w:rPr>
        <w:t xml:space="preserve"> në lidhje me kërkimin shkencor dhe bashkëpunimin ndërmjet institucioneve të arsimit të lartë. Rrjeti Akademik Shqiptar (RASH) është krijuar me vendimin nr. 88, datë 14.2.2018</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të Këshillit të Ministrave</w:t>
      </w:r>
      <w:r w:rsidR="000C5E7E">
        <w:rPr>
          <w:rFonts w:ascii="Garamond" w:eastAsia="Times New Roman" w:hAnsi="Garamond"/>
          <w:sz w:val="24"/>
          <w:szCs w:val="24"/>
        </w:rPr>
        <w:t>,</w:t>
      </w:r>
      <w:r w:rsidRPr="00E266CD">
        <w:rPr>
          <w:rFonts w:ascii="Garamond" w:eastAsia="Times New Roman" w:hAnsi="Garamond"/>
          <w:sz w:val="24"/>
          <w:szCs w:val="24"/>
        </w:rPr>
        <w:t xml:space="preserve"> “Për krijimin e Qendrës Ndërinstitucionale të Rrjetit Akademik Shqiptar (RASH)” dhe ka për qëllim:</w:t>
      </w:r>
    </w:p>
    <w:p w14:paraId="512E41AA" w14:textId="77777777" w:rsidR="00F91888" w:rsidRPr="00E266CD" w:rsidRDefault="006A3F62" w:rsidP="006A3F62">
      <w:pPr>
        <w:pStyle w:val="TEKSTIIII"/>
      </w:pPr>
      <w:r w:rsidRPr="00E266CD">
        <w:t xml:space="preserve">a) </w:t>
      </w:r>
      <w:r w:rsidR="00F91888" w:rsidRPr="00E266CD">
        <w:t>zhvillimin dhe promovimin e projekteve të kërkim-zhvillimit dhe inovacionit në fushën e teknologjisë së informacionit dhe komunikimit (TIK) për arsimin dhe shkencën;</w:t>
      </w:r>
    </w:p>
    <w:p w14:paraId="7699EF65" w14:textId="4DD9A065" w:rsidR="00F91888" w:rsidRPr="00E266CD" w:rsidRDefault="006A3F62" w:rsidP="006A3F62">
      <w:pPr>
        <w:pStyle w:val="TEKSTIIII"/>
      </w:pPr>
      <w:r w:rsidRPr="00E266CD">
        <w:t xml:space="preserve">b) </w:t>
      </w:r>
      <w:r w:rsidR="00F91888" w:rsidRPr="00E266CD">
        <w:t>krijimin e infrastrukturës për ngritjen e një qendre të përbashkët ndërdisiplinore kërkim-zhvillimi (TIK) nga IAL-të pjesëmarrëse apo palë të treta;</w:t>
      </w:r>
    </w:p>
    <w:p w14:paraId="0A81F154" w14:textId="30EB3136" w:rsidR="00F91888" w:rsidRPr="00E266CD" w:rsidRDefault="006A3F62" w:rsidP="006A3F62">
      <w:pPr>
        <w:pStyle w:val="TEKSTIIII"/>
      </w:pPr>
      <w:r w:rsidRPr="00E266CD">
        <w:t xml:space="preserve">c) </w:t>
      </w:r>
      <w:r w:rsidR="00F91888" w:rsidRPr="00E266CD">
        <w:t>koordinimin e pjesëmarrjes së kërkuesve vendas në projektin evropian të kërkimit GÉANT dhe projekte të tjera në fushën e teknologjisë së informacionit dhe komunikimit (TIK), pjesë përbërëse e programit kuadër evropian të kërkim-zhvillimit dhe inovacionit;</w:t>
      </w:r>
    </w:p>
    <w:p w14:paraId="3613CBE7" w14:textId="5234553A" w:rsidR="00F91888" w:rsidRPr="00E266CD" w:rsidRDefault="006A3F62" w:rsidP="006A3F62">
      <w:pPr>
        <w:pStyle w:val="TEKSTIIII"/>
      </w:pPr>
      <w:r w:rsidRPr="00E266CD">
        <w:t xml:space="preserve">d) </w:t>
      </w:r>
      <w:r w:rsidR="00F91888" w:rsidRPr="00E266CD">
        <w:t xml:space="preserve">zhvillimin e programeve </w:t>
      </w:r>
      <w:r w:rsidR="00F91888" w:rsidRPr="00E266CD">
        <w:rPr>
          <w:i/>
        </w:rPr>
        <w:t>software</w:t>
      </w:r>
      <w:r w:rsidR="00F91888" w:rsidRPr="00E266CD">
        <w:t xml:space="preserve"> dhe ofrimin e shërbimeve përkatëse për ministrinë përgjegjëse për arsimin, agjencitë e</w:t>
      </w:r>
      <w:r w:rsidR="007715D0" w:rsidRPr="00E266CD">
        <w:t xml:space="preserve"> </w:t>
      </w:r>
      <w:r w:rsidR="00F91888" w:rsidRPr="00E266CD">
        <w:t>varësisë për arsimin e lartë dhe kërkimin shkencor, institucionet e arsimit të lartë, të kërkimit shkencor dhe inovacionit e për të gjithë anëtarësinë e RASH-it, si dhe për palë të treta.</w:t>
      </w:r>
    </w:p>
    <w:p w14:paraId="30823316" w14:textId="7E689F67" w:rsidR="00F91888" w:rsidRPr="00E266CD" w:rsidRDefault="00F91888" w:rsidP="00F91888">
      <w:pPr>
        <w:keepNext/>
        <w:widowControl w:val="0"/>
        <w:pBdr>
          <w:top w:val="nil"/>
          <w:left w:val="nil"/>
          <w:bottom w:val="nil"/>
          <w:right w:val="nil"/>
          <w:between w:val="nil"/>
        </w:pBdr>
        <w:ind w:firstLine="284"/>
        <w:rPr>
          <w:rFonts w:ascii="Garamond" w:eastAsia="Times New Roman" w:hAnsi="Garamond"/>
          <w:sz w:val="24"/>
          <w:szCs w:val="24"/>
        </w:rPr>
      </w:pPr>
      <w:r w:rsidRPr="00E266CD">
        <w:rPr>
          <w:rFonts w:ascii="Garamond" w:eastAsia="Times New Roman" w:hAnsi="Garamond"/>
          <w:b/>
          <w:color w:val="000000"/>
          <w:sz w:val="24"/>
          <w:szCs w:val="24"/>
        </w:rPr>
        <w:t xml:space="preserve">Agjencia e Sigurimit të Cilësisë në Arsimin e Lartë </w:t>
      </w:r>
      <w:r w:rsidRPr="00E266CD">
        <w:rPr>
          <w:rFonts w:ascii="Garamond" w:eastAsia="Times New Roman" w:hAnsi="Garamond"/>
          <w:color w:val="000000"/>
          <w:sz w:val="24"/>
          <w:szCs w:val="24"/>
        </w:rPr>
        <w:t>(ASCAL)</w:t>
      </w:r>
      <w:r w:rsidRPr="00E266CD">
        <w:rPr>
          <w:rFonts w:ascii="Garamond" w:eastAsia="Times New Roman" w:hAnsi="Garamond"/>
          <w:sz w:val="24"/>
          <w:szCs w:val="24"/>
        </w:rPr>
        <w:t xml:space="preserve"> </w:t>
      </w:r>
      <w:r w:rsidRPr="00E266CD">
        <w:rPr>
          <w:rFonts w:ascii="Garamond" w:eastAsia="Times New Roman" w:hAnsi="Garamond"/>
          <w:color w:val="000000"/>
          <w:sz w:val="24"/>
          <w:szCs w:val="24"/>
        </w:rPr>
        <w:t xml:space="preserve">është krijuar në mbështetje të ligjit nr. 80/2015, me vendimin nr. 109, datë 15.2.2017, të Këshillit të Ministrave, “Për organizimin dhe funksionimin e Agjencisë së Sigurimit të Cilësisë në Arsimin e Lartë e të Bordit të Akreditimit dhe për përcaktimin e tarifave për proceset e sigurimit të cilësisë në arsimin e lartë”, </w:t>
      </w:r>
      <w:r w:rsidR="000C5E7E" w:rsidRPr="00E266CD">
        <w:rPr>
          <w:rFonts w:ascii="Garamond" w:eastAsia="Times New Roman" w:hAnsi="Garamond"/>
          <w:color w:val="000000"/>
          <w:sz w:val="24"/>
          <w:szCs w:val="24"/>
        </w:rPr>
        <w:t>të</w:t>
      </w:r>
      <w:r w:rsidRPr="00E266CD">
        <w:rPr>
          <w:rFonts w:ascii="Garamond" w:eastAsia="Times New Roman" w:hAnsi="Garamond"/>
          <w:color w:val="000000"/>
          <w:sz w:val="24"/>
          <w:szCs w:val="24"/>
        </w:rPr>
        <w:t xml:space="preserve"> ndryshuar</w:t>
      </w:r>
      <w:r w:rsidRPr="00E266CD">
        <w:rPr>
          <w:rFonts w:ascii="Garamond" w:eastAsia="Times New Roman" w:hAnsi="Garamond"/>
          <w:bCs/>
          <w:sz w:val="24"/>
          <w:szCs w:val="24"/>
        </w:rPr>
        <w:t>.</w:t>
      </w:r>
      <w:r w:rsidRPr="00E266CD">
        <w:rPr>
          <w:rFonts w:ascii="Garamond" w:eastAsia="Times New Roman" w:hAnsi="Garamond"/>
          <w:b/>
          <w:sz w:val="24"/>
          <w:szCs w:val="24"/>
        </w:rPr>
        <w:t xml:space="preserve"> </w:t>
      </w:r>
      <w:r w:rsidRPr="00E266CD">
        <w:rPr>
          <w:rFonts w:ascii="Garamond" w:eastAsia="Times New Roman" w:hAnsi="Garamond"/>
          <w:sz w:val="24"/>
          <w:szCs w:val="24"/>
        </w:rPr>
        <w:t xml:space="preserve">Kjo agjenci u krijua </w:t>
      </w:r>
      <w:r w:rsidRPr="00E266CD">
        <w:rPr>
          <w:rFonts w:ascii="Garamond" w:eastAsia="Times New Roman" w:hAnsi="Garamond"/>
          <w:color w:val="000000"/>
          <w:sz w:val="24"/>
          <w:szCs w:val="24"/>
        </w:rPr>
        <w:t>nga riorganizimi i Agjencisë Publike të Arsimit të Lartë, e cila ishte krijuar me vendim të Këshillit të Ministrave nr. 303, datë 1.7.1999.</w:t>
      </w:r>
      <w:r w:rsidRPr="00E266CD">
        <w:rPr>
          <w:rFonts w:ascii="Garamond" w:eastAsia="Times New Roman" w:hAnsi="Garamond"/>
          <w:sz w:val="24"/>
          <w:szCs w:val="24"/>
        </w:rPr>
        <w:t xml:space="preserve"> ASCAL</w:t>
      </w:r>
      <w:r w:rsidR="00770FF0" w:rsidRPr="00E266CD">
        <w:rPr>
          <w:rFonts w:ascii="Garamond" w:eastAsia="Times New Roman" w:hAnsi="Garamond"/>
          <w:sz w:val="24"/>
          <w:szCs w:val="24"/>
        </w:rPr>
        <w:t>-i</w:t>
      </w:r>
      <w:r w:rsidRPr="00E266CD">
        <w:rPr>
          <w:rFonts w:ascii="Garamond" w:eastAsia="Times New Roman" w:hAnsi="Garamond"/>
          <w:sz w:val="24"/>
          <w:szCs w:val="24"/>
        </w:rPr>
        <w:t xml:space="preserve"> është i vetmi institucion në RSH që kontrollon dhe vlerëson cilësinë në arsimin e lartë. Kjo, duke u mbështetur në standardet shtetërore të cilësisë dhe në standardet dhe udhëzimet përkatëse të cilësisë në </w:t>
      </w:r>
      <w:r w:rsidR="00A4679E" w:rsidRPr="00E266CD">
        <w:rPr>
          <w:rFonts w:ascii="Garamond" w:eastAsia="Times New Roman" w:hAnsi="Garamond"/>
          <w:sz w:val="24"/>
          <w:szCs w:val="24"/>
        </w:rPr>
        <w:t xml:space="preserve">hapësirën evropiane </w:t>
      </w:r>
      <w:r w:rsidRPr="00E266CD">
        <w:rPr>
          <w:rFonts w:ascii="Garamond" w:eastAsia="Times New Roman" w:hAnsi="Garamond"/>
          <w:sz w:val="24"/>
          <w:szCs w:val="24"/>
        </w:rPr>
        <w:t>dhe atë ndërkombëtare të arsimit të lartë. ASCAL</w:t>
      </w:r>
      <w:r w:rsidR="00A4679E">
        <w:rPr>
          <w:rFonts w:ascii="Garamond" w:eastAsia="Times New Roman" w:hAnsi="Garamond"/>
          <w:sz w:val="24"/>
          <w:szCs w:val="24"/>
        </w:rPr>
        <w:t>-i</w:t>
      </w:r>
      <w:r w:rsidRPr="00E266CD">
        <w:rPr>
          <w:rFonts w:ascii="Garamond" w:eastAsia="Times New Roman" w:hAnsi="Garamond"/>
          <w:sz w:val="24"/>
          <w:szCs w:val="24"/>
        </w:rPr>
        <w:t xml:space="preserve"> kryen vlerësimin paraprak të cilësisë për IAL-të, njësitë e tyre dhe programet e studimit të të tre cikleve në kuadër të licencimit të tyre</w:t>
      </w:r>
      <w:r w:rsidR="00A4679E">
        <w:rPr>
          <w:rFonts w:ascii="Garamond" w:eastAsia="Times New Roman" w:hAnsi="Garamond"/>
          <w:sz w:val="24"/>
          <w:szCs w:val="24"/>
        </w:rPr>
        <w:t>,</w:t>
      </w:r>
      <w:r w:rsidRPr="00E266CD">
        <w:rPr>
          <w:rFonts w:ascii="Garamond" w:eastAsia="Times New Roman" w:hAnsi="Garamond"/>
          <w:sz w:val="24"/>
          <w:szCs w:val="24"/>
        </w:rPr>
        <w:t xml:space="preserve"> si dhe vlerësimin e jashtëm në kuadër të akreditimit institucional dhe të programeve të studimit. Gjithashtu, Agjencia kryen vlerësime analitike dhe krahasuese për IAL</w:t>
      </w:r>
      <w:r w:rsidR="00A4679E">
        <w:rPr>
          <w:rFonts w:ascii="Garamond" w:eastAsia="Times New Roman" w:hAnsi="Garamond"/>
          <w:sz w:val="24"/>
          <w:szCs w:val="24"/>
        </w:rPr>
        <w:t>-të</w:t>
      </w:r>
      <w:r w:rsidRPr="00E266CD">
        <w:rPr>
          <w:rFonts w:ascii="Garamond" w:eastAsia="Times New Roman" w:hAnsi="Garamond"/>
          <w:sz w:val="24"/>
          <w:szCs w:val="24"/>
        </w:rPr>
        <w:t>, programet dhe fushat e studimit. Misioni i ASCAL</w:t>
      </w:r>
      <w:r w:rsidR="00A4679E">
        <w:rPr>
          <w:rFonts w:ascii="Garamond" w:eastAsia="Times New Roman" w:hAnsi="Garamond"/>
          <w:sz w:val="24"/>
          <w:szCs w:val="24"/>
        </w:rPr>
        <w:t>-it</w:t>
      </w:r>
      <w:r w:rsidRPr="00E266CD">
        <w:rPr>
          <w:rFonts w:ascii="Garamond" w:eastAsia="Times New Roman" w:hAnsi="Garamond"/>
          <w:sz w:val="24"/>
          <w:szCs w:val="24"/>
        </w:rPr>
        <w:t xml:space="preserve"> është</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w:t>
      </w:r>
      <w:r w:rsidR="00A4679E">
        <w:rPr>
          <w:rFonts w:ascii="Garamond" w:eastAsia="Times New Roman" w:hAnsi="Garamond"/>
          <w:sz w:val="24"/>
          <w:szCs w:val="24"/>
        </w:rPr>
        <w:t>s</w:t>
      </w:r>
      <w:r w:rsidRPr="00E266CD">
        <w:rPr>
          <w:rFonts w:ascii="Garamond" w:eastAsia="Times New Roman" w:hAnsi="Garamond"/>
          <w:sz w:val="24"/>
          <w:szCs w:val="24"/>
        </w:rPr>
        <w:t>igurimi i cilësisë në arsimin e lartë përmes vlerësimit të jashtëm, objektiv dhe të pavarur; 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w:t>
      </w:r>
      <w:r w:rsidR="00A4679E">
        <w:rPr>
          <w:rFonts w:ascii="Garamond" w:eastAsia="Times New Roman" w:hAnsi="Garamond"/>
          <w:sz w:val="24"/>
          <w:szCs w:val="24"/>
        </w:rPr>
        <w:t>r</w:t>
      </w:r>
      <w:r w:rsidRPr="00E266CD">
        <w:rPr>
          <w:rFonts w:ascii="Garamond" w:eastAsia="Times New Roman" w:hAnsi="Garamond"/>
          <w:sz w:val="24"/>
          <w:szCs w:val="24"/>
        </w:rPr>
        <w:t>uajtja e standardeve të cilësisë; iii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w:t>
      </w:r>
      <w:r w:rsidR="00A4679E">
        <w:rPr>
          <w:rFonts w:ascii="Garamond" w:eastAsia="Times New Roman" w:hAnsi="Garamond"/>
          <w:sz w:val="24"/>
          <w:szCs w:val="24"/>
        </w:rPr>
        <w:t>p</w:t>
      </w:r>
      <w:r w:rsidRPr="00E266CD">
        <w:rPr>
          <w:rFonts w:ascii="Garamond" w:eastAsia="Times New Roman" w:hAnsi="Garamond"/>
          <w:sz w:val="24"/>
          <w:szCs w:val="24"/>
        </w:rPr>
        <w:t>romovimi dhe përmirësimi i cilësisë së institucioneve të arsimit të lartë e të programeve të studimit që ato ofrojnë. Në procesin e akreditimit vlerësohet edhe cilësia e kërkimit shkencor në institucionin e arsimit të lartë. Pra, ndoshta jo në mënyrë të drejtpërdrejtë, por ky institucion ndikon në forcimin dhe rritjen e cilësisë së kërkimit shkencor që realizohet në institucionet e arsimit të lartë dhe institutet e kërkimit dhe zhvillimit.</w:t>
      </w:r>
    </w:p>
    <w:p w14:paraId="0DEEA87D" w14:textId="10A3BE55"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Agjencia Kombëtare e Diasporës (AKD)</w:t>
      </w:r>
      <w:r w:rsidRPr="00E266CD">
        <w:rPr>
          <w:rFonts w:ascii="Garamond" w:eastAsia="Times New Roman" w:hAnsi="Garamond"/>
          <w:sz w:val="24"/>
          <w:szCs w:val="24"/>
        </w:rPr>
        <w:t xml:space="preserve"> u ngrit bazuar në </w:t>
      </w:r>
      <w:r w:rsidR="00094425" w:rsidRPr="00E266CD">
        <w:rPr>
          <w:rFonts w:ascii="Garamond" w:eastAsia="Times New Roman" w:hAnsi="Garamond"/>
          <w:sz w:val="24"/>
          <w:szCs w:val="24"/>
        </w:rPr>
        <w:t>l</w:t>
      </w:r>
      <w:r w:rsidRPr="00E266CD">
        <w:rPr>
          <w:rFonts w:ascii="Garamond" w:eastAsia="Times New Roman" w:hAnsi="Garamond"/>
          <w:sz w:val="24"/>
          <w:szCs w:val="24"/>
        </w:rPr>
        <w:t>igjin nr.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115, datë 18.12.2017</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“Për krijimin e Agjencisë Kombëtare të Diasporës”. Edhe pse ligji është ndryshuar me ligjin nr.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35/2021, përsëri qëllimi i punës së agjencisë nuk është prekur. Ajo ka qëllim ruajtjen dhe promovimin e vlerave të identitetit kombëtar dhe trashëgimisë kulturore, si dhe forcimin dhe konsolidimin e bashkëpunimit institucional me diasporën. Nëpërmjet marrëveshjes së bashkëpunimit</w:t>
      </w:r>
      <w:r w:rsidR="00A4679E">
        <w:rPr>
          <w:rFonts w:ascii="Garamond" w:eastAsia="Times New Roman" w:hAnsi="Garamond"/>
          <w:sz w:val="24"/>
          <w:szCs w:val="24"/>
        </w:rPr>
        <w:t>,</w:t>
      </w:r>
      <w:r w:rsidRPr="00E266CD">
        <w:rPr>
          <w:rFonts w:ascii="Garamond" w:eastAsia="Times New Roman" w:hAnsi="Garamond"/>
          <w:sz w:val="24"/>
          <w:szCs w:val="24"/>
        </w:rPr>
        <w:t xml:space="preserve"> të nënshkruar në 2021</w:t>
      </w:r>
      <w:r w:rsidR="00A4679E">
        <w:rPr>
          <w:rFonts w:ascii="Garamond" w:eastAsia="Times New Roman" w:hAnsi="Garamond"/>
          <w:sz w:val="24"/>
          <w:szCs w:val="24"/>
        </w:rPr>
        <w:t>-shin</w:t>
      </w:r>
      <w:r w:rsidRPr="00E266CD">
        <w:rPr>
          <w:rFonts w:ascii="Garamond" w:eastAsia="Times New Roman" w:hAnsi="Garamond"/>
          <w:sz w:val="24"/>
          <w:szCs w:val="24"/>
        </w:rPr>
        <w:t xml:space="preserve"> me Institutin “AlbShkenca”, AKD</w:t>
      </w:r>
      <w:r w:rsidR="00A4679E">
        <w:rPr>
          <w:rFonts w:ascii="Garamond" w:eastAsia="Times New Roman" w:hAnsi="Garamond"/>
          <w:sz w:val="24"/>
          <w:szCs w:val="24"/>
        </w:rPr>
        <w:t>-ja</w:t>
      </w:r>
      <w:r w:rsidRPr="00E266CD">
        <w:rPr>
          <w:rFonts w:ascii="Garamond" w:eastAsia="Times New Roman" w:hAnsi="Garamond"/>
          <w:sz w:val="24"/>
          <w:szCs w:val="24"/>
        </w:rPr>
        <w:t xml:space="preserve"> synon nxitjen e bashkëpunimit me Diasporën Shkencore Shqiptare në fushën e kërkim-zhvillimit</w:t>
      </w:r>
      <w:r w:rsidRPr="00E266CD">
        <w:rPr>
          <w:rFonts w:ascii="Garamond" w:eastAsia="Times New Roman" w:hAnsi="Garamond"/>
          <w:sz w:val="24"/>
          <w:szCs w:val="24"/>
          <w:vertAlign w:val="superscript"/>
        </w:rPr>
        <w:footnoteReference w:id="20"/>
      </w:r>
      <w:r w:rsidRPr="00E266CD">
        <w:rPr>
          <w:rFonts w:ascii="Garamond" w:eastAsia="Times New Roman" w:hAnsi="Garamond"/>
          <w:sz w:val="24"/>
          <w:szCs w:val="24"/>
        </w:rPr>
        <w:t xml:space="preserve">. Gjithashtu, është planifikuar ngritja e Këshillit Koordinues të Pjesëtarëve të Diasporës për Kërkimin Shkencor. Anëtarët e tij do të jenë profesorë, doktorë shkencash, kërkues shkencorë, hulumtues të cilët gjatë karrierës së tyre kanë dhënë kontribut të çmuar në zhvillimin e shkencës, promovimin e gjuhës dhe kulturës shqiptare. </w:t>
      </w:r>
    </w:p>
    <w:p w14:paraId="17C2808E" w14:textId="6E2AA59C" w:rsidR="00F91888" w:rsidRPr="00E266CD" w:rsidRDefault="00F91888" w:rsidP="00F91888">
      <w:pPr>
        <w:shd w:val="clear" w:color="auto" w:fill="FFFFFF"/>
        <w:ind w:firstLine="284"/>
        <w:rPr>
          <w:rFonts w:ascii="Garamond" w:eastAsia="Times New Roman" w:hAnsi="Garamond"/>
          <w:color w:val="FF0000"/>
          <w:sz w:val="24"/>
          <w:szCs w:val="24"/>
        </w:rPr>
      </w:pPr>
      <w:r w:rsidRPr="00E266CD">
        <w:rPr>
          <w:rFonts w:ascii="Garamond" w:eastAsia="Times New Roman" w:hAnsi="Garamond"/>
          <w:b/>
          <w:sz w:val="24"/>
          <w:szCs w:val="24"/>
        </w:rPr>
        <w:t>Agjencia e Mbështetjes së Shoqërisë Civile (AMSHC)</w:t>
      </w:r>
      <w:r w:rsidRPr="00E266CD">
        <w:rPr>
          <w:rFonts w:ascii="Garamond" w:eastAsia="Times New Roman" w:hAnsi="Garamond"/>
          <w:sz w:val="24"/>
          <w:szCs w:val="24"/>
        </w:rPr>
        <w:t xml:space="preserve"> është agjenci që mund të nxisë adaptimin dhe përdorimin më të shpejtë të teknologjisë dhe inovacionit</w:t>
      </w:r>
      <w:r w:rsidR="00A4679E">
        <w:rPr>
          <w:rFonts w:ascii="Garamond" w:eastAsia="Times New Roman" w:hAnsi="Garamond"/>
          <w:sz w:val="24"/>
          <w:szCs w:val="24"/>
        </w:rPr>
        <w:t>,</w:t>
      </w:r>
      <w:r w:rsidRPr="00E266CD">
        <w:rPr>
          <w:rFonts w:ascii="Garamond" w:eastAsia="Times New Roman" w:hAnsi="Garamond"/>
          <w:sz w:val="24"/>
          <w:szCs w:val="24"/>
        </w:rPr>
        <w:t xml:space="preserve"> si dhe mund të financojë, nëpërmjet granteve, kërkimin shkencor. Ndër objektivat e saj është edhe zhvillimi i sipërmarrjes shoqërore dhe punësimit në sektorin jofitimprurës.</w:t>
      </w:r>
    </w:p>
    <w:p w14:paraId="1BCA8375" w14:textId="749657A6"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Ministri i Shtetit për Mbrojtjen e Sipërmarrjes</w:t>
      </w:r>
      <w:r w:rsidRPr="00E266CD">
        <w:rPr>
          <w:rFonts w:ascii="Garamond" w:eastAsia="Times New Roman" w:hAnsi="Garamond"/>
          <w:sz w:val="24"/>
          <w:szCs w:val="24"/>
        </w:rPr>
        <w:t xml:space="preserve"> është krijuar në 2021</w:t>
      </w:r>
      <w:r w:rsidR="00A4679E">
        <w:rPr>
          <w:rFonts w:ascii="Garamond" w:eastAsia="Times New Roman" w:hAnsi="Garamond"/>
          <w:sz w:val="24"/>
          <w:szCs w:val="24"/>
        </w:rPr>
        <w:t>-shin</w:t>
      </w:r>
      <w:r w:rsidRPr="00E266CD">
        <w:rPr>
          <w:rFonts w:ascii="Garamond" w:eastAsia="Times New Roman" w:hAnsi="Garamond"/>
          <w:sz w:val="24"/>
          <w:szCs w:val="24"/>
        </w:rPr>
        <w:t xml:space="preserve"> dhe si mision ka mbrojtjen e sipërmarrjes dhe nxitjen e </w:t>
      </w:r>
      <w:r w:rsidRPr="00E266CD">
        <w:rPr>
          <w:rFonts w:ascii="Garamond" w:eastAsia="Times New Roman" w:hAnsi="Garamond"/>
          <w:i/>
          <w:sz w:val="24"/>
          <w:szCs w:val="24"/>
        </w:rPr>
        <w:t>startup</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eve, që janë një mundësi </w:t>
      </w:r>
      <w:r w:rsidR="00A4679E">
        <w:rPr>
          <w:rFonts w:ascii="Garamond" w:eastAsia="Times New Roman" w:hAnsi="Garamond"/>
          <w:sz w:val="24"/>
          <w:szCs w:val="24"/>
        </w:rPr>
        <w:t xml:space="preserve">e </w:t>
      </w:r>
      <w:r w:rsidRPr="00E266CD">
        <w:rPr>
          <w:rFonts w:ascii="Garamond" w:eastAsia="Times New Roman" w:hAnsi="Garamond"/>
          <w:sz w:val="24"/>
          <w:szCs w:val="24"/>
        </w:rPr>
        <w:t>mirë e promovimit të teknologjive të reja.</w:t>
      </w:r>
    </w:p>
    <w:p w14:paraId="4321D800" w14:textId="712D46E7"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 xml:space="preserve">Ministria e Shëndetësisë dhe Mbrojtjes Sociale </w:t>
      </w:r>
      <w:r w:rsidRPr="00E266CD">
        <w:rPr>
          <w:rFonts w:ascii="Garamond" w:eastAsia="Times New Roman" w:hAnsi="Garamond"/>
          <w:sz w:val="24"/>
          <w:szCs w:val="24"/>
        </w:rPr>
        <w:t>ka në varësi një sërë institucionesh që janë të rëndësishme për zhvillimin e kërkimit shkencor në fushën e shëndetësisë. Kështu në ligjin nr.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10 138, datë 11.5.2009</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“Për </w:t>
      </w:r>
      <w:r w:rsidR="00A4679E">
        <w:rPr>
          <w:rFonts w:ascii="Garamond" w:eastAsia="Times New Roman" w:hAnsi="Garamond"/>
          <w:sz w:val="24"/>
          <w:szCs w:val="24"/>
        </w:rPr>
        <w:t>s</w:t>
      </w:r>
      <w:r w:rsidRPr="00E266CD">
        <w:rPr>
          <w:rFonts w:ascii="Garamond" w:eastAsia="Times New Roman" w:hAnsi="Garamond"/>
          <w:sz w:val="24"/>
          <w:szCs w:val="24"/>
        </w:rPr>
        <w:t>hëndetin publik”, pikërisht në nenin 12</w:t>
      </w:r>
      <w:r w:rsidR="00A4679E">
        <w:rPr>
          <w:rFonts w:ascii="Garamond" w:eastAsia="Times New Roman" w:hAnsi="Garamond"/>
          <w:sz w:val="24"/>
          <w:szCs w:val="24"/>
        </w:rPr>
        <w:t>,</w:t>
      </w:r>
      <w:r w:rsidRPr="00E266CD">
        <w:rPr>
          <w:rFonts w:ascii="Garamond" w:eastAsia="Times New Roman" w:hAnsi="Garamond"/>
          <w:sz w:val="24"/>
          <w:szCs w:val="24"/>
        </w:rPr>
        <w:t xml:space="preserve"> ku jepet organizimi i Institutit të Shëndetit Publik (ISHP)</w:t>
      </w:r>
      <w:r w:rsidR="00A4679E">
        <w:rPr>
          <w:rFonts w:ascii="Garamond" w:eastAsia="Times New Roman" w:hAnsi="Garamond"/>
          <w:sz w:val="24"/>
          <w:szCs w:val="24"/>
        </w:rPr>
        <w:t>,</w:t>
      </w:r>
      <w:r w:rsidRPr="00E266CD">
        <w:rPr>
          <w:rFonts w:ascii="Garamond" w:eastAsia="Times New Roman" w:hAnsi="Garamond"/>
          <w:sz w:val="24"/>
          <w:szCs w:val="24"/>
        </w:rPr>
        <w:t xml:space="preserve"> theksohet:</w:t>
      </w:r>
    </w:p>
    <w:p w14:paraId="04685032" w14:textId="10C3CABC" w:rsidR="00F91888" w:rsidRPr="00E266CD" w:rsidRDefault="00F91888" w:rsidP="00F91888">
      <w:pPr>
        <w:shd w:val="clear" w:color="auto" w:fill="FFFFFF"/>
        <w:tabs>
          <w:tab w:val="left" w:pos="360"/>
        </w:tabs>
        <w:ind w:firstLine="284"/>
        <w:rPr>
          <w:rFonts w:ascii="Garamond" w:eastAsia="Times New Roman" w:hAnsi="Garamond"/>
          <w:sz w:val="24"/>
          <w:szCs w:val="24"/>
        </w:rPr>
      </w:pPr>
      <w:r w:rsidRPr="00E266CD">
        <w:rPr>
          <w:rFonts w:ascii="Garamond" w:eastAsia="Times New Roman" w:hAnsi="Garamond"/>
          <w:sz w:val="24"/>
          <w:szCs w:val="24"/>
        </w:rPr>
        <w:t>1.</w:t>
      </w:r>
      <w:r w:rsidRPr="00E266CD">
        <w:rPr>
          <w:rFonts w:ascii="Garamond" w:eastAsia="Times New Roman" w:hAnsi="Garamond"/>
          <w:sz w:val="24"/>
          <w:szCs w:val="24"/>
        </w:rPr>
        <w:tab/>
        <w:t xml:space="preserve">Instituti i Shëndetit Publik është institucion publik, buxhetor, në varësi administrative të </w:t>
      </w:r>
      <w:r w:rsidR="00A4679E">
        <w:rPr>
          <w:rFonts w:ascii="Garamond" w:eastAsia="Times New Roman" w:hAnsi="Garamond"/>
          <w:sz w:val="24"/>
          <w:szCs w:val="24"/>
        </w:rPr>
        <w:t>m</w:t>
      </w:r>
      <w:r w:rsidRPr="00E266CD">
        <w:rPr>
          <w:rFonts w:ascii="Garamond" w:eastAsia="Times New Roman" w:hAnsi="Garamond"/>
          <w:sz w:val="24"/>
          <w:szCs w:val="24"/>
        </w:rPr>
        <w:t>inistrit të Shëndetësisë.</w:t>
      </w:r>
      <w:r w:rsidR="007715D0" w:rsidRPr="00E266CD">
        <w:rPr>
          <w:rFonts w:ascii="Garamond" w:eastAsia="Times New Roman" w:hAnsi="Garamond"/>
          <w:sz w:val="24"/>
          <w:szCs w:val="24"/>
        </w:rPr>
        <w:t xml:space="preserve"> </w:t>
      </w:r>
    </w:p>
    <w:p w14:paraId="30D939A0" w14:textId="77777777"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2.</w:t>
      </w:r>
      <w:r w:rsidRPr="00E266CD">
        <w:rPr>
          <w:rFonts w:ascii="Garamond" w:eastAsia="Times New Roman" w:hAnsi="Garamond"/>
          <w:sz w:val="24"/>
          <w:szCs w:val="24"/>
        </w:rPr>
        <w:tab/>
        <w:t>ISHP-ja është qendër e kërkimit shkencor, qendër reference e shërbimeve në fushën e shëndetit publik, qendër universitare dhe qendër informacioni.</w:t>
      </w:r>
    </w:p>
    <w:p w14:paraId="18847017" w14:textId="15F6D4A9"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xml:space="preserve">Në ligjin </w:t>
      </w:r>
      <w:r w:rsidR="00094425" w:rsidRPr="00E266CD">
        <w:rPr>
          <w:rFonts w:ascii="Garamond" w:eastAsia="Times New Roman" w:hAnsi="Garamond"/>
          <w:sz w:val="24"/>
          <w:szCs w:val="24"/>
        </w:rPr>
        <w:t>n</w:t>
      </w:r>
      <w:r w:rsidRPr="00E266CD">
        <w:rPr>
          <w:rFonts w:ascii="Garamond" w:eastAsia="Times New Roman" w:hAnsi="Garamond"/>
          <w:sz w:val="24"/>
          <w:szCs w:val="24"/>
        </w:rPr>
        <w:t>r.</w:t>
      </w:r>
      <w:r w:rsidR="00094425" w:rsidRPr="00E266CD">
        <w:rPr>
          <w:rFonts w:ascii="Garamond" w:eastAsia="Times New Roman" w:hAnsi="Garamond"/>
          <w:sz w:val="24"/>
          <w:szCs w:val="24"/>
        </w:rPr>
        <w:t xml:space="preserve"> </w:t>
      </w:r>
      <w:r w:rsidRPr="00E266CD">
        <w:rPr>
          <w:rFonts w:ascii="Garamond" w:eastAsia="Times New Roman" w:hAnsi="Garamond"/>
          <w:sz w:val="24"/>
          <w:szCs w:val="24"/>
        </w:rPr>
        <w:t>55/2022, datë 7</w:t>
      </w:r>
      <w:r w:rsidR="00094425" w:rsidRPr="00E266CD">
        <w:rPr>
          <w:rFonts w:ascii="Garamond" w:eastAsia="Times New Roman" w:hAnsi="Garamond"/>
          <w:sz w:val="24"/>
          <w:szCs w:val="24"/>
        </w:rPr>
        <w:t>.</w:t>
      </w:r>
      <w:r w:rsidRPr="00E266CD">
        <w:rPr>
          <w:rFonts w:ascii="Garamond" w:eastAsia="Times New Roman" w:hAnsi="Garamond"/>
          <w:sz w:val="24"/>
          <w:szCs w:val="24"/>
        </w:rPr>
        <w:t>7</w:t>
      </w:r>
      <w:r w:rsidR="00094425" w:rsidRPr="00E266CD">
        <w:rPr>
          <w:rFonts w:ascii="Garamond" w:eastAsia="Times New Roman" w:hAnsi="Garamond"/>
          <w:sz w:val="24"/>
          <w:szCs w:val="24"/>
        </w:rPr>
        <w:t>.</w:t>
      </w:r>
      <w:r w:rsidRPr="00E266CD">
        <w:rPr>
          <w:rFonts w:ascii="Garamond" w:eastAsia="Times New Roman" w:hAnsi="Garamond"/>
          <w:sz w:val="24"/>
          <w:szCs w:val="24"/>
        </w:rPr>
        <w:t>2022</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“Për </w:t>
      </w:r>
      <w:r w:rsidR="00094425" w:rsidRPr="00E266CD">
        <w:rPr>
          <w:rFonts w:ascii="Garamond" w:eastAsia="Times New Roman" w:hAnsi="Garamond"/>
          <w:sz w:val="24"/>
          <w:szCs w:val="24"/>
        </w:rPr>
        <w:t>s</w:t>
      </w:r>
      <w:r w:rsidRPr="00E266CD">
        <w:rPr>
          <w:rFonts w:ascii="Garamond" w:eastAsia="Times New Roman" w:hAnsi="Garamond"/>
          <w:sz w:val="24"/>
          <w:szCs w:val="24"/>
        </w:rPr>
        <w:t>hërbimin spitalor në Republikën e Shqipërisë” thuhet se: Spitale terciare quhen spitalet me organizim teknik, pajisje mjekësore dhe me shërbime, që janë në gjendje të sigurojnë:</w:t>
      </w:r>
      <w:r w:rsidR="007715D0" w:rsidRPr="00E266CD">
        <w:rPr>
          <w:rFonts w:ascii="Garamond" w:eastAsia="Times New Roman" w:hAnsi="Garamond"/>
          <w:sz w:val="24"/>
          <w:szCs w:val="24"/>
        </w:rPr>
        <w:t xml:space="preserve"> </w:t>
      </w:r>
    </w:p>
    <w:p w14:paraId="2BCCE857" w14:textId="77AE06F1" w:rsidR="00F91888" w:rsidRPr="00E266CD" w:rsidRDefault="006A3F62" w:rsidP="006A3F62">
      <w:pPr>
        <w:pStyle w:val="TEKSTIIII"/>
      </w:pPr>
      <w:r w:rsidRPr="00E266CD">
        <w:t xml:space="preserve">a) </w:t>
      </w:r>
      <w:r w:rsidR="00F91888" w:rsidRPr="00E266CD">
        <w:t>ndihmë mjekësore të nivelit të lartë;</w:t>
      </w:r>
    </w:p>
    <w:p w14:paraId="6EFA1E1B" w14:textId="6A4D3EB7" w:rsidR="00F91888" w:rsidRPr="00E266CD" w:rsidRDefault="006A3F62" w:rsidP="006A3F62">
      <w:pPr>
        <w:pStyle w:val="TEKSTIIII"/>
      </w:pPr>
      <w:r w:rsidRPr="00E266CD">
        <w:t xml:space="preserve">b) </w:t>
      </w:r>
      <w:r w:rsidR="00F91888" w:rsidRPr="00E266CD">
        <w:t>punë kërkimore-shkencore, në bashkëpunim me departamentet e mësimdhënies;</w:t>
      </w:r>
    </w:p>
    <w:p w14:paraId="0C61DD1C" w14:textId="504E37D2" w:rsidR="00F91888" w:rsidRPr="00E266CD" w:rsidRDefault="006A3F62" w:rsidP="006A3F62">
      <w:pPr>
        <w:pStyle w:val="TEKSTIIII"/>
      </w:pPr>
      <w:r w:rsidRPr="00E266CD">
        <w:t xml:space="preserve">c) </w:t>
      </w:r>
      <w:r w:rsidR="00F91888" w:rsidRPr="00E266CD">
        <w:t>përgatitje profesionale për njohjen e personelit mjekësor me të rejat e shkencës</w:t>
      </w:r>
      <w:r w:rsidR="00094425" w:rsidRPr="00E266CD">
        <w:t>;</w:t>
      </w:r>
    </w:p>
    <w:p w14:paraId="216C32D9" w14:textId="77777777" w:rsidR="00F91888" w:rsidRPr="00E266CD" w:rsidRDefault="006A3F62" w:rsidP="006A3F62">
      <w:pPr>
        <w:pStyle w:val="TEKSTIIII"/>
      </w:pPr>
      <w:r w:rsidRPr="00E266CD">
        <w:t xml:space="preserve">d) </w:t>
      </w:r>
      <w:r w:rsidR="00F91888" w:rsidRPr="00E266CD">
        <w:t>shkolla për kualifikimin e personelit ndihmës dhe teknik.</w:t>
      </w:r>
    </w:p>
    <w:p w14:paraId="4EE760BC" w14:textId="77777777"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Kjo ministri është përgjegjëse për fushën e barazisë gjinore dhe ndikon në përfshirjen e grave dhe vajzave në fushën e kërkimit shkencor.</w:t>
      </w:r>
    </w:p>
    <w:p w14:paraId="1D76E517" w14:textId="63C04988"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xml:space="preserve">Kontributi i institucioneve në varësi të kësaj ministrie shtrihet edhe tek Shërbimi Social Shtetëror. Mbështetur në </w:t>
      </w:r>
      <w:r w:rsidR="00094425" w:rsidRPr="00E266CD">
        <w:rPr>
          <w:rFonts w:ascii="Garamond" w:eastAsia="Times New Roman" w:hAnsi="Garamond"/>
          <w:sz w:val="24"/>
          <w:szCs w:val="24"/>
        </w:rPr>
        <w:t>vendimin n</w:t>
      </w:r>
      <w:r w:rsidRPr="00E266CD">
        <w:rPr>
          <w:rFonts w:ascii="Garamond" w:eastAsia="Times New Roman" w:hAnsi="Garamond"/>
          <w:sz w:val="24"/>
          <w:szCs w:val="24"/>
        </w:rPr>
        <w:t>r. 135, datë 7.3.2018, të Këshillit të Ministrave, “Për miratimin e statutit të Shërbimit Social Shtetëror”, i ndryshuar, Shërbimi Social Shtetëror, ka si mision zbatimin e politikave të ministrisë përgjegjëse për çështjet e ndihmës ekonomike, të aftësisë së kufizuar dhe të shërbimeve të kujdesit shoqëror, shërbime të cilat themelohen në bazë të studimeve sipas nevojës.</w:t>
      </w:r>
    </w:p>
    <w:p w14:paraId="753F6032" w14:textId="795964FA"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xml:space="preserve">Gjithashtu, Shërbimi Social Shtetëror bashkëpunon me Fakultetin e Shkencave Sociale, Tiranë </w:t>
      </w:r>
      <w:r w:rsidRPr="00863C85">
        <w:rPr>
          <w:rFonts w:ascii="Garamond" w:eastAsia="Times New Roman" w:hAnsi="Garamond"/>
          <w:sz w:val="24"/>
          <w:szCs w:val="24"/>
        </w:rPr>
        <w:t>(https://fshs-ut.edu.al/?page_id=9175), bashkëpunim</w:t>
      </w:r>
      <w:r w:rsidRPr="00E266CD">
        <w:rPr>
          <w:rFonts w:ascii="Garamond" w:eastAsia="Times New Roman" w:hAnsi="Garamond"/>
          <w:sz w:val="24"/>
          <w:szCs w:val="24"/>
        </w:rPr>
        <w:t xml:space="preserve"> i cili ka në bazën e funksionit të tij veprimtari të përbashkëta kërkimore, trajnime, dhënie konsulence, ekspertize dhe transferim teknologjie. Nëpërmjet tyre ky partneritet sjell një kontribut në zhvillimin e kërkimit shkencor. Aktualisht Shërbimi Social Shtetëror bashkëpunon me Urdhrin e Punonjësit Social dhe Urdhrin e Psikologut, për çështje që lidhen me profesionistët e shërbimeve të kujdesit shoqëror. Bashkëpunimi dhe partneriteti që Shërbimi Social Shtetëror ka me institucione të fushave të kërkimit, si INSTAT-i, Fakulteti i Shkencave Sociale</w:t>
      </w:r>
      <w:r w:rsidR="00A4679E">
        <w:rPr>
          <w:rFonts w:ascii="Garamond" w:eastAsia="Times New Roman" w:hAnsi="Garamond"/>
          <w:sz w:val="24"/>
          <w:szCs w:val="24"/>
        </w:rPr>
        <w:t>,</w:t>
      </w:r>
      <w:r w:rsidRPr="00E266CD">
        <w:rPr>
          <w:rFonts w:ascii="Garamond" w:eastAsia="Times New Roman" w:hAnsi="Garamond"/>
          <w:sz w:val="24"/>
          <w:szCs w:val="24"/>
        </w:rPr>
        <w:t xml:space="preserve"> Universiteti i Tiranës, do të japë kontributin e tij në kërkimin shkencor të shkencave humane.</w:t>
      </w:r>
    </w:p>
    <w:p w14:paraId="1B5A4AE3" w14:textId="59DA307A"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iCs/>
          <w:sz w:val="24"/>
          <w:szCs w:val="24"/>
        </w:rPr>
        <w:t>Ministria e Infrastrukturës dhe Energjisë</w:t>
      </w:r>
      <w:r w:rsidRPr="00E266CD">
        <w:rPr>
          <w:rFonts w:ascii="Garamond" w:eastAsia="Times New Roman" w:hAnsi="Garamond"/>
          <w:b/>
          <w:i/>
          <w:sz w:val="24"/>
          <w:szCs w:val="24"/>
        </w:rPr>
        <w:t xml:space="preserve"> </w:t>
      </w:r>
      <w:r w:rsidRPr="00E266CD">
        <w:rPr>
          <w:rFonts w:ascii="Garamond" w:eastAsia="Times New Roman" w:hAnsi="Garamond"/>
          <w:sz w:val="24"/>
          <w:szCs w:val="24"/>
        </w:rPr>
        <w:t xml:space="preserve">ka kontributin e saj tek </w:t>
      </w:r>
      <w:r w:rsidR="00A4679E">
        <w:rPr>
          <w:rFonts w:ascii="Garamond" w:eastAsia="Times New Roman" w:hAnsi="Garamond"/>
          <w:sz w:val="24"/>
          <w:szCs w:val="24"/>
        </w:rPr>
        <w:t>i</w:t>
      </w:r>
      <w:r w:rsidRPr="00E266CD">
        <w:rPr>
          <w:rFonts w:ascii="Garamond" w:eastAsia="Times New Roman" w:hAnsi="Garamond"/>
          <w:sz w:val="24"/>
          <w:szCs w:val="24"/>
        </w:rPr>
        <w:t>novacioni në fushën e energjisë.</w:t>
      </w:r>
    </w:p>
    <w:p w14:paraId="71F7AF84" w14:textId="12E13BE5" w:rsidR="00F91888" w:rsidRPr="00E266CD" w:rsidRDefault="00F91888" w:rsidP="00094425">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Agjencia Shqiptare e Zhvillimit të Investimeve (AIDA)</w:t>
      </w:r>
      <w:r w:rsidRPr="00E266CD">
        <w:rPr>
          <w:rFonts w:ascii="Garamond" w:eastAsia="Times New Roman" w:hAnsi="Garamond"/>
          <w:sz w:val="24"/>
          <w:szCs w:val="24"/>
        </w:rPr>
        <w:t xml:space="preserve"> është organ që ndikon drejtpërdrejtë në zbatimin e politikave që hartohen në lidhje me inovacionin. AIDA administron fonde të buxhetit të shtetit që forcojnë kapacitetet në inovacion dhe zhvillim teknologjik të </w:t>
      </w:r>
      <w:r w:rsidRPr="00E266CD">
        <w:rPr>
          <w:rFonts w:ascii="Garamond" w:eastAsia="Times New Roman" w:hAnsi="Garamond"/>
          <w:i/>
          <w:sz w:val="24"/>
          <w:szCs w:val="24"/>
        </w:rPr>
        <w:t>startup</w:t>
      </w:r>
      <w:r w:rsidRPr="00E266CD">
        <w:rPr>
          <w:rFonts w:ascii="Garamond" w:eastAsia="Times New Roman" w:hAnsi="Garamond"/>
          <w:sz w:val="24"/>
          <w:szCs w:val="24"/>
        </w:rPr>
        <w:t>-eve. Këto fonde janë: 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Fondi i Konkur</w:t>
      </w:r>
      <w:r w:rsidR="000A23F0" w:rsidRPr="00E266CD">
        <w:rPr>
          <w:rFonts w:ascii="Garamond" w:eastAsia="Times New Roman" w:hAnsi="Garamond"/>
          <w:sz w:val="24"/>
          <w:szCs w:val="24"/>
        </w:rPr>
        <w:t>r</w:t>
      </w:r>
      <w:r w:rsidRPr="00E266CD">
        <w:rPr>
          <w:rFonts w:ascii="Garamond" w:eastAsia="Times New Roman" w:hAnsi="Garamond"/>
          <w:sz w:val="24"/>
          <w:szCs w:val="24"/>
        </w:rPr>
        <w:t>ueshmërisë</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Fondi i Ekonomisë Kreative</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iii</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Fondi në Mbështetje të Sipërmarrjeve të Reja “</w:t>
      </w:r>
      <w:r w:rsidRPr="00E266CD">
        <w:rPr>
          <w:rFonts w:ascii="Garamond" w:eastAsia="Times New Roman" w:hAnsi="Garamond"/>
          <w:i/>
          <w:sz w:val="24"/>
          <w:szCs w:val="24"/>
        </w:rPr>
        <w:t>Start</w:t>
      </w:r>
      <w:r w:rsidR="00094425" w:rsidRPr="00E266CD">
        <w:rPr>
          <w:rFonts w:ascii="Garamond" w:eastAsia="Times New Roman" w:hAnsi="Garamond"/>
          <w:i/>
          <w:sz w:val="24"/>
          <w:szCs w:val="24"/>
        </w:rPr>
        <w:t>u</w:t>
      </w:r>
      <w:r w:rsidRPr="00E266CD">
        <w:rPr>
          <w:rFonts w:ascii="Garamond" w:eastAsia="Times New Roman" w:hAnsi="Garamond"/>
          <w:i/>
          <w:sz w:val="24"/>
          <w:szCs w:val="24"/>
        </w:rPr>
        <w:t>p</w:t>
      </w:r>
      <w:r w:rsidRPr="00E266CD">
        <w:rPr>
          <w:rFonts w:ascii="Garamond" w:eastAsia="Times New Roman" w:hAnsi="Garamond"/>
          <w:sz w:val="24"/>
          <w:szCs w:val="24"/>
        </w:rPr>
        <w:t>”</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iv</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Fondi i Inovacionit.</w:t>
      </w:r>
      <w:r w:rsidRPr="00E266CD">
        <w:rPr>
          <w:rFonts w:ascii="Garamond" w:eastAsia="Times New Roman" w:hAnsi="Garamond"/>
          <w:sz w:val="24"/>
          <w:szCs w:val="24"/>
          <w:vertAlign w:val="superscript"/>
        </w:rPr>
        <w:footnoteReference w:id="21"/>
      </w:r>
      <w:r w:rsidRPr="00E266CD">
        <w:rPr>
          <w:rFonts w:ascii="Garamond" w:eastAsia="Times New Roman" w:hAnsi="Garamond"/>
          <w:sz w:val="24"/>
          <w:szCs w:val="24"/>
        </w:rPr>
        <w:t xml:space="preserve"> AIDA, e cila ofron Fondin Shqiptar të Inovacionit, ka operuar një skemë që ndihmon SME-të për të </w:t>
      </w:r>
      <w:r w:rsidRPr="00BF372A">
        <w:rPr>
          <w:rFonts w:ascii="Garamond" w:eastAsia="Times New Roman" w:hAnsi="Garamond"/>
          <w:sz w:val="24"/>
          <w:szCs w:val="24"/>
        </w:rPr>
        <w:t>inovuar</w:t>
      </w:r>
      <w:r w:rsidRPr="00E266CD">
        <w:rPr>
          <w:rFonts w:ascii="Garamond" w:eastAsia="Times New Roman" w:hAnsi="Garamond"/>
          <w:sz w:val="24"/>
          <w:szCs w:val="24"/>
        </w:rPr>
        <w:t xml:space="preserve"> që nga viti 2018. Megjithatë, skema nuk fokusohet në mënyrë eksplicite në bashkëpunimin biznes-akademi.</w:t>
      </w:r>
    </w:p>
    <w:p w14:paraId="46155EFA" w14:textId="348942D6"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Drejtoria e Përgjithshme e Pronësisë Intelektuale</w:t>
      </w:r>
      <w:r w:rsidRPr="00E266CD">
        <w:rPr>
          <w:rFonts w:ascii="Garamond" w:eastAsia="Times New Roman" w:hAnsi="Garamond"/>
          <w:sz w:val="24"/>
          <w:szCs w:val="24"/>
        </w:rPr>
        <w:t xml:space="preserve"> është institucion që luan një rol</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 xml:space="preserve">të rëndësishëm për nxitjen e inovacionit në vend pasi ajo ka të drejtën ekskluzive të dhënies së të drejtave për patentat mbi shpikjet dhe modelet e përdorimit, </w:t>
      </w:r>
      <w:r w:rsidRPr="009A203C">
        <w:rPr>
          <w:rFonts w:ascii="Garamond" w:eastAsia="Times New Roman" w:hAnsi="Garamond"/>
          <w:sz w:val="24"/>
          <w:szCs w:val="24"/>
        </w:rPr>
        <w:t>disenjot</w:t>
      </w:r>
      <w:r w:rsidRPr="00E266CD">
        <w:rPr>
          <w:rFonts w:ascii="Garamond" w:eastAsia="Times New Roman" w:hAnsi="Garamond"/>
          <w:sz w:val="24"/>
          <w:szCs w:val="24"/>
        </w:rPr>
        <w:t xml:space="preserve"> industriale etj</w:t>
      </w:r>
      <w:r w:rsidR="00094425" w:rsidRPr="00E266CD">
        <w:rPr>
          <w:rFonts w:ascii="Garamond" w:eastAsia="Times New Roman" w:hAnsi="Garamond"/>
          <w:sz w:val="24"/>
          <w:szCs w:val="24"/>
        </w:rPr>
        <w:t>.</w:t>
      </w:r>
      <w:r w:rsidR="00A4679E">
        <w:rPr>
          <w:rFonts w:ascii="Garamond" w:eastAsia="Times New Roman" w:hAnsi="Garamond"/>
          <w:sz w:val="24"/>
          <w:szCs w:val="24"/>
        </w:rPr>
        <w:t>,</w:t>
      </w:r>
      <w:r w:rsidRPr="00E266CD">
        <w:rPr>
          <w:rFonts w:ascii="Garamond" w:eastAsia="Times New Roman" w:hAnsi="Garamond"/>
          <w:sz w:val="24"/>
          <w:szCs w:val="24"/>
        </w:rPr>
        <w:t xml:space="preserve"> duke u njohur mbajtësve të së drejtave pronësinë mbi këto objekte, nëpërmjet regjistrimit të tyre. Ndërkohë që Drejtoria e Përgjithshme e Pronësisë Industriale (DPPI) ofron shërbime që mbështesin këshillimin për patentat dhe komercializimin e pronësisë intelektuale. Aktualisht, në kuadër të bashkëpunimit midis Drejtorisë së Përgjithshme të Pronësisë Intelektuale (DPPI) dhe IAL-ve, DPPI</w:t>
      </w:r>
      <w:r w:rsidR="00A4679E">
        <w:rPr>
          <w:rFonts w:ascii="Garamond" w:eastAsia="Times New Roman" w:hAnsi="Garamond"/>
          <w:sz w:val="24"/>
          <w:szCs w:val="24"/>
        </w:rPr>
        <w:t>-ja</w:t>
      </w:r>
      <w:r w:rsidRPr="00E266CD">
        <w:rPr>
          <w:rFonts w:ascii="Garamond" w:eastAsia="Times New Roman" w:hAnsi="Garamond"/>
          <w:sz w:val="24"/>
          <w:szCs w:val="24"/>
        </w:rPr>
        <w:t xml:space="preserve"> ka ngritur 4 qendra të informacionit tekniko-shkencor pranë IAL-ve në shkallë vendi</w:t>
      </w:r>
      <w:r w:rsidR="00A4679E">
        <w:rPr>
          <w:rFonts w:ascii="Garamond" w:eastAsia="Times New Roman" w:hAnsi="Garamond"/>
          <w:sz w:val="24"/>
          <w:szCs w:val="24"/>
        </w:rPr>
        <w:t>,</w:t>
      </w:r>
      <w:r w:rsidRPr="00E266CD">
        <w:rPr>
          <w:rFonts w:ascii="Garamond" w:eastAsia="Times New Roman" w:hAnsi="Garamond"/>
          <w:sz w:val="24"/>
          <w:szCs w:val="24"/>
        </w:rPr>
        <w:t xml:space="preserve"> konkretisht</w:t>
      </w:r>
      <w:r w:rsidR="00A4679E">
        <w:rPr>
          <w:rFonts w:ascii="Garamond" w:eastAsia="Times New Roman" w:hAnsi="Garamond"/>
          <w:sz w:val="24"/>
          <w:szCs w:val="24"/>
        </w:rPr>
        <w:t>:</w:t>
      </w:r>
    </w:p>
    <w:p w14:paraId="3CE978C2" w14:textId="77777777" w:rsidR="00F91888" w:rsidRPr="00E266CD" w:rsidRDefault="000B3A7A" w:rsidP="000B3A7A">
      <w:pPr>
        <w:pStyle w:val="TEKSTIIII"/>
      </w:pPr>
      <w:r w:rsidRPr="00E266CD">
        <w:t xml:space="preserve">- </w:t>
      </w:r>
      <w:r w:rsidR="00F91888" w:rsidRPr="00E266CD">
        <w:t>Qendra e Informimit Tekniko-Shkencor në Universitetin Politeknik të Tiranës;</w:t>
      </w:r>
    </w:p>
    <w:p w14:paraId="63CA7F72" w14:textId="77777777" w:rsidR="00F91888" w:rsidRPr="00E266CD" w:rsidRDefault="000B3A7A" w:rsidP="000B3A7A">
      <w:pPr>
        <w:pStyle w:val="TEKSTIIII"/>
      </w:pPr>
      <w:r w:rsidRPr="00E266CD">
        <w:t xml:space="preserve">- </w:t>
      </w:r>
      <w:r w:rsidR="00F91888" w:rsidRPr="00E266CD">
        <w:t>Qendra e Informimit Tekniko-Shkencor në Universitetin “Ismail Qemali” Vlorë;</w:t>
      </w:r>
    </w:p>
    <w:p w14:paraId="6A881180" w14:textId="77777777" w:rsidR="00F91888" w:rsidRPr="00E266CD" w:rsidRDefault="000B3A7A" w:rsidP="000B3A7A">
      <w:pPr>
        <w:pStyle w:val="TEKSTIIII"/>
      </w:pPr>
      <w:r w:rsidRPr="00E266CD">
        <w:t xml:space="preserve">- </w:t>
      </w:r>
      <w:r w:rsidR="00F91888" w:rsidRPr="00E266CD">
        <w:t>Qendra e Informimit Tekniko-Shkencor në Universitetin “Fan S. Noli” Korçë;</w:t>
      </w:r>
    </w:p>
    <w:p w14:paraId="01145A95" w14:textId="77777777" w:rsidR="00F91888" w:rsidRPr="00E266CD" w:rsidRDefault="000B3A7A" w:rsidP="000B3A7A">
      <w:pPr>
        <w:pStyle w:val="TEKSTIIII"/>
      </w:pPr>
      <w:r w:rsidRPr="00E266CD">
        <w:t xml:space="preserve">- </w:t>
      </w:r>
      <w:r w:rsidR="00F91888" w:rsidRPr="00E266CD">
        <w:t>Qendra e Informimit Tekniko-Shkencor në Universitetin “Luigj Gurakuqi”, Shkodër.</w:t>
      </w:r>
    </w:p>
    <w:p w14:paraId="04E3BC02" w14:textId="10D5E835" w:rsidR="00F91888" w:rsidRPr="00E266CD" w:rsidRDefault="00F91888" w:rsidP="00F91888">
      <w:pPr>
        <w:shd w:val="clear" w:color="auto" w:fill="FFFFFF"/>
        <w:ind w:firstLine="284"/>
        <w:rPr>
          <w:rFonts w:ascii="Garamond" w:eastAsia="Times New Roman" w:hAnsi="Garamond"/>
          <w:b/>
          <w:sz w:val="24"/>
          <w:szCs w:val="24"/>
        </w:rPr>
      </w:pPr>
      <w:r w:rsidRPr="00E266CD">
        <w:rPr>
          <w:rFonts w:ascii="Garamond" w:eastAsia="Times New Roman" w:hAnsi="Garamond"/>
          <w:sz w:val="24"/>
          <w:szCs w:val="24"/>
        </w:rPr>
        <w:t>Ngritja e këtyre qendrave është mjaft e rëndësishme dhe shërben për rritjen e ndërgjegjësimit të studentëve, stafit akademik shkencor, kërkuesve shkencorë dhe profesionistëve të përfshirë në punë kërkimore shkencore, në nxitjen e tyre</w:t>
      </w:r>
      <w:r w:rsidR="00A4679E">
        <w:rPr>
          <w:rFonts w:ascii="Garamond" w:eastAsia="Times New Roman" w:hAnsi="Garamond"/>
          <w:sz w:val="24"/>
          <w:szCs w:val="24"/>
        </w:rPr>
        <w:t>,</w:t>
      </w:r>
      <w:r w:rsidRPr="00E266CD">
        <w:rPr>
          <w:rFonts w:ascii="Garamond" w:eastAsia="Times New Roman" w:hAnsi="Garamond"/>
          <w:sz w:val="24"/>
          <w:szCs w:val="24"/>
        </w:rPr>
        <w:t xml:space="preserve"> si dhe në të drejtat që i përkasin nëpërmjet regjistrimin pranë DPPI-së. Qendrat janë të pajisura me logjistikën e nevojshme dhe me sistem kërkimi, “</w:t>
      </w:r>
      <w:r w:rsidRPr="00E266CD">
        <w:rPr>
          <w:rFonts w:ascii="Garamond" w:hAnsi="Garamond"/>
          <w:i/>
          <w:sz w:val="24"/>
        </w:rPr>
        <w:t>Espacenet</w:t>
      </w:r>
      <w:r w:rsidRPr="00E266CD">
        <w:rPr>
          <w:rFonts w:ascii="Garamond" w:eastAsia="Times New Roman" w:hAnsi="Garamond"/>
          <w:sz w:val="24"/>
          <w:szCs w:val="24"/>
        </w:rPr>
        <w:t>”, i cili është në gjuhën shqipe.</w:t>
      </w:r>
    </w:p>
    <w:p w14:paraId="2FB03CD8" w14:textId="65CFAA3C"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Ministria e Bujqësisë dhe Zhvillimit Rural</w:t>
      </w:r>
      <w:r w:rsidRPr="00E266CD">
        <w:rPr>
          <w:rFonts w:ascii="Garamond" w:eastAsia="Times New Roman" w:hAnsi="Garamond"/>
          <w:sz w:val="24"/>
          <w:szCs w:val="24"/>
        </w:rPr>
        <w:t xml:space="preserve"> është institucion mjaft i rëndësishëm për transferimin e teknologjisë në vend. Drejtpërdrejtë, nëpërmjet Programit Buxhetor të Këshillimit dhe Informacionit Bujqësor mundësohet transferimi i teknologjive të reja si në bujqësi ashtu edhe në blegtori. Kështu</w:t>
      </w:r>
      <w:r w:rsidR="00A4679E">
        <w:rPr>
          <w:rFonts w:ascii="Garamond" w:eastAsia="Times New Roman" w:hAnsi="Garamond"/>
          <w:sz w:val="24"/>
          <w:szCs w:val="24"/>
        </w:rPr>
        <w:t>,</w:t>
      </w:r>
      <w:r w:rsidRPr="00E266CD">
        <w:rPr>
          <w:rFonts w:ascii="Garamond" w:eastAsia="Times New Roman" w:hAnsi="Garamond"/>
          <w:sz w:val="24"/>
          <w:szCs w:val="24"/>
        </w:rPr>
        <w:t xml:space="preserve"> aktualisht ekzistojnë 5 qendra të transferimit të teknologjive bujqësore. Institucion i rëndësishëm është edhe Instituti i Sigurisë Ushqimore dhe Veterinarisë (ISUV). ISUV bazuar në </w:t>
      </w:r>
      <w:r w:rsidR="00094425" w:rsidRPr="00E266CD">
        <w:rPr>
          <w:rFonts w:ascii="Garamond" w:eastAsia="Times New Roman" w:hAnsi="Garamond"/>
          <w:sz w:val="24"/>
          <w:szCs w:val="24"/>
        </w:rPr>
        <w:t>l</w:t>
      </w:r>
      <w:r w:rsidRPr="00E266CD">
        <w:rPr>
          <w:rFonts w:ascii="Garamond" w:eastAsia="Times New Roman" w:hAnsi="Garamond"/>
          <w:sz w:val="24"/>
          <w:szCs w:val="24"/>
        </w:rPr>
        <w:t>igjin nr. 10465, datë 29.9.2011</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“Për shërbimin veterinar në Republikën e Shqipërisë” dhe VKM-në nr. 732, datë 16.11.2022, “Për organizimin dhe funksionimin e Institutit të Sigurisë Ushqimore dhe Veterinarisë”. Instituti i Sigurisë Ushqimore dhe Veterinarisë (ISUV), shërben si Qendër Kombëtare e Referencës Laboratorike Veterinare dhe është institucion qendror, në varësi të ministrit dhe pjesë e Rrjetit të Shërbimit Veterinar Kombëtar. ISUV</w:t>
      </w:r>
      <w:r w:rsidR="00A4679E">
        <w:rPr>
          <w:rFonts w:ascii="Garamond" w:eastAsia="Times New Roman" w:hAnsi="Garamond"/>
          <w:sz w:val="24"/>
          <w:szCs w:val="24"/>
        </w:rPr>
        <w:t>-i</w:t>
      </w:r>
      <w:r w:rsidRPr="00E266CD">
        <w:rPr>
          <w:rFonts w:ascii="Garamond" w:eastAsia="Times New Roman" w:hAnsi="Garamond"/>
          <w:sz w:val="24"/>
          <w:szCs w:val="24"/>
        </w:rPr>
        <w:t xml:space="preserve"> bashkëpunon me institutet, qendra kërkimore</w:t>
      </w:r>
      <w:r w:rsidR="00A4679E">
        <w:rPr>
          <w:rFonts w:ascii="Garamond" w:eastAsia="Times New Roman" w:hAnsi="Garamond"/>
          <w:sz w:val="24"/>
          <w:szCs w:val="24"/>
        </w:rPr>
        <w:t>-</w:t>
      </w:r>
      <w:r w:rsidRPr="00E266CD">
        <w:rPr>
          <w:rFonts w:ascii="Garamond" w:eastAsia="Times New Roman" w:hAnsi="Garamond"/>
          <w:sz w:val="24"/>
          <w:szCs w:val="24"/>
        </w:rPr>
        <w:t>shkencore, ente ndërkombëtare dhe qendra reference. Misioni i tij është të garantojë sigurinë dhe cilësinë e ushqimeve, ushqimeve për kafshë, mbrojtjen e shëndetit dhe mirëqenies së kafshëve, mbrojtjen e bimëve dhe produkteve bimore dhe mbrojtjen e shëndetit publik në Republikën e Shqipërisë nëpërmjet kryerjes së veprimtarive laboratorike dhe vlerësimeve shkencore në këto fusha. ISUV</w:t>
      </w:r>
      <w:r w:rsidR="00EB1BF5">
        <w:rPr>
          <w:rFonts w:ascii="Garamond" w:eastAsia="Times New Roman" w:hAnsi="Garamond"/>
          <w:sz w:val="24"/>
          <w:szCs w:val="24"/>
        </w:rPr>
        <w:t>-i</w:t>
      </w:r>
      <w:r w:rsidRPr="00E266CD">
        <w:rPr>
          <w:rFonts w:ascii="Garamond" w:eastAsia="Times New Roman" w:hAnsi="Garamond"/>
          <w:sz w:val="24"/>
          <w:szCs w:val="24"/>
        </w:rPr>
        <w:t xml:space="preserve"> e ushtron veprimtarinë në këto fusha përgjegjësie:</w:t>
      </w:r>
    </w:p>
    <w:p w14:paraId="171AFE93" w14:textId="16BD358F"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a</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kryerjen e analizave të sigurisë ushqimore, veterinarisë dhe mbrojtjes së bimëve;</w:t>
      </w:r>
    </w:p>
    <w:p w14:paraId="01A50843" w14:textId="73BC5BFA"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b</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kryerjen e aktiviteteve të mjekësisë veterinare;</w:t>
      </w:r>
    </w:p>
    <w:p w14:paraId="333AACAC" w14:textId="1C218C65"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c</w:t>
      </w:r>
      <w:r w:rsidR="00094425" w:rsidRPr="00E266CD">
        <w:rPr>
          <w:rFonts w:ascii="Garamond" w:eastAsia="Times New Roman" w:hAnsi="Garamond"/>
          <w:sz w:val="24"/>
          <w:szCs w:val="24"/>
        </w:rPr>
        <w:t>)</w:t>
      </w:r>
      <w:r w:rsidRPr="00E266CD">
        <w:rPr>
          <w:rFonts w:ascii="Garamond" w:eastAsia="Times New Roman" w:hAnsi="Garamond"/>
          <w:sz w:val="24"/>
          <w:szCs w:val="24"/>
        </w:rPr>
        <w:t xml:space="preserve"> kryerjen e vlerësimeve shkencore dhe kërkimeve teknologjike.</w:t>
      </w:r>
    </w:p>
    <w:p w14:paraId="6CFF18C3" w14:textId="6AC29C42"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b/>
          <w:sz w:val="24"/>
          <w:szCs w:val="24"/>
        </w:rPr>
        <w:t>Instituti i Statistikave</w:t>
      </w:r>
      <w:r w:rsidRPr="00E266CD">
        <w:rPr>
          <w:rFonts w:ascii="Garamond" w:eastAsia="Times New Roman" w:hAnsi="Garamond"/>
          <w:sz w:val="24"/>
          <w:szCs w:val="24"/>
        </w:rPr>
        <w:t xml:space="preserve"> është institucioni që mbështet hartimin e politikave me të dhëna që mundësojnë një politikëbërje sa më cilësore në fushën e kërkimit shkencor, inovacionit dhe teknologjisë. Ky institucion ka kryer vrojtime pranë katër sektorëve, përkatësisht, sektori i bizneseve private, organizatave jofitimprurëse, institucionet publike dhe institucionet e arsimit të lartë</w:t>
      </w:r>
      <w:r w:rsidR="00EB1BF5">
        <w:rPr>
          <w:rFonts w:ascii="Garamond" w:eastAsia="Times New Roman" w:hAnsi="Garamond"/>
          <w:sz w:val="24"/>
          <w:szCs w:val="24"/>
        </w:rPr>
        <w:t>,</w:t>
      </w:r>
      <w:r w:rsidRPr="00E266CD">
        <w:rPr>
          <w:rFonts w:ascii="Garamond" w:eastAsia="Times New Roman" w:hAnsi="Garamond"/>
          <w:sz w:val="24"/>
          <w:szCs w:val="24"/>
        </w:rPr>
        <w:t xml:space="preserve"> si dhe ka mbledhur të dhënat administrative për fondet e alokuara buxhetore për kërkim dhe zhvillim.</w:t>
      </w:r>
    </w:p>
    <w:p w14:paraId="1165EF79" w14:textId="521D0AA2"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xml:space="preserve">Lidhur me treguesit e </w:t>
      </w:r>
      <w:r w:rsidR="00EB1BF5">
        <w:rPr>
          <w:rFonts w:ascii="Garamond" w:eastAsia="Times New Roman" w:hAnsi="Garamond"/>
          <w:sz w:val="24"/>
          <w:szCs w:val="24"/>
        </w:rPr>
        <w:t>t</w:t>
      </w:r>
      <w:r w:rsidRPr="00E266CD">
        <w:rPr>
          <w:rFonts w:ascii="Garamond" w:eastAsia="Times New Roman" w:hAnsi="Garamond"/>
          <w:sz w:val="24"/>
          <w:szCs w:val="24"/>
        </w:rPr>
        <w:t>eknologjisë pranë ndërmarrjeve, Instituti i Statistikave (INSTAT) kryen vrojtime mbi përdorimin e Teknologjisë së Informacionit dhe Komunikimit (TIK) nga ndërmarrjet ekonomike me mbi 10 e më shumë të punësuar. Të dhënat mikro të TIK</w:t>
      </w:r>
      <w:r w:rsidR="00EB1BF5">
        <w:rPr>
          <w:rFonts w:ascii="Garamond" w:eastAsia="Times New Roman" w:hAnsi="Garamond"/>
          <w:sz w:val="24"/>
          <w:szCs w:val="24"/>
        </w:rPr>
        <w:t>-ut</w:t>
      </w:r>
      <w:r w:rsidRPr="00E266CD">
        <w:rPr>
          <w:rFonts w:ascii="Garamond" w:eastAsia="Times New Roman" w:hAnsi="Garamond"/>
          <w:sz w:val="24"/>
          <w:szCs w:val="24"/>
        </w:rPr>
        <w:t xml:space="preserve"> janë:</w:t>
      </w:r>
    </w:p>
    <w:p w14:paraId="0EA0A789" w14:textId="65F45E4A"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Përdorimi i teknologjisë së informacionit dhe komunikimit në ndërmarrje sipas aktivitetit ekonomik të ndërmarrjes, 2015</w:t>
      </w:r>
      <w:r w:rsidR="00094425" w:rsidRPr="00E266CD">
        <w:rPr>
          <w:rFonts w:ascii="Garamond" w:hAnsi="Garamond"/>
          <w:sz w:val="24"/>
        </w:rPr>
        <w:t>–</w:t>
      </w:r>
      <w:r w:rsidRPr="00E266CD">
        <w:rPr>
          <w:rFonts w:ascii="Garamond" w:eastAsia="Times New Roman" w:hAnsi="Garamond"/>
          <w:sz w:val="24"/>
          <w:szCs w:val="24"/>
        </w:rPr>
        <w:t>2021.</w:t>
      </w:r>
    </w:p>
    <w:p w14:paraId="4447FD8C" w14:textId="6AD22AF3"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 Përdorimi i teknologjisë së informacionit dhe komunikimit në ndërmarrje sipas madhësisë së ndërmarrjes, 2015</w:t>
      </w:r>
      <w:r w:rsidR="00430904" w:rsidRPr="00E266CD">
        <w:rPr>
          <w:rFonts w:ascii="Garamond" w:hAnsi="Garamond"/>
          <w:sz w:val="24"/>
        </w:rPr>
        <w:t>–</w:t>
      </w:r>
      <w:r w:rsidRPr="00E266CD">
        <w:rPr>
          <w:rFonts w:ascii="Garamond" w:eastAsia="Times New Roman" w:hAnsi="Garamond"/>
          <w:sz w:val="24"/>
          <w:szCs w:val="24"/>
        </w:rPr>
        <w:t>2021.</w:t>
      </w:r>
    </w:p>
    <w:p w14:paraId="18D6C857" w14:textId="781732E7" w:rsidR="00F91888" w:rsidRPr="00E266CD" w:rsidRDefault="00F91888" w:rsidP="00F91888">
      <w:pPr>
        <w:shd w:val="clear" w:color="auto" w:fill="FFFFFF"/>
        <w:ind w:firstLine="284"/>
        <w:rPr>
          <w:rFonts w:ascii="Garamond" w:eastAsia="Times New Roman" w:hAnsi="Garamond"/>
          <w:sz w:val="24"/>
          <w:szCs w:val="24"/>
        </w:rPr>
      </w:pPr>
      <w:r w:rsidRPr="00E266CD">
        <w:rPr>
          <w:rFonts w:ascii="Garamond" w:eastAsia="Times New Roman" w:hAnsi="Garamond"/>
          <w:sz w:val="24"/>
          <w:szCs w:val="24"/>
        </w:rPr>
        <w:t>INSTAT</w:t>
      </w:r>
      <w:r w:rsidR="00EB1BF5">
        <w:rPr>
          <w:rFonts w:ascii="Garamond" w:eastAsia="Times New Roman" w:hAnsi="Garamond"/>
          <w:sz w:val="24"/>
          <w:szCs w:val="24"/>
        </w:rPr>
        <w:t>-i</w:t>
      </w:r>
      <w:r w:rsidRPr="00E266CD">
        <w:rPr>
          <w:rFonts w:ascii="Garamond" w:eastAsia="Times New Roman" w:hAnsi="Garamond"/>
          <w:sz w:val="24"/>
          <w:szCs w:val="24"/>
        </w:rPr>
        <w:t>, për statistikat e inovacionit zhvillon çdo dy vite vrojtimin pranë ndërmarrjeve ekonomike me 10 ose më shumë të punësuar ku grumbullohet informacion për tre vitet paraardhëse. Të dhënat kryesore lidhur me këtë aktivitet gjenden në faqen zyrtare të INSTAT</w:t>
      </w:r>
      <w:r w:rsidR="00EB1BF5">
        <w:rPr>
          <w:rFonts w:ascii="Garamond" w:eastAsia="Times New Roman" w:hAnsi="Garamond"/>
          <w:sz w:val="24"/>
          <w:szCs w:val="24"/>
        </w:rPr>
        <w:t>-it</w:t>
      </w:r>
      <w:r w:rsidRPr="00E266CD">
        <w:rPr>
          <w:rFonts w:ascii="Garamond" w:eastAsia="Times New Roman" w:hAnsi="Garamond"/>
          <w:sz w:val="24"/>
          <w:szCs w:val="24"/>
        </w:rPr>
        <w:t xml:space="preserve"> dhe paraqiten si më poshtë:</w:t>
      </w:r>
    </w:p>
    <w:p w14:paraId="02D07B57" w14:textId="45FA931C" w:rsidR="00F91888" w:rsidRPr="00E266CD" w:rsidRDefault="000963C8" w:rsidP="000963C8">
      <w:pPr>
        <w:pStyle w:val="TEKSTIIII"/>
      </w:pPr>
      <w:r w:rsidRPr="00E266CD">
        <w:t xml:space="preserve">- </w:t>
      </w:r>
      <w:r w:rsidR="00F91888" w:rsidRPr="00E266CD">
        <w:t xml:space="preserve">Aktiviteti i </w:t>
      </w:r>
      <w:r w:rsidR="00EB1BF5">
        <w:t>i</w:t>
      </w:r>
      <w:r w:rsidR="00F91888" w:rsidRPr="00E266CD">
        <w:t>novacionit në ndërmarrje sipas aktivitetit ekonomik të ndërmarrjes;</w:t>
      </w:r>
    </w:p>
    <w:p w14:paraId="131861E5" w14:textId="16F198C1" w:rsidR="00F91888" w:rsidRPr="00E266CD" w:rsidRDefault="000963C8" w:rsidP="000963C8">
      <w:pPr>
        <w:pStyle w:val="TEKSTIIII"/>
      </w:pPr>
      <w:r w:rsidRPr="00E266CD">
        <w:t xml:space="preserve">- </w:t>
      </w:r>
      <w:r w:rsidR="00F91888" w:rsidRPr="00E266CD">
        <w:t xml:space="preserve">Aktiviteti i </w:t>
      </w:r>
      <w:r w:rsidR="00EB1BF5">
        <w:t>i</w:t>
      </w:r>
      <w:r w:rsidR="00F91888" w:rsidRPr="00E266CD">
        <w:t>novacionit në ndërmarrje sipas madhësisë së ndërmarrjes;</w:t>
      </w:r>
    </w:p>
    <w:p w14:paraId="297044E5" w14:textId="70E6E076" w:rsidR="00F91888" w:rsidRPr="00E266CD" w:rsidRDefault="000963C8" w:rsidP="000963C8">
      <w:pPr>
        <w:pStyle w:val="TEKSTIIII"/>
      </w:pPr>
      <w:r w:rsidRPr="00E266CD">
        <w:t xml:space="preserve">- </w:t>
      </w:r>
      <w:r w:rsidR="00F91888" w:rsidRPr="00E266CD">
        <w:t xml:space="preserve">Aktiviteti i </w:t>
      </w:r>
      <w:r w:rsidR="00EB1BF5">
        <w:t>i</w:t>
      </w:r>
      <w:r w:rsidR="00F91888" w:rsidRPr="00E266CD">
        <w:t>novacionit në ndërmarrje.</w:t>
      </w:r>
    </w:p>
    <w:p w14:paraId="530FC03C" w14:textId="7777777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b/>
          <w:color w:val="000000"/>
          <w:sz w:val="24"/>
          <w:szCs w:val="24"/>
        </w:rPr>
        <w:t>Ministria e Mbrojtjes</w:t>
      </w:r>
      <w:r w:rsidRPr="00E266CD">
        <w:rPr>
          <w:rFonts w:ascii="Garamond" w:eastAsia="Times New Roman" w:hAnsi="Garamond"/>
          <w:color w:val="000000"/>
          <w:sz w:val="24"/>
          <w:szCs w:val="24"/>
        </w:rPr>
        <w:t xml:space="preserve"> ka në varësi një sërë institucionesh që janë të rëndësishme për zhvillimin e kërkimit shkencor dhe inovacionit në fushën e mbrojtjes siç janë:</w:t>
      </w:r>
    </w:p>
    <w:p w14:paraId="1E4E9CBC" w14:textId="52313C06" w:rsidR="00F91888" w:rsidRPr="00E266CD" w:rsidRDefault="000963C8" w:rsidP="000963C8">
      <w:pPr>
        <w:pStyle w:val="TEKSTIIII"/>
      </w:pPr>
      <w:r w:rsidRPr="00E266CD">
        <w:t xml:space="preserve">- </w:t>
      </w:r>
      <w:r w:rsidR="00F91888" w:rsidRPr="00E266CD">
        <w:t xml:space="preserve">Instituti i Kërkimit Shkencor të Mbrojtjes dhe Inovacionit është në përbërje të institucionit të Akademisë së Forcave të Armatosura, me profil kërkimor-shkencor dhe realizon kërkime dhe projekte inovative në fushën teknologjike dhe të informacionit sipas nevojave të identifikuara të Forcave </w:t>
      </w:r>
      <w:r w:rsidR="00BF1624" w:rsidRPr="00E266CD">
        <w:t>të</w:t>
      </w:r>
      <w:r w:rsidR="00F91888" w:rsidRPr="00E266CD">
        <w:t xml:space="preserve"> Armatosura.</w:t>
      </w:r>
    </w:p>
    <w:p w14:paraId="48DF9118" w14:textId="1BC6A5F7" w:rsidR="00F91888" w:rsidRPr="00E266CD" w:rsidRDefault="000963C8" w:rsidP="000963C8">
      <w:pPr>
        <w:pStyle w:val="TEKSTIIII"/>
      </w:pPr>
      <w:r w:rsidRPr="00E266CD">
        <w:t xml:space="preserve">- </w:t>
      </w:r>
      <w:r w:rsidR="00F91888" w:rsidRPr="00E266CD">
        <w:t xml:space="preserve">Instituti i Gjeografisë dhe Infrastrukturës Ushtarake si institucion ushtarak, kërkimor, shkencor dhe prodhues, mbështetës i veprimtarisë ushtarake të Forcave të Armatosura operon si </w:t>
      </w:r>
      <w:r w:rsidR="00430904" w:rsidRPr="00E266CD">
        <w:t>Agjenci</w:t>
      </w:r>
      <w:r w:rsidR="00F91888" w:rsidRPr="00E266CD">
        <w:t xml:space="preserve"> Hartografike Kombëtare dhe është përgjegjëse për hartografimin masiv tokësor, detar dhe ajror.</w:t>
      </w:r>
    </w:p>
    <w:p w14:paraId="43CE136B" w14:textId="209ECBAC" w:rsidR="00F91888" w:rsidRPr="00E266CD" w:rsidRDefault="000963C8" w:rsidP="000963C8">
      <w:pPr>
        <w:pStyle w:val="TEKSTIIII"/>
      </w:pPr>
      <w:r w:rsidRPr="00E266CD">
        <w:t xml:space="preserve">- </w:t>
      </w:r>
      <w:r w:rsidR="00F91888" w:rsidRPr="00E266CD">
        <w:t>Qendra e Inovacionit që po ngrihet pranë Akademisë së Forcave të Armatosura, nga Ministria e Mbrojtjes, ka për mision inovacionin n</w:t>
      </w:r>
      <w:r w:rsidR="00BF1624" w:rsidRPr="00E266CD">
        <w:t>ë</w:t>
      </w:r>
      <w:r w:rsidR="00F91888" w:rsidRPr="00E266CD">
        <w:t xml:space="preserve"> Forcat e Armatosura për mbrojtjen dhe sigurinë, mbështetjen e </w:t>
      </w:r>
      <w:r w:rsidR="00F91888" w:rsidRPr="00E266CD">
        <w:rPr>
          <w:i/>
        </w:rPr>
        <w:t>startup</w:t>
      </w:r>
      <w:r w:rsidR="00F91888" w:rsidRPr="00E266CD">
        <w:t>-eve në fushën e mbrojtjes civile, të sigurisë kibernetike dhe më gjerë.</w:t>
      </w:r>
    </w:p>
    <w:p w14:paraId="53CBD792" w14:textId="2ED9A79C" w:rsidR="00F91888" w:rsidRPr="00E266CD" w:rsidRDefault="00F91888" w:rsidP="000963C8">
      <w:pPr>
        <w:pStyle w:val="TEKSTIIII"/>
        <w:rPr>
          <w:b/>
          <w:color w:val="000000"/>
        </w:rPr>
      </w:pPr>
      <w:r w:rsidRPr="00E266CD">
        <w:rPr>
          <w:b/>
          <w:color w:val="000000"/>
        </w:rPr>
        <w:t xml:space="preserve"> </w:t>
      </w:r>
      <w:bookmarkStart w:id="7" w:name="_Toc135703128"/>
      <w:r w:rsidRPr="00E266CD">
        <w:rPr>
          <w:b/>
          <w:color w:val="000000"/>
        </w:rPr>
        <w:t xml:space="preserve">Lidhja me </w:t>
      </w:r>
      <w:r w:rsidRPr="00E266CD">
        <w:rPr>
          <w:b/>
        </w:rPr>
        <w:t>Strategjinë Kombëtare për Zhvillim dhe Integrim 2022</w:t>
      </w:r>
      <w:r w:rsidR="00430904" w:rsidRPr="00E266CD">
        <w:rPr>
          <w:b/>
        </w:rPr>
        <w:t>–</w:t>
      </w:r>
      <w:r w:rsidRPr="00E266CD">
        <w:rPr>
          <w:b/>
        </w:rPr>
        <w:t>2030 (SKZHI III)</w:t>
      </w:r>
      <w:bookmarkEnd w:id="7"/>
    </w:p>
    <w:p w14:paraId="4E19E4DD" w14:textId="5D35DBE3" w:rsidR="00F91888" w:rsidRPr="00E266CD" w:rsidRDefault="00F91888" w:rsidP="00F91888">
      <w:pPr>
        <w:ind w:firstLine="284"/>
        <w:rPr>
          <w:rFonts w:ascii="Garamond" w:eastAsia="Times New Roman" w:hAnsi="Garamond"/>
          <w:i/>
          <w:sz w:val="24"/>
          <w:szCs w:val="24"/>
        </w:rPr>
      </w:pPr>
      <w:r w:rsidRPr="00E266CD">
        <w:rPr>
          <w:rFonts w:ascii="Garamond" w:eastAsia="Times New Roman" w:hAnsi="Garamond"/>
          <w:sz w:val="24"/>
          <w:szCs w:val="24"/>
        </w:rPr>
        <w:t>Strategjia Kombëtare për Kërkimin Shkencor, Teknologjinë dhe Inovacionin 2023</w:t>
      </w:r>
      <w:r w:rsidR="00430904" w:rsidRPr="00E266CD">
        <w:rPr>
          <w:rFonts w:ascii="Garamond" w:hAnsi="Garamond"/>
          <w:sz w:val="24"/>
        </w:rPr>
        <w:t>–</w:t>
      </w:r>
      <w:r w:rsidRPr="00E266CD">
        <w:rPr>
          <w:rFonts w:ascii="Garamond" w:eastAsia="Times New Roman" w:hAnsi="Garamond"/>
          <w:sz w:val="24"/>
          <w:szCs w:val="24"/>
        </w:rPr>
        <w:t xml:space="preserve">2030, së bashku me dokumentet strategjikë shoqërues harmonizohet dhe është në përputhje të plotë me qëllimet, objektivat dhe parashikimet e </w:t>
      </w:r>
      <w:r w:rsidRPr="00E266CD">
        <w:rPr>
          <w:rFonts w:ascii="Garamond" w:eastAsia="Times New Roman" w:hAnsi="Garamond"/>
          <w:b/>
          <w:sz w:val="24"/>
          <w:szCs w:val="24"/>
        </w:rPr>
        <w:t>Strategjisë Kombëtare për Zhvillim dhe Integrim 2022</w:t>
      </w:r>
      <w:r w:rsidR="00430904" w:rsidRPr="00E266CD">
        <w:rPr>
          <w:rFonts w:ascii="Garamond" w:hAnsi="Garamond"/>
          <w:b/>
          <w:sz w:val="24"/>
        </w:rPr>
        <w:t>–</w:t>
      </w:r>
      <w:r w:rsidRPr="00E266CD">
        <w:rPr>
          <w:rFonts w:ascii="Garamond" w:eastAsia="Times New Roman" w:hAnsi="Garamond"/>
          <w:b/>
          <w:sz w:val="24"/>
          <w:szCs w:val="24"/>
        </w:rPr>
        <w:t>2030 (SKZHI III)</w:t>
      </w:r>
      <w:r w:rsidRPr="00E266CD">
        <w:rPr>
          <w:rFonts w:ascii="Garamond" w:eastAsia="Times New Roman" w:hAnsi="Garamond"/>
          <w:sz w:val="24"/>
          <w:szCs w:val="24"/>
        </w:rPr>
        <w:t xml:space="preserve"> sipas shtyllës 2: Agjenda për Zhvillim të Qëndrueshëm Ekonomik, Ndërlidhjen dhe Rritjen e Gjelbër</w:t>
      </w:r>
      <w:r w:rsidRPr="00E266CD">
        <w:rPr>
          <w:rFonts w:ascii="Garamond" w:eastAsia="Times New Roman" w:hAnsi="Garamond"/>
          <w:i/>
          <w:sz w:val="24"/>
          <w:szCs w:val="24"/>
          <w:vertAlign w:val="superscript"/>
        </w:rPr>
        <w:footnoteReference w:id="22"/>
      </w:r>
      <w:r w:rsidRPr="00E266CD">
        <w:rPr>
          <w:rFonts w:ascii="Garamond" w:eastAsia="Times New Roman" w:hAnsi="Garamond"/>
          <w:i/>
          <w:sz w:val="24"/>
          <w:szCs w:val="24"/>
        </w:rPr>
        <w:t xml:space="preserve">. </w:t>
      </w:r>
    </w:p>
    <w:p w14:paraId="526DD08B" w14:textId="09A9C9FD"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Konkretisht seksioni “Zgjerimi i kërkimeve shkencore dhe inovacionit” paraqet si vizion të tij: “Krijimin e një sistemi kërkimor dhe inovator të aftë të përballojë me sukses sfidat e ardhshme të zhvillimit të vendit të tilla</w:t>
      </w:r>
      <w:r w:rsidR="00EB1BF5">
        <w:rPr>
          <w:rFonts w:ascii="Garamond" w:eastAsia="Times New Roman" w:hAnsi="Garamond"/>
          <w:sz w:val="24"/>
          <w:szCs w:val="24"/>
        </w:rPr>
        <w:t>,</w:t>
      </w:r>
      <w:r w:rsidRPr="00E266CD">
        <w:rPr>
          <w:rFonts w:ascii="Garamond" w:eastAsia="Times New Roman" w:hAnsi="Garamond"/>
          <w:sz w:val="24"/>
          <w:szCs w:val="24"/>
        </w:rPr>
        <w:t xml:space="preserve"> si</w:t>
      </w:r>
      <w:r w:rsidR="00EB1BF5">
        <w:rPr>
          <w:rFonts w:ascii="Garamond" w:eastAsia="Times New Roman" w:hAnsi="Garamond"/>
          <w:sz w:val="24"/>
          <w:szCs w:val="24"/>
        </w:rPr>
        <w:t>:</w:t>
      </w:r>
      <w:r w:rsidRPr="00E266CD">
        <w:rPr>
          <w:rFonts w:ascii="Garamond" w:eastAsia="Times New Roman" w:hAnsi="Garamond"/>
          <w:sz w:val="24"/>
          <w:szCs w:val="24"/>
        </w:rPr>
        <w:t xml:space="preserve"> rritja e kapaciteteve të burimeve njerëzore, çështje të energjisë, çështje mjedisore, çështje të shëndetit publik, çështje të inovacionit, dhe të kohezionit social”.</w:t>
      </w:r>
    </w:p>
    <w:p w14:paraId="59E651AA" w14:textId="7777777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Lidhur me kërkimin shkencor dhe Inovacionin në SKZHI III konkretisht parashikohet komponenti:</w:t>
      </w:r>
    </w:p>
    <w:p w14:paraId="73D7D98C" w14:textId="7777777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b/>
          <w:color w:val="000000"/>
          <w:sz w:val="24"/>
          <w:szCs w:val="24"/>
        </w:rPr>
        <w:t>“Zgjerimi i kërkimeve shkencore dhe inovacionit”</w:t>
      </w:r>
      <w:r w:rsidRPr="00E266CD">
        <w:rPr>
          <w:rFonts w:ascii="Garamond" w:eastAsia="Times New Roman" w:hAnsi="Garamond"/>
          <w:color w:val="000000"/>
          <w:sz w:val="24"/>
          <w:szCs w:val="24"/>
        </w:rPr>
        <w:t xml:space="preserve"> që parashikon objektivat e mëposhtme strategjike:</w:t>
      </w:r>
    </w:p>
    <w:p w14:paraId="3AC1B430" w14:textId="77777777" w:rsidR="00F91888" w:rsidRPr="00E266CD" w:rsidRDefault="000963C8" w:rsidP="000963C8">
      <w:pPr>
        <w:pStyle w:val="TEKSTIIII"/>
      </w:pPr>
      <w:r w:rsidRPr="00E266CD">
        <w:t xml:space="preserve">1. </w:t>
      </w:r>
      <w:r w:rsidR="00F91888" w:rsidRPr="00E266CD">
        <w:t>Përmirësimi i cilësisë së kërkimeve në sektorin publik;</w:t>
      </w:r>
    </w:p>
    <w:p w14:paraId="342A77AB" w14:textId="77777777" w:rsidR="00F91888" w:rsidRPr="00E266CD" w:rsidRDefault="000963C8" w:rsidP="000963C8">
      <w:pPr>
        <w:pStyle w:val="TEKSTIIII"/>
      </w:pPr>
      <w:r w:rsidRPr="00E266CD">
        <w:t xml:space="preserve">2. </w:t>
      </w:r>
      <w:r w:rsidR="00F91888" w:rsidRPr="00E266CD">
        <w:t>Forcimi i inovacionit dhe transferimi i njohurive dhe teknologjive në sektorin prodhues;</w:t>
      </w:r>
    </w:p>
    <w:p w14:paraId="5C3DB9FB" w14:textId="77777777" w:rsidR="00F91888" w:rsidRPr="00E266CD" w:rsidRDefault="000963C8" w:rsidP="000963C8">
      <w:pPr>
        <w:pStyle w:val="TEKSTIIII"/>
      </w:pPr>
      <w:r w:rsidRPr="00E266CD">
        <w:t xml:space="preserve">3. </w:t>
      </w:r>
      <w:r w:rsidR="00F91888" w:rsidRPr="00E266CD">
        <w:t>Specializimi i zgjuar për të mbështetur prioritizimin në sektorë, fusha dhe teknologji inovative;</w:t>
      </w:r>
    </w:p>
    <w:p w14:paraId="4714AA60" w14:textId="77777777" w:rsidR="00F91888" w:rsidRPr="00E266CD" w:rsidRDefault="000963C8" w:rsidP="000963C8">
      <w:pPr>
        <w:pStyle w:val="TEKSTIIII"/>
      </w:pPr>
      <w:r w:rsidRPr="00E266CD">
        <w:t xml:space="preserve">4. </w:t>
      </w:r>
      <w:r w:rsidR="00F91888" w:rsidRPr="00E266CD">
        <w:t>Përmirësimi i kapaciteteve institucionale të sistemit kërkimor dhe të inovacionit.</w:t>
      </w:r>
    </w:p>
    <w:p w14:paraId="7ED8F6B1" w14:textId="77777777" w:rsidR="00F91888" w:rsidRPr="00E266CD" w:rsidRDefault="00F91888" w:rsidP="000963C8">
      <w:pPr>
        <w:pStyle w:val="TEKSTIIII"/>
        <w:rPr>
          <w:b/>
        </w:rPr>
      </w:pPr>
      <w:bookmarkStart w:id="8" w:name="_Toc135703129"/>
      <w:r w:rsidRPr="00E266CD">
        <w:rPr>
          <w:b/>
        </w:rPr>
        <w:t>Lidhja me dokumente dhe strategji kombëtare</w:t>
      </w:r>
      <w:bookmarkEnd w:id="8"/>
    </w:p>
    <w:p w14:paraId="647CF1FD" w14:textId="46EB7C6E" w:rsidR="00F91888" w:rsidRPr="00E266CD" w:rsidRDefault="000B110B" w:rsidP="000963C8">
      <w:pPr>
        <w:pStyle w:val="TEKSTIIII"/>
        <w:rPr>
          <w:b/>
        </w:rPr>
      </w:pPr>
      <w:bookmarkStart w:id="9" w:name="_Toc135703130"/>
      <w:r w:rsidRPr="004F4CF5">
        <w:t xml:space="preserve">- </w:t>
      </w:r>
      <w:r w:rsidR="00F91888" w:rsidRPr="004F4CF5">
        <w:rPr>
          <w:b/>
        </w:rPr>
        <w:t>Strategjia</w:t>
      </w:r>
      <w:r w:rsidR="00F91888" w:rsidRPr="00E266CD">
        <w:rPr>
          <w:b/>
        </w:rPr>
        <w:t xml:space="preserve"> e Arsimit 2021</w:t>
      </w:r>
      <w:r w:rsidR="00430904" w:rsidRPr="00E266CD">
        <w:rPr>
          <w:b/>
        </w:rPr>
        <w:t>–</w:t>
      </w:r>
      <w:r w:rsidR="00F91888" w:rsidRPr="00E266CD">
        <w:rPr>
          <w:b/>
        </w:rPr>
        <w:t>2026</w:t>
      </w:r>
      <w:bookmarkEnd w:id="9"/>
    </w:p>
    <w:p w14:paraId="285C6355" w14:textId="4208F1C8"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këtë strategji qëllimi i politikës C mbulon fushën e arsimit të lartë. Për këtë qëllim janë identifikuar 7 objektiva specifik</w:t>
      </w:r>
      <w:r w:rsidR="00EB1BF5">
        <w:rPr>
          <w:rFonts w:ascii="Garamond" w:eastAsia="Times New Roman" w:hAnsi="Garamond"/>
          <w:sz w:val="24"/>
          <w:szCs w:val="24"/>
        </w:rPr>
        <w:t>ë</w:t>
      </w:r>
      <w:r w:rsidRPr="00E266CD">
        <w:rPr>
          <w:rFonts w:ascii="Garamond" w:eastAsia="Times New Roman" w:hAnsi="Garamond"/>
          <w:sz w:val="24"/>
          <w:szCs w:val="24"/>
        </w:rPr>
        <w:t>. Në mënyrë të drejtpërdrejtë nga të 7 objektivat, vetëm 3 objektiva ndikojnë drejtpërdrejtë edhe në realizimin e synimeve për kërkimin shkencor, ndërkombëtarizimin dhe inovacionin. Këta objektiva janë:</w:t>
      </w:r>
    </w:p>
    <w:p w14:paraId="7B5B8759" w14:textId="33500D5D" w:rsidR="00F91888" w:rsidRPr="004F4CF5" w:rsidRDefault="00F91888" w:rsidP="00F91888">
      <w:pPr>
        <w:ind w:firstLine="284"/>
        <w:rPr>
          <w:rFonts w:ascii="Garamond" w:eastAsia="Times New Roman" w:hAnsi="Garamond"/>
          <w:sz w:val="24"/>
          <w:szCs w:val="24"/>
        </w:rPr>
      </w:pPr>
      <w:r w:rsidRPr="004F4CF5">
        <w:rPr>
          <w:rFonts w:ascii="Garamond" w:eastAsia="Times New Roman" w:hAnsi="Garamond"/>
          <w:i/>
          <w:sz w:val="24"/>
          <w:szCs w:val="24"/>
        </w:rPr>
        <w:t xml:space="preserve">Objektivi C2 </w:t>
      </w:r>
      <w:r w:rsidRPr="004F4CF5">
        <w:rPr>
          <w:rFonts w:ascii="Garamond" w:eastAsia="Times New Roman" w:hAnsi="Garamond"/>
          <w:sz w:val="24"/>
          <w:szCs w:val="24"/>
        </w:rPr>
        <w:t>“Nxitja e përsosmërisë në mësimdhënie dhe kërkim shkencor”.</w:t>
      </w:r>
    </w:p>
    <w:p w14:paraId="01644883" w14:textId="211D8061" w:rsidR="00F91888" w:rsidRPr="004F4CF5" w:rsidRDefault="00F91888" w:rsidP="00F91888">
      <w:pPr>
        <w:ind w:firstLine="284"/>
        <w:rPr>
          <w:rFonts w:ascii="Garamond" w:eastAsia="Times New Roman" w:hAnsi="Garamond"/>
          <w:sz w:val="24"/>
          <w:szCs w:val="24"/>
        </w:rPr>
      </w:pPr>
      <w:r w:rsidRPr="004F4CF5">
        <w:rPr>
          <w:rFonts w:ascii="Garamond" w:eastAsia="Times New Roman" w:hAnsi="Garamond"/>
          <w:i/>
          <w:sz w:val="24"/>
          <w:szCs w:val="24"/>
        </w:rPr>
        <w:t>Objektivi specifik C6</w:t>
      </w:r>
      <w:r w:rsidRPr="004F4CF5">
        <w:rPr>
          <w:rFonts w:ascii="Garamond" w:eastAsia="Times New Roman" w:hAnsi="Garamond"/>
          <w:sz w:val="24"/>
          <w:szCs w:val="24"/>
        </w:rPr>
        <w:t xml:space="preserve"> “Ndërkombëtarizimi i arsimit të lartë në Shqipëri dhe integrimi në Hapësirën Evropiane të Arsimit të Lartë (EHEA)”.</w:t>
      </w:r>
    </w:p>
    <w:p w14:paraId="7F3E81B5" w14:textId="0257074E" w:rsidR="00F91888" w:rsidRPr="00E266CD" w:rsidRDefault="00F91888" w:rsidP="00F91888">
      <w:pPr>
        <w:ind w:firstLine="284"/>
        <w:rPr>
          <w:rFonts w:ascii="Garamond" w:eastAsia="Times New Roman" w:hAnsi="Garamond"/>
          <w:sz w:val="24"/>
          <w:szCs w:val="24"/>
        </w:rPr>
      </w:pPr>
      <w:r w:rsidRPr="004F4CF5">
        <w:rPr>
          <w:rFonts w:ascii="Garamond" w:eastAsia="Times New Roman" w:hAnsi="Garamond"/>
          <w:i/>
          <w:sz w:val="24"/>
          <w:szCs w:val="24"/>
        </w:rPr>
        <w:t>Objektivi specifik C7</w:t>
      </w:r>
      <w:r w:rsidRPr="00E266CD">
        <w:rPr>
          <w:rFonts w:ascii="Garamond" w:eastAsia="Times New Roman" w:hAnsi="Garamond"/>
          <w:sz w:val="24"/>
          <w:szCs w:val="24"/>
        </w:rPr>
        <w:t xml:space="preserve"> “Avancimi i infrastrukturës së TIK-ut dhe i shërbimeve digjitale për IAL-të publike”.</w:t>
      </w:r>
    </w:p>
    <w:p w14:paraId="1C02FED5" w14:textId="72FB3BA2" w:rsidR="00F91888" w:rsidRPr="00E266CD" w:rsidRDefault="00FA6DB5" w:rsidP="00FA6DB5">
      <w:pPr>
        <w:pStyle w:val="TEKSTIIII"/>
        <w:rPr>
          <w:b/>
        </w:rPr>
      </w:pPr>
      <w:bookmarkStart w:id="10" w:name="_Toc135703131"/>
      <w:r w:rsidRPr="00E266CD">
        <w:t xml:space="preserve">- </w:t>
      </w:r>
      <w:r w:rsidR="00F91888" w:rsidRPr="00E266CD">
        <w:rPr>
          <w:b/>
        </w:rPr>
        <w:t>Strategjia Kombëtare për Barazinë Gjinore 2021</w:t>
      </w:r>
      <w:r w:rsidR="00F4630C" w:rsidRPr="00E266CD">
        <w:rPr>
          <w:b/>
        </w:rPr>
        <w:t>–</w:t>
      </w:r>
      <w:r w:rsidR="00F91888" w:rsidRPr="00E266CD">
        <w:rPr>
          <w:b/>
        </w:rPr>
        <w:t>2030</w:t>
      </w:r>
      <w:bookmarkEnd w:id="10"/>
    </w:p>
    <w:p w14:paraId="39F6FCFB" w14:textId="5FBFF5C7" w:rsidR="00F91888" w:rsidRPr="00E266CD" w:rsidRDefault="00F91888" w:rsidP="00F91888">
      <w:pPr>
        <w:pBdr>
          <w:top w:val="nil"/>
          <w:left w:val="nil"/>
          <w:bottom w:val="nil"/>
          <w:right w:val="nil"/>
          <w:between w:val="nil"/>
        </w:pBdr>
        <w:ind w:firstLine="284"/>
        <w:rPr>
          <w:rFonts w:ascii="Garamond" w:eastAsia="Times New Roman" w:hAnsi="Garamond"/>
          <w:sz w:val="24"/>
          <w:szCs w:val="24"/>
        </w:rPr>
      </w:pPr>
      <w:r w:rsidRPr="00E266CD">
        <w:rPr>
          <w:rFonts w:ascii="Garamond" w:eastAsia="Times New Roman" w:hAnsi="Garamond"/>
          <w:sz w:val="24"/>
          <w:szCs w:val="24"/>
        </w:rPr>
        <w:t>Në këtë dokument është specifikuar rëndësia e përfshirjes së grave dhe vajzave në shkencë dhe teknologji, te qëllimi i parë (nga 4 qëllime të strategjisë), tek Objektivi specifik 1.3</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“Zvogëlimi i barrierave që i mbajnë gratë, të rejat dhe vajzat larg tregut të punës, si dhe rritja e aksesit të grave, të rejave dhe vajzave nga të gjithë grupet, për punë të denjë edhe në sektorët jotradicionalë të punësimit (në veçanti në shkencë, teknologji, inxhinieri, matematikë)”.</w:t>
      </w:r>
    </w:p>
    <w:p w14:paraId="53540D96" w14:textId="452F36B4" w:rsidR="00F91888" w:rsidRPr="00E266CD" w:rsidRDefault="00FA6DB5" w:rsidP="00FA6DB5">
      <w:pPr>
        <w:pStyle w:val="TEKSTIIII"/>
        <w:rPr>
          <w:b/>
        </w:rPr>
      </w:pPr>
      <w:bookmarkStart w:id="11" w:name="_Toc135703132"/>
      <w:r w:rsidRPr="00E266CD">
        <w:rPr>
          <w:b/>
        </w:rPr>
        <w:t xml:space="preserve">- </w:t>
      </w:r>
      <w:r w:rsidR="00F91888" w:rsidRPr="00E266CD">
        <w:rPr>
          <w:b/>
        </w:rPr>
        <w:t xml:space="preserve">Plani kombëtar për zhvillimin e qëndrueshëm të infrastrukturës digjitale </w:t>
      </w:r>
      <w:r w:rsidR="00F91888" w:rsidRPr="00E05909">
        <w:rPr>
          <w:b/>
          <w:i/>
        </w:rPr>
        <w:t>broadband</w:t>
      </w:r>
      <w:r w:rsidR="00F91888" w:rsidRPr="00E266CD">
        <w:rPr>
          <w:b/>
        </w:rPr>
        <w:t xml:space="preserve"> 2020</w:t>
      </w:r>
      <w:r w:rsidR="00F4630C" w:rsidRPr="00E266CD">
        <w:rPr>
          <w:b/>
        </w:rPr>
        <w:t>–</w:t>
      </w:r>
      <w:r w:rsidR="00F91888" w:rsidRPr="00E266CD">
        <w:rPr>
          <w:b/>
        </w:rPr>
        <w:t>2025, miratuar me vendimin nr. 434, datë 3.6.2020</w:t>
      </w:r>
      <w:r w:rsidR="00430904" w:rsidRPr="00E266CD">
        <w:rPr>
          <w:b/>
        </w:rPr>
        <w:t>,</w:t>
      </w:r>
      <w:r w:rsidR="00F91888" w:rsidRPr="00E266CD">
        <w:rPr>
          <w:b/>
        </w:rPr>
        <w:t xml:space="preserve"> të Këshillit të Ministrave</w:t>
      </w:r>
      <w:bookmarkEnd w:id="11"/>
    </w:p>
    <w:p w14:paraId="5A9A1C9E" w14:textId="731B00D0" w:rsidR="00F91888" w:rsidRPr="00E266CD" w:rsidRDefault="00F91888" w:rsidP="00F91888">
      <w:pPr>
        <w:pBdr>
          <w:top w:val="nil"/>
          <w:left w:val="nil"/>
          <w:bottom w:val="nil"/>
          <w:right w:val="nil"/>
          <w:between w:val="nil"/>
        </w:pBdr>
        <w:ind w:firstLine="284"/>
        <w:rPr>
          <w:rFonts w:ascii="Garamond" w:eastAsia="Times New Roman" w:hAnsi="Garamond"/>
          <w:color w:val="222222"/>
          <w:sz w:val="24"/>
          <w:szCs w:val="24"/>
        </w:rPr>
      </w:pPr>
      <w:r w:rsidRPr="00E266CD">
        <w:rPr>
          <w:rFonts w:ascii="Garamond" w:eastAsia="Times New Roman" w:hAnsi="Garamond"/>
          <w:color w:val="222222"/>
          <w:sz w:val="24"/>
          <w:szCs w:val="24"/>
        </w:rPr>
        <w:t>Nga shtatë objektivat specifikë të identifikuar, objektivi i katërt lidhet drejtpërdrejtë me cilësinë e kërkimit shkencor. Kështu</w:t>
      </w:r>
      <w:r w:rsidR="00E05909">
        <w:rPr>
          <w:rFonts w:ascii="Garamond" w:eastAsia="Times New Roman" w:hAnsi="Garamond"/>
          <w:color w:val="222222"/>
          <w:sz w:val="24"/>
          <w:szCs w:val="24"/>
        </w:rPr>
        <w:t>,</w:t>
      </w:r>
      <w:r w:rsidRPr="00E266CD">
        <w:rPr>
          <w:rFonts w:ascii="Garamond" w:eastAsia="Times New Roman" w:hAnsi="Garamond"/>
          <w:color w:val="222222"/>
          <w:sz w:val="24"/>
          <w:szCs w:val="24"/>
        </w:rPr>
        <w:t xml:space="preserve"> objektivi është “nga fundi i vitit 2025 100% e IAL-ve të jenë të lidhura me </w:t>
      </w:r>
      <w:r w:rsidRPr="00E266CD">
        <w:rPr>
          <w:rFonts w:ascii="Garamond" w:hAnsi="Garamond"/>
          <w:i/>
          <w:color w:val="222222"/>
          <w:sz w:val="24"/>
        </w:rPr>
        <w:t>broadband</w:t>
      </w:r>
      <w:r w:rsidRPr="00E266CD">
        <w:rPr>
          <w:rFonts w:ascii="Garamond" w:eastAsia="Times New Roman" w:hAnsi="Garamond"/>
          <w:color w:val="222222"/>
          <w:sz w:val="24"/>
          <w:szCs w:val="24"/>
        </w:rPr>
        <w:t xml:space="preserve"> me shpejtësi 1 </w:t>
      </w:r>
      <w:r w:rsidR="00E05909">
        <w:rPr>
          <w:rFonts w:ascii="Garamond" w:eastAsia="Times New Roman" w:hAnsi="Garamond"/>
          <w:color w:val="222222"/>
          <w:sz w:val="24"/>
          <w:szCs w:val="24"/>
        </w:rPr>
        <w:t>g</w:t>
      </w:r>
      <w:r w:rsidRPr="00E266CD">
        <w:rPr>
          <w:rFonts w:ascii="Garamond" w:eastAsia="Times New Roman" w:hAnsi="Garamond"/>
          <w:color w:val="222222"/>
          <w:sz w:val="24"/>
          <w:szCs w:val="24"/>
        </w:rPr>
        <w:t xml:space="preserve">bps; rrjeti Akademik Shqiptar të jetë pjesë e rrjetit evropian të </w:t>
      </w:r>
      <w:r w:rsidRPr="00E266CD">
        <w:rPr>
          <w:rFonts w:ascii="Garamond" w:hAnsi="Garamond"/>
          <w:i/>
          <w:color w:val="222222"/>
          <w:sz w:val="24"/>
        </w:rPr>
        <w:t>High Performance Computer</w:t>
      </w:r>
      <w:r w:rsidRPr="00E266CD">
        <w:rPr>
          <w:rFonts w:ascii="Garamond" w:eastAsia="Times New Roman" w:hAnsi="Garamond"/>
          <w:color w:val="222222"/>
          <w:sz w:val="24"/>
          <w:szCs w:val="24"/>
        </w:rPr>
        <w:t xml:space="preserve"> (HPC)”.</w:t>
      </w:r>
    </w:p>
    <w:p w14:paraId="6548AD2B" w14:textId="58774830"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b/>
          <w:color w:val="000000" w:themeColor="text1"/>
          <w:sz w:val="24"/>
          <w:szCs w:val="24"/>
        </w:rPr>
      </w:pPr>
      <w:r w:rsidRPr="00E266CD">
        <w:rPr>
          <w:rFonts w:ascii="Garamond" w:eastAsia="Times New Roman" w:hAnsi="Garamond"/>
          <w:b/>
          <w:i/>
          <w:color w:val="000000" w:themeColor="text1"/>
          <w:sz w:val="24"/>
          <w:szCs w:val="24"/>
        </w:rPr>
        <w:t>-</w:t>
      </w:r>
      <w:r w:rsidR="00FA6DB5" w:rsidRPr="00E266CD">
        <w:rPr>
          <w:rFonts w:ascii="Garamond" w:eastAsia="Times New Roman" w:hAnsi="Garamond"/>
          <w:b/>
          <w:i/>
          <w:color w:val="000000" w:themeColor="text1"/>
          <w:sz w:val="24"/>
          <w:szCs w:val="24"/>
        </w:rPr>
        <w:t xml:space="preserve"> </w:t>
      </w:r>
      <w:r w:rsidRPr="00E266CD">
        <w:rPr>
          <w:rFonts w:ascii="Garamond" w:eastAsia="Times New Roman" w:hAnsi="Garamond"/>
          <w:b/>
          <w:color w:val="000000" w:themeColor="text1"/>
          <w:sz w:val="24"/>
          <w:szCs w:val="24"/>
        </w:rPr>
        <w:t xml:space="preserve">Strategjia e re e </w:t>
      </w:r>
      <w:r w:rsidR="00E05909" w:rsidRPr="00E266CD">
        <w:rPr>
          <w:rFonts w:ascii="Garamond" w:eastAsia="Times New Roman" w:hAnsi="Garamond"/>
          <w:b/>
          <w:color w:val="000000" w:themeColor="text1"/>
          <w:sz w:val="24"/>
          <w:szCs w:val="24"/>
        </w:rPr>
        <w:t>zhvillimit të investimeve dhe bizne</w:t>
      </w:r>
      <w:r w:rsidRPr="00E266CD">
        <w:rPr>
          <w:rFonts w:ascii="Garamond" w:eastAsia="Times New Roman" w:hAnsi="Garamond"/>
          <w:b/>
          <w:color w:val="000000" w:themeColor="text1"/>
          <w:sz w:val="24"/>
          <w:szCs w:val="24"/>
        </w:rPr>
        <w:t>sit për periudhën 2021</w:t>
      </w:r>
      <w:r w:rsidR="00E860F8" w:rsidRPr="00E266CD">
        <w:rPr>
          <w:rFonts w:ascii="Garamond" w:eastAsia="Times New Roman" w:hAnsi="Garamond"/>
          <w:b/>
          <w:color w:val="000000" w:themeColor="text1"/>
          <w:sz w:val="24"/>
          <w:szCs w:val="24"/>
        </w:rPr>
        <w:t>–</w:t>
      </w:r>
      <w:r w:rsidRPr="00E266CD">
        <w:rPr>
          <w:rFonts w:ascii="Garamond" w:eastAsia="Times New Roman" w:hAnsi="Garamond"/>
          <w:b/>
          <w:color w:val="000000" w:themeColor="text1"/>
          <w:sz w:val="24"/>
          <w:szCs w:val="24"/>
        </w:rPr>
        <w:t xml:space="preserve">2027 </w:t>
      </w:r>
    </w:p>
    <w:p w14:paraId="3028274F" w14:textId="2CFE4C5B"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Kjo strategji jep orientimin kryesor të </w:t>
      </w:r>
      <w:r w:rsidR="00E05909" w:rsidRPr="00E266CD">
        <w:rPr>
          <w:rFonts w:ascii="Garamond" w:eastAsia="Times New Roman" w:hAnsi="Garamond"/>
          <w:color w:val="000000"/>
          <w:sz w:val="24"/>
          <w:szCs w:val="24"/>
        </w:rPr>
        <w:t>qeverisë s</w:t>
      </w:r>
      <w:r w:rsidRPr="00E266CD">
        <w:rPr>
          <w:rFonts w:ascii="Garamond" w:eastAsia="Times New Roman" w:hAnsi="Garamond"/>
          <w:color w:val="000000"/>
          <w:sz w:val="24"/>
          <w:szCs w:val="24"/>
        </w:rPr>
        <w:t xml:space="preserve">hqiptare për zhvillimin ekonomik afatmesëm, duke u fokusuar kryesisht në zhvillimin e ndërmarrjeve mikro, të vogla dhe të mesme, si edhe investimet. Planifikimi i masave për nxitjen e sipërmarrjes dhe inovacionit përfshihet tek </w:t>
      </w:r>
      <w:r w:rsidRPr="00E266CD">
        <w:rPr>
          <w:rFonts w:ascii="Garamond" w:eastAsia="Times New Roman" w:hAnsi="Garamond"/>
          <w:i/>
          <w:color w:val="000000"/>
          <w:sz w:val="24"/>
          <w:szCs w:val="24"/>
        </w:rPr>
        <w:t>Objektivi Specifik 1.2. “Zhvillimi i NVM-ve, sipërmarrja dhe inovacioni”</w:t>
      </w:r>
      <w:r w:rsidRPr="00E266CD">
        <w:rPr>
          <w:rFonts w:ascii="Garamond" w:eastAsia="Times New Roman" w:hAnsi="Garamond"/>
          <w:color w:val="000000"/>
          <w:sz w:val="24"/>
          <w:szCs w:val="24"/>
        </w:rPr>
        <w:t xml:space="preserve"> i kësaj strategjie. Institucioni përgjegjës për këtë objektiv është AIDA dhe treguesit që do të synojë që të arrijë dhe që lidhen drejtpërdrejtë me inovacionin dhe SME-të janë: </w:t>
      </w:r>
    </w:p>
    <w:p w14:paraId="0F78CFA1" w14:textId="2829FF29"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color w:val="000000"/>
          <w:sz w:val="24"/>
          <w:szCs w:val="24"/>
        </w:rPr>
      </w:pPr>
      <w:r w:rsidRPr="00E266CD">
        <w:rPr>
          <w:rFonts w:ascii="Garamond" w:eastAsia="Times New Roman" w:hAnsi="Garamond"/>
          <w:color w:val="000000"/>
          <w:sz w:val="24"/>
          <w:szCs w:val="24"/>
        </w:rPr>
        <w:t>i</w:t>
      </w:r>
      <w:r w:rsidR="00430904" w:rsidRPr="00E266CD">
        <w:rPr>
          <w:rFonts w:ascii="Garamond" w:eastAsia="Times New Roman" w:hAnsi="Garamond"/>
          <w:color w:val="000000"/>
          <w:sz w:val="24"/>
          <w:szCs w:val="24"/>
        </w:rPr>
        <w:t>.</w:t>
      </w:r>
      <w:r w:rsidRPr="00E266CD">
        <w:rPr>
          <w:rFonts w:ascii="Garamond" w:eastAsia="Times New Roman" w:hAnsi="Garamond"/>
          <w:color w:val="000000"/>
          <w:sz w:val="24"/>
          <w:szCs w:val="24"/>
        </w:rPr>
        <w:t xml:space="preserve"> </w:t>
      </w:r>
      <w:r w:rsidR="00E05909">
        <w:rPr>
          <w:rFonts w:ascii="Garamond" w:eastAsia="Times New Roman" w:hAnsi="Garamond"/>
          <w:color w:val="000000"/>
          <w:sz w:val="24"/>
          <w:szCs w:val="24"/>
        </w:rPr>
        <w:t>r</w:t>
      </w:r>
      <w:r w:rsidRPr="00E266CD">
        <w:rPr>
          <w:rFonts w:ascii="Garamond" w:eastAsia="Times New Roman" w:hAnsi="Garamond"/>
          <w:color w:val="000000"/>
          <w:sz w:val="24"/>
          <w:szCs w:val="24"/>
        </w:rPr>
        <w:t xml:space="preserve">ritja e dendësisë së </w:t>
      </w:r>
      <w:r w:rsidRPr="00E266CD">
        <w:rPr>
          <w:rFonts w:ascii="Garamond" w:eastAsia="Times New Roman" w:hAnsi="Garamond"/>
          <w:i/>
          <w:color w:val="000000"/>
          <w:sz w:val="24"/>
          <w:szCs w:val="24"/>
        </w:rPr>
        <w:t>startup</w:t>
      </w:r>
      <w:r w:rsidRPr="00E266CD">
        <w:rPr>
          <w:rFonts w:ascii="Garamond" w:eastAsia="Times New Roman" w:hAnsi="Garamond"/>
          <w:color w:val="000000"/>
          <w:sz w:val="24"/>
          <w:szCs w:val="24"/>
        </w:rPr>
        <w:t>-eve nga 88 në 132 (</w:t>
      </w:r>
      <w:r w:rsidRPr="00E266CD">
        <w:rPr>
          <w:rFonts w:ascii="Garamond" w:eastAsia="Times New Roman" w:hAnsi="Garamond"/>
          <w:i/>
          <w:color w:val="000000"/>
          <w:sz w:val="24"/>
          <w:szCs w:val="24"/>
        </w:rPr>
        <w:t>startup</w:t>
      </w:r>
      <w:r w:rsidRPr="00E266CD">
        <w:rPr>
          <w:rFonts w:ascii="Garamond" w:eastAsia="Times New Roman" w:hAnsi="Garamond"/>
          <w:color w:val="000000"/>
          <w:sz w:val="24"/>
          <w:szCs w:val="24"/>
        </w:rPr>
        <w:t>-e për një milionë banorë);</w:t>
      </w:r>
    </w:p>
    <w:p w14:paraId="28C2035F" w14:textId="01B0180D"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color w:val="000000"/>
          <w:sz w:val="24"/>
          <w:szCs w:val="24"/>
        </w:rPr>
      </w:pPr>
      <w:r w:rsidRPr="00E266CD">
        <w:rPr>
          <w:rFonts w:ascii="Garamond" w:eastAsia="Times New Roman" w:hAnsi="Garamond"/>
          <w:color w:val="000000"/>
          <w:sz w:val="24"/>
          <w:szCs w:val="24"/>
        </w:rPr>
        <w:t>ii</w:t>
      </w:r>
      <w:r w:rsidR="00E05909">
        <w:rPr>
          <w:rFonts w:ascii="Garamond" w:eastAsia="Times New Roman" w:hAnsi="Garamond"/>
          <w:color w:val="000000"/>
          <w:sz w:val="24"/>
          <w:szCs w:val="24"/>
        </w:rPr>
        <w:t>.</w:t>
      </w:r>
      <w:r w:rsidRPr="00E266CD">
        <w:rPr>
          <w:rFonts w:ascii="Garamond" w:eastAsia="Times New Roman" w:hAnsi="Garamond"/>
          <w:color w:val="000000"/>
          <w:sz w:val="24"/>
          <w:szCs w:val="24"/>
        </w:rPr>
        <w:t xml:space="preserve"> </w:t>
      </w:r>
      <w:r w:rsidR="00E05909">
        <w:rPr>
          <w:rFonts w:ascii="Garamond" w:eastAsia="Times New Roman" w:hAnsi="Garamond"/>
          <w:color w:val="000000"/>
          <w:sz w:val="24"/>
          <w:szCs w:val="24"/>
        </w:rPr>
        <w:t>r</w:t>
      </w:r>
      <w:r w:rsidRPr="00E266CD">
        <w:rPr>
          <w:rFonts w:ascii="Garamond" w:eastAsia="Times New Roman" w:hAnsi="Garamond"/>
          <w:color w:val="000000"/>
          <w:sz w:val="24"/>
          <w:szCs w:val="24"/>
        </w:rPr>
        <w:t xml:space="preserve">ritja e vlerësimit në </w:t>
      </w:r>
      <w:r w:rsidR="00E05909" w:rsidRPr="00E266CD">
        <w:rPr>
          <w:rFonts w:ascii="Garamond" w:eastAsia="Times New Roman" w:hAnsi="Garamond"/>
          <w:color w:val="000000"/>
          <w:sz w:val="24"/>
          <w:szCs w:val="24"/>
        </w:rPr>
        <w:t xml:space="preserve">indeksin e konkurrueshmërisë globale </w:t>
      </w:r>
      <w:r w:rsidRPr="00E266CD">
        <w:rPr>
          <w:rFonts w:ascii="Garamond" w:eastAsia="Times New Roman" w:hAnsi="Garamond"/>
          <w:color w:val="000000"/>
          <w:sz w:val="24"/>
          <w:szCs w:val="24"/>
        </w:rPr>
        <w:t xml:space="preserve">(aftësitë inovative) nga 29.8 në 34. </w:t>
      </w:r>
    </w:p>
    <w:p w14:paraId="3608099C" w14:textId="6CFDA885"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Pjesa më e madhe e masave të planifikuara për </w:t>
      </w:r>
      <w:r w:rsidRPr="00E266CD">
        <w:rPr>
          <w:rFonts w:ascii="Garamond" w:eastAsia="Times New Roman" w:hAnsi="Garamond"/>
          <w:sz w:val="24"/>
          <w:szCs w:val="24"/>
        </w:rPr>
        <w:t>t</w:t>
      </w:r>
      <w:r w:rsidRPr="00E266CD">
        <w:rPr>
          <w:rFonts w:ascii="Garamond" w:eastAsia="Times New Roman" w:hAnsi="Garamond"/>
          <w:color w:val="000000"/>
          <w:sz w:val="24"/>
          <w:szCs w:val="24"/>
        </w:rPr>
        <w:t>ë bërë të mundur realizimin e objektivit specifi</w:t>
      </w:r>
      <w:r w:rsidRPr="00E266CD">
        <w:rPr>
          <w:rFonts w:ascii="Garamond" w:eastAsia="Times New Roman" w:hAnsi="Garamond"/>
          <w:sz w:val="24"/>
          <w:szCs w:val="24"/>
        </w:rPr>
        <w:t>k</w:t>
      </w:r>
      <w:r w:rsidRPr="00E266CD">
        <w:rPr>
          <w:rFonts w:ascii="Garamond" w:eastAsia="Times New Roman" w:hAnsi="Garamond"/>
          <w:color w:val="000000"/>
          <w:sz w:val="24"/>
          <w:szCs w:val="24"/>
        </w:rPr>
        <w:t xml:space="preserve"> janë të lidhura drejtpërdrejtë me përmirësimin e përdorimit të teknologjive të reja dhe inovacionit nga NVM</w:t>
      </w:r>
      <w:r w:rsidR="00E05909">
        <w:rPr>
          <w:rFonts w:ascii="Garamond" w:eastAsia="Times New Roman" w:hAnsi="Garamond"/>
          <w:color w:val="000000"/>
          <w:sz w:val="24"/>
          <w:szCs w:val="24"/>
        </w:rPr>
        <w:t>-të</w:t>
      </w:r>
      <w:r w:rsidRPr="00E266CD">
        <w:rPr>
          <w:rFonts w:ascii="Garamond" w:eastAsia="Times New Roman" w:hAnsi="Garamond"/>
          <w:color w:val="000000"/>
          <w:sz w:val="24"/>
          <w:szCs w:val="24"/>
        </w:rPr>
        <w:t>.</w:t>
      </w:r>
    </w:p>
    <w:p w14:paraId="6D65850E" w14:textId="1B879B18"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b/>
          <w:color w:val="000000" w:themeColor="text1"/>
          <w:sz w:val="24"/>
          <w:szCs w:val="24"/>
        </w:rPr>
        <w:t>- Ligj</w:t>
      </w:r>
      <w:r w:rsidR="00AD350D">
        <w:rPr>
          <w:rFonts w:ascii="Garamond" w:eastAsia="Times New Roman" w:hAnsi="Garamond"/>
          <w:b/>
          <w:color w:val="000000" w:themeColor="text1"/>
          <w:sz w:val="24"/>
          <w:szCs w:val="24"/>
        </w:rPr>
        <w:t>i</w:t>
      </w:r>
      <w:r w:rsidRPr="00E266CD">
        <w:rPr>
          <w:rFonts w:ascii="Garamond" w:eastAsia="Times New Roman" w:hAnsi="Garamond"/>
          <w:b/>
          <w:color w:val="000000" w:themeColor="text1"/>
          <w:sz w:val="24"/>
          <w:szCs w:val="24"/>
        </w:rPr>
        <w:t xml:space="preserve"> nr. 80/2015</w:t>
      </w:r>
      <w:r w:rsidR="00430904" w:rsidRPr="00E266CD">
        <w:rPr>
          <w:rFonts w:ascii="Garamond" w:eastAsia="Times New Roman" w:hAnsi="Garamond"/>
          <w:b/>
          <w:color w:val="000000" w:themeColor="text1"/>
          <w:sz w:val="24"/>
          <w:szCs w:val="24"/>
        </w:rPr>
        <w:t>,</w:t>
      </w:r>
      <w:r w:rsidRPr="00E266CD">
        <w:rPr>
          <w:rFonts w:ascii="Garamond" w:eastAsia="Times New Roman" w:hAnsi="Garamond"/>
          <w:b/>
          <w:color w:val="000000" w:themeColor="text1"/>
          <w:sz w:val="24"/>
          <w:szCs w:val="24"/>
        </w:rPr>
        <w:t xml:space="preserve"> “Për arsimin e lartë dhe kërkimin shkencor në institucionet e arsimit të lartë në Republikën e Shqipërisë”</w:t>
      </w:r>
      <w:r w:rsidRPr="00E266CD">
        <w:rPr>
          <w:rFonts w:ascii="Garamond" w:eastAsia="Times New Roman" w:hAnsi="Garamond"/>
          <w:color w:val="000000" w:themeColor="text1"/>
          <w:sz w:val="24"/>
          <w:szCs w:val="24"/>
        </w:rPr>
        <w:t xml:space="preserve"> </w:t>
      </w:r>
      <w:r w:rsidRPr="00E266CD">
        <w:rPr>
          <w:rFonts w:ascii="Garamond" w:eastAsia="Times New Roman" w:hAnsi="Garamond"/>
          <w:sz w:val="24"/>
          <w:szCs w:val="24"/>
        </w:rPr>
        <w:t>jep përkufizimet e llojeve të kërkimit shkencor në nenin 6 si më poshtë:</w:t>
      </w:r>
    </w:p>
    <w:p w14:paraId="6AAE4CB0" w14:textId="5A36F23F"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sz w:val="24"/>
          <w:szCs w:val="24"/>
        </w:rPr>
        <w:t>“Institucionet e arsimit të lartë” janë personat juridikë që ofrojnë arsimim të lartë ose kualifikim profesional pas arsimit të mesëm dhe, sipas llojit të institucionit, edhe kërkim shkencor, si pjesë e sistemit të arsimit të lartë të krijuar, dhe që ushtrojnë veprimtarinë në përputhje me aktet ligjore dhe nënligjore në fuqi.</w:t>
      </w:r>
    </w:p>
    <w:p w14:paraId="3BC0FDA4" w14:textId="08F84583"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sz w:val="24"/>
          <w:szCs w:val="24"/>
        </w:rPr>
        <w:t xml:space="preserve">“Kërkimi shkencor bazë” është veprimtaria kërkimore-shkencore, që ka për qëllim kryesor zgjerimin, thellimin, rikonceptimin dhe riintegrimin e njohurive shkencore mbi fenomenet e studiuara dhe të kuptuarit teorik të ndërveprimit midis aktorëve të ndryshëm dhe vetë procesit ku ato ndikojnë. </w:t>
      </w:r>
    </w:p>
    <w:p w14:paraId="75CF4029" w14:textId="77777777"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b/>
          <w:sz w:val="24"/>
          <w:szCs w:val="24"/>
        </w:rPr>
      </w:pPr>
      <w:r w:rsidRPr="00E266CD">
        <w:rPr>
          <w:rFonts w:ascii="Garamond" w:eastAsia="Times New Roman" w:hAnsi="Garamond"/>
          <w:sz w:val="24"/>
          <w:szCs w:val="24"/>
        </w:rPr>
        <w:t>“Kërkimi shkencor i zbatuar” është veprimtaria kërkimore-shkencore, që ka për qëllim të gjejë zgjidhje praktike dhe specifike me objektiv kryesor shfrytëzimin e njohurive teorike, me qëllim zbatimin e tyre në praktikë.</w:t>
      </w:r>
    </w:p>
    <w:p w14:paraId="2ADD5EF4" w14:textId="7C4BC0A6"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sz w:val="24"/>
          <w:szCs w:val="24"/>
        </w:rPr>
        <w:t>Gjithashtu, në këtë ligj përcaktohen edhe institucionet kryesore si Agjencia Kombëtare e Financimit të Arsimit të Lartë (AKFAL), në varësi të MAS</w:t>
      </w:r>
      <w:r w:rsidR="00E05909">
        <w:rPr>
          <w:rFonts w:ascii="Garamond" w:eastAsia="Times New Roman" w:hAnsi="Garamond"/>
          <w:sz w:val="24"/>
          <w:szCs w:val="24"/>
        </w:rPr>
        <w:t>-it</w:t>
      </w:r>
      <w:r w:rsidRPr="00E266CD">
        <w:rPr>
          <w:rFonts w:ascii="Garamond" w:eastAsia="Times New Roman" w:hAnsi="Garamond"/>
          <w:sz w:val="24"/>
          <w:szCs w:val="24"/>
        </w:rPr>
        <w:t>, që ka detyrë kryesore shpërndarjen e fondeve publike dhe ndër të tjera në nenin 11, shkronja “a”, përcakton mbështetjen e veprimtarisë së institucioneve publike të arsimit të lartë, ku përfshihet mësimdhënia, kërkimi shkencor dhe pjesëmarrja në çështjet e menaxhimit akademik dhe administrativ.</w:t>
      </w:r>
    </w:p>
    <w:p w14:paraId="09908C70" w14:textId="5BC3E851"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sz w:val="24"/>
          <w:szCs w:val="24"/>
        </w:rPr>
        <w:t>Institucioni tjetër që përcaktohet në ligj</w:t>
      </w:r>
      <w:r w:rsidR="00E05909">
        <w:rPr>
          <w:rFonts w:ascii="Garamond" w:eastAsia="Times New Roman" w:hAnsi="Garamond"/>
          <w:sz w:val="24"/>
          <w:szCs w:val="24"/>
        </w:rPr>
        <w:t>,</w:t>
      </w:r>
      <w:r w:rsidRPr="00E266CD">
        <w:rPr>
          <w:rFonts w:ascii="Garamond" w:eastAsia="Times New Roman" w:hAnsi="Garamond"/>
          <w:sz w:val="24"/>
          <w:szCs w:val="24"/>
        </w:rPr>
        <w:t xml:space="preserve"> në nenin 12</w:t>
      </w:r>
      <w:r w:rsidR="00E05909">
        <w:rPr>
          <w:rFonts w:ascii="Garamond" w:eastAsia="Times New Roman" w:hAnsi="Garamond"/>
          <w:sz w:val="24"/>
          <w:szCs w:val="24"/>
        </w:rPr>
        <w:t>,</w:t>
      </w:r>
      <w:r w:rsidRPr="00E266CD">
        <w:rPr>
          <w:rFonts w:ascii="Garamond" w:eastAsia="Times New Roman" w:hAnsi="Garamond"/>
          <w:sz w:val="24"/>
          <w:szCs w:val="24"/>
        </w:rPr>
        <w:t xml:space="preserve"> është Agjencia Kombëtare e Kërkimit Shkencor dhe Inovacionit (AKKSHI), institucion publik në varësi të ministrisë përgjegjëse për arsimin dhe kërkimin shkencor, që ka për detyrë kryesore shpërndarjen e fondeve për programet e kërkimit shkencor, mbi bazën e projekteve të paraqitura prej institucioneve të arsimit të lartë dhe institucioneve të kërkimit shkencor në fushat e shkencave natyrore, inxhinierike dhe teknologjike, mjekësore, bujqësore, sociale dhe humane.</w:t>
      </w:r>
    </w:p>
    <w:p w14:paraId="09685758" w14:textId="01A219F1"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sz w:val="24"/>
          <w:szCs w:val="24"/>
        </w:rPr>
      </w:pPr>
      <w:r w:rsidRPr="00E266CD">
        <w:rPr>
          <w:rFonts w:ascii="Garamond" w:eastAsia="Times New Roman" w:hAnsi="Garamond"/>
          <w:sz w:val="24"/>
          <w:szCs w:val="24"/>
        </w:rPr>
        <w:t>Në të njëjtën kohë, ligji përcakton ASCAL</w:t>
      </w:r>
      <w:r w:rsidR="00E05909">
        <w:rPr>
          <w:rFonts w:ascii="Garamond" w:eastAsia="Times New Roman" w:hAnsi="Garamond"/>
          <w:sz w:val="24"/>
          <w:szCs w:val="24"/>
        </w:rPr>
        <w:t>-in</w:t>
      </w:r>
      <w:r w:rsidRPr="00E266CD">
        <w:rPr>
          <w:rFonts w:ascii="Garamond" w:eastAsia="Times New Roman" w:hAnsi="Garamond"/>
          <w:sz w:val="24"/>
          <w:szCs w:val="24"/>
        </w:rPr>
        <w:t xml:space="preserve"> si person juridik publik që është përgjegjës për sigurimin e cilësisë në arsimin e lartë. ASCAL</w:t>
      </w:r>
      <w:r w:rsidR="00E05909">
        <w:rPr>
          <w:rFonts w:ascii="Garamond" w:eastAsia="Times New Roman" w:hAnsi="Garamond"/>
          <w:sz w:val="24"/>
          <w:szCs w:val="24"/>
        </w:rPr>
        <w:t>-i</w:t>
      </w:r>
      <w:r w:rsidRPr="00E266CD">
        <w:rPr>
          <w:rFonts w:ascii="Garamond" w:eastAsia="Times New Roman" w:hAnsi="Garamond"/>
          <w:sz w:val="24"/>
          <w:szCs w:val="24"/>
        </w:rPr>
        <w:t>, përmes mekanizmave të sigurimit të cilësisë, akreditimit dhe proceseve të tjera, monitoron dhe vlerëson cilësinë e institucionit dhe të programeve të ofruara. Kjo agjenci vlerëson dhe akrediton IAL</w:t>
      </w:r>
      <w:r w:rsidR="00E05909">
        <w:rPr>
          <w:rFonts w:ascii="Garamond" w:eastAsia="Times New Roman" w:hAnsi="Garamond"/>
          <w:sz w:val="24"/>
          <w:szCs w:val="24"/>
        </w:rPr>
        <w:t>-të</w:t>
      </w:r>
      <w:r w:rsidRPr="00E266CD">
        <w:rPr>
          <w:rFonts w:ascii="Garamond" w:eastAsia="Times New Roman" w:hAnsi="Garamond"/>
          <w:sz w:val="24"/>
          <w:szCs w:val="24"/>
        </w:rPr>
        <w:t xml:space="preserve"> dhe programet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e</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të tre cikleve të studimit, nëpërmjet të cilave realizohet kërkimi shkencor.</w:t>
      </w:r>
    </w:p>
    <w:p w14:paraId="02EB765B" w14:textId="1505B9FD" w:rsidR="00F91888" w:rsidRPr="00E266CD" w:rsidRDefault="00F91888" w:rsidP="00F91888">
      <w:pPr>
        <w:widowControl w:val="0"/>
        <w:pBdr>
          <w:top w:val="nil"/>
          <w:left w:val="nil"/>
          <w:bottom w:val="nil"/>
          <w:right w:val="nil"/>
          <w:between w:val="nil"/>
        </w:pBdr>
        <w:tabs>
          <w:tab w:val="left" w:pos="3628"/>
        </w:tabs>
        <w:ind w:firstLine="284"/>
        <w:rPr>
          <w:rFonts w:ascii="Garamond" w:eastAsia="Times New Roman" w:hAnsi="Garamond"/>
          <w:color w:val="000000" w:themeColor="text1"/>
          <w:sz w:val="24"/>
          <w:szCs w:val="24"/>
        </w:rPr>
      </w:pPr>
      <w:r w:rsidRPr="00E266CD">
        <w:rPr>
          <w:rFonts w:ascii="Garamond" w:eastAsia="Times New Roman" w:hAnsi="Garamond"/>
          <w:b/>
          <w:color w:val="1F3863"/>
          <w:sz w:val="24"/>
          <w:szCs w:val="24"/>
        </w:rPr>
        <w:t xml:space="preserve"> </w:t>
      </w:r>
      <w:r w:rsidRPr="00E266CD">
        <w:rPr>
          <w:rFonts w:ascii="Garamond" w:eastAsia="Times New Roman" w:hAnsi="Garamond"/>
          <w:b/>
          <w:color w:val="000000" w:themeColor="text1"/>
          <w:sz w:val="24"/>
          <w:szCs w:val="24"/>
        </w:rPr>
        <w:t>- Strategjia Kombëtare e Pronësisë Intelektuale 2022</w:t>
      </w:r>
      <w:r w:rsidR="00430904" w:rsidRPr="00E266CD">
        <w:rPr>
          <w:rFonts w:ascii="Garamond" w:hAnsi="Garamond"/>
          <w:b/>
          <w:sz w:val="24"/>
        </w:rPr>
        <w:t>–</w:t>
      </w:r>
      <w:r w:rsidRPr="00E266CD">
        <w:rPr>
          <w:rFonts w:ascii="Garamond" w:eastAsia="Times New Roman" w:hAnsi="Garamond"/>
          <w:b/>
          <w:color w:val="000000" w:themeColor="text1"/>
          <w:sz w:val="24"/>
          <w:szCs w:val="24"/>
        </w:rPr>
        <w:t xml:space="preserve">2025, </w:t>
      </w:r>
      <w:r w:rsidRPr="00E266CD">
        <w:rPr>
          <w:rFonts w:ascii="Garamond" w:eastAsia="Times New Roman" w:hAnsi="Garamond"/>
          <w:color w:val="000000" w:themeColor="text1"/>
          <w:sz w:val="24"/>
          <w:szCs w:val="24"/>
        </w:rPr>
        <w:t xml:space="preserve">ka 5 qëllime politike dhe tek qëllimi i parë i politikës </w:t>
      </w:r>
    </w:p>
    <w:p w14:paraId="1E283B0E" w14:textId="0ED519ED" w:rsidR="00F91888" w:rsidRPr="00E266CD" w:rsidRDefault="00E05909" w:rsidP="00F91888">
      <w:pPr>
        <w:widowControl w:val="0"/>
        <w:pBdr>
          <w:top w:val="nil"/>
          <w:left w:val="nil"/>
          <w:bottom w:val="nil"/>
          <w:right w:val="nil"/>
          <w:between w:val="nil"/>
        </w:pBdr>
        <w:tabs>
          <w:tab w:val="left" w:pos="3628"/>
        </w:tabs>
        <w:ind w:firstLine="284"/>
        <w:rPr>
          <w:rFonts w:ascii="Garamond" w:eastAsia="Times New Roman" w:hAnsi="Garamond"/>
          <w:color w:val="000000" w:themeColor="text1"/>
          <w:sz w:val="24"/>
          <w:szCs w:val="24"/>
        </w:rPr>
      </w:pPr>
      <w:r>
        <w:rPr>
          <w:rFonts w:ascii="Garamond" w:eastAsia="Times New Roman" w:hAnsi="Garamond"/>
          <w:color w:val="000000" w:themeColor="text1"/>
          <w:sz w:val="24"/>
          <w:szCs w:val="24"/>
        </w:rPr>
        <w:t>“</w:t>
      </w:r>
      <w:r w:rsidR="00F91888" w:rsidRPr="00E266CD">
        <w:rPr>
          <w:rFonts w:ascii="Garamond" w:eastAsia="Times New Roman" w:hAnsi="Garamond"/>
          <w:color w:val="000000" w:themeColor="text1"/>
          <w:sz w:val="24"/>
          <w:szCs w:val="24"/>
        </w:rPr>
        <w:t xml:space="preserve">Përmirësimi i kuadrit ligjor në fushën e pronësisë intelektuale” është hartuar objektivi specifik që ndikon drejtpërdrejtë në cilësinë e kërkimit shkencor, </w:t>
      </w:r>
      <w:r>
        <w:rPr>
          <w:rFonts w:ascii="Garamond" w:eastAsia="Times New Roman" w:hAnsi="Garamond"/>
          <w:color w:val="000000" w:themeColor="text1"/>
          <w:sz w:val="24"/>
          <w:szCs w:val="24"/>
        </w:rPr>
        <w:t>o</w:t>
      </w:r>
      <w:r w:rsidR="00F91888" w:rsidRPr="00E266CD">
        <w:rPr>
          <w:rFonts w:ascii="Garamond" w:eastAsia="Times New Roman" w:hAnsi="Garamond"/>
          <w:color w:val="000000" w:themeColor="text1"/>
          <w:sz w:val="24"/>
          <w:szCs w:val="24"/>
        </w:rPr>
        <w:t>bjektivi specifik 4 “Ngritja e platformës për të drejtën e autori”.</w:t>
      </w:r>
    </w:p>
    <w:p w14:paraId="086E5232" w14:textId="6773B554" w:rsidR="00F91888" w:rsidRPr="00E266CD" w:rsidRDefault="00F91888" w:rsidP="00F91888">
      <w:pPr>
        <w:ind w:firstLine="284"/>
        <w:rPr>
          <w:rFonts w:ascii="Garamond" w:eastAsia="Times New Roman" w:hAnsi="Garamond"/>
          <w:color w:val="000000" w:themeColor="text1"/>
          <w:sz w:val="24"/>
          <w:szCs w:val="24"/>
        </w:rPr>
      </w:pPr>
      <w:r w:rsidRPr="00E266CD">
        <w:rPr>
          <w:rFonts w:ascii="Garamond" w:eastAsia="Times New Roman" w:hAnsi="Garamond"/>
          <w:color w:val="000000" w:themeColor="text1"/>
          <w:sz w:val="24"/>
          <w:szCs w:val="24"/>
        </w:rPr>
        <w:t>Tek qëllimi “</w:t>
      </w:r>
      <w:r w:rsidRPr="00E266CD">
        <w:rPr>
          <w:rFonts w:ascii="Garamond" w:eastAsia="Times New Roman" w:hAnsi="Garamond"/>
          <w:i/>
          <w:color w:val="000000" w:themeColor="text1"/>
          <w:sz w:val="24"/>
          <w:szCs w:val="24"/>
        </w:rPr>
        <w:t>Zhvillimi dhe forcimi i institucioneve, të përfshira në zbatimin e të drejtave të pronësisë intelektuale”</w:t>
      </w:r>
      <w:r w:rsidRPr="00E266CD">
        <w:rPr>
          <w:rFonts w:ascii="Garamond" w:eastAsia="Times New Roman" w:hAnsi="Garamond"/>
          <w:color w:val="000000" w:themeColor="text1"/>
          <w:sz w:val="24"/>
          <w:szCs w:val="24"/>
        </w:rPr>
        <w:t>, objektivi specifik i gjashtë i strategjisë “Rritja e nivelit të cilësisë së shërbimeve të DPPI-së dhe Drejtorisë së të Drejtave të Autorit”, lidhet drejtpërdrejtë me inovacionin. Gjithashtu, objektivi 14 “Ngritja e qendrave të transferimit të teknologjisë” synon që deri në 2025</w:t>
      </w:r>
      <w:r w:rsidR="00E05909">
        <w:rPr>
          <w:rFonts w:ascii="Garamond" w:eastAsia="Times New Roman" w:hAnsi="Garamond"/>
          <w:color w:val="000000" w:themeColor="text1"/>
          <w:sz w:val="24"/>
          <w:szCs w:val="24"/>
        </w:rPr>
        <w:t>-n</w:t>
      </w:r>
      <w:r w:rsidRPr="00E266CD">
        <w:rPr>
          <w:rFonts w:ascii="Garamond" w:eastAsia="Times New Roman" w:hAnsi="Garamond"/>
          <w:color w:val="000000" w:themeColor="text1"/>
          <w:sz w:val="24"/>
          <w:szCs w:val="24"/>
        </w:rPr>
        <w:t xml:space="preserve"> të mbarojë procesi i ngritjes së qendrave në IAL-të publike. </w:t>
      </w:r>
    </w:p>
    <w:p w14:paraId="0B5404EF" w14:textId="5D003506" w:rsidR="00F91888" w:rsidRPr="00E266CD" w:rsidRDefault="00F91888" w:rsidP="00F91888">
      <w:pPr>
        <w:ind w:firstLine="284"/>
        <w:rPr>
          <w:rFonts w:ascii="Garamond" w:hAnsi="Garamond"/>
          <w:color w:val="000000" w:themeColor="text1"/>
          <w:sz w:val="24"/>
          <w:szCs w:val="24"/>
        </w:rPr>
      </w:pPr>
      <w:r w:rsidRPr="00E266CD">
        <w:rPr>
          <w:rStyle w:val="Heading3Char"/>
          <w:rFonts w:ascii="Garamond" w:hAnsi="Garamond" w:cs="Times New Roman"/>
          <w:color w:val="000000" w:themeColor="text1"/>
        </w:rPr>
        <w:t>Strategjia Kombëtare e Bujqësisë, Zhvillimit Rural dhe Peshkimit 2021</w:t>
      </w:r>
      <w:r w:rsidR="00430904" w:rsidRPr="00E266CD">
        <w:rPr>
          <w:rFonts w:ascii="Garamond" w:hAnsi="Garamond"/>
          <w:sz w:val="24"/>
        </w:rPr>
        <w:t>–</w:t>
      </w:r>
      <w:r w:rsidRPr="00E266CD">
        <w:rPr>
          <w:rStyle w:val="Heading3Char"/>
          <w:rFonts w:ascii="Garamond" w:hAnsi="Garamond" w:cs="Times New Roman"/>
          <w:color w:val="000000" w:themeColor="text1"/>
        </w:rPr>
        <w:t>2027</w:t>
      </w:r>
      <w:r w:rsidRPr="00E266CD">
        <w:rPr>
          <w:rFonts w:ascii="Garamond" w:hAnsi="Garamond"/>
          <w:b/>
          <w:color w:val="000000" w:themeColor="text1"/>
          <w:sz w:val="24"/>
          <w:szCs w:val="24"/>
        </w:rPr>
        <w:t xml:space="preserve"> </w:t>
      </w:r>
      <w:r w:rsidRPr="00E266CD">
        <w:rPr>
          <w:rFonts w:ascii="Garamond" w:hAnsi="Garamond"/>
          <w:color w:val="000000" w:themeColor="text1"/>
          <w:sz w:val="24"/>
          <w:szCs w:val="24"/>
        </w:rPr>
        <w:t>parashikon masa që ndikojnë drejtpërdrejtë dhe ndërlidhen me cilësinë e kërkimit shkencor që bëhet nga institucionet</w:t>
      </w:r>
      <w:r w:rsidR="00E05909">
        <w:rPr>
          <w:rFonts w:ascii="Garamond" w:hAnsi="Garamond"/>
          <w:color w:val="000000" w:themeColor="text1"/>
          <w:sz w:val="24"/>
          <w:szCs w:val="24"/>
        </w:rPr>
        <w:t>,</w:t>
      </w:r>
      <w:r w:rsidRPr="00E266CD">
        <w:rPr>
          <w:rFonts w:ascii="Garamond" w:hAnsi="Garamond"/>
          <w:color w:val="000000" w:themeColor="text1"/>
          <w:sz w:val="24"/>
          <w:szCs w:val="24"/>
        </w:rPr>
        <w:t xml:space="preserve"> veprimtaria e të cilave mbulohet nga kjo strategji.</w:t>
      </w:r>
    </w:p>
    <w:p w14:paraId="314E0437" w14:textId="34CAC0F7" w:rsidR="00F91888" w:rsidRPr="00E266CD" w:rsidRDefault="00F91888" w:rsidP="00F91888">
      <w:pPr>
        <w:ind w:firstLine="284"/>
        <w:rPr>
          <w:rFonts w:ascii="Garamond" w:eastAsia="Times New Roman" w:hAnsi="Garamond"/>
          <w:color w:val="000000" w:themeColor="text1"/>
          <w:sz w:val="24"/>
          <w:szCs w:val="24"/>
        </w:rPr>
      </w:pPr>
      <w:r w:rsidRPr="00E266CD">
        <w:rPr>
          <w:rFonts w:ascii="Garamond" w:eastAsia="Times New Roman" w:hAnsi="Garamond"/>
          <w:color w:val="000000" w:themeColor="text1"/>
          <w:sz w:val="24"/>
          <w:szCs w:val="24"/>
        </w:rPr>
        <w:t xml:space="preserve"> - </w:t>
      </w:r>
      <w:r w:rsidRPr="00E266CD">
        <w:rPr>
          <w:rFonts w:ascii="Garamond" w:eastAsia="Times New Roman" w:hAnsi="Garamond"/>
          <w:b/>
          <w:color w:val="000000" w:themeColor="text1"/>
          <w:sz w:val="24"/>
          <w:szCs w:val="24"/>
        </w:rPr>
        <w:t xml:space="preserve">Programi </w:t>
      </w:r>
      <w:r w:rsidR="00E05909" w:rsidRPr="00E266CD">
        <w:rPr>
          <w:rFonts w:ascii="Garamond" w:eastAsia="Times New Roman" w:hAnsi="Garamond"/>
          <w:b/>
          <w:color w:val="000000" w:themeColor="text1"/>
          <w:sz w:val="24"/>
          <w:szCs w:val="24"/>
        </w:rPr>
        <w:t>shumëvjeçar p</w:t>
      </w:r>
      <w:r w:rsidRPr="00E266CD">
        <w:rPr>
          <w:rFonts w:ascii="Garamond" w:eastAsia="Times New Roman" w:hAnsi="Garamond"/>
          <w:b/>
          <w:color w:val="000000" w:themeColor="text1"/>
          <w:sz w:val="24"/>
          <w:szCs w:val="24"/>
        </w:rPr>
        <w:t>ër Politikën Spektrale dhe Plani i Veprimit</w:t>
      </w:r>
      <w:r w:rsidRPr="00E266CD">
        <w:rPr>
          <w:rFonts w:ascii="Garamond" w:eastAsia="Times New Roman" w:hAnsi="Garamond"/>
          <w:b/>
          <w:color w:val="000000" w:themeColor="text1"/>
          <w:sz w:val="24"/>
          <w:szCs w:val="24"/>
          <w:vertAlign w:val="superscript"/>
        </w:rPr>
        <w:footnoteReference w:id="23"/>
      </w:r>
      <w:r w:rsidRPr="00E266CD">
        <w:rPr>
          <w:rFonts w:ascii="Garamond" w:eastAsia="Times New Roman" w:hAnsi="Garamond"/>
          <w:b/>
          <w:color w:val="000000" w:themeColor="text1"/>
          <w:sz w:val="24"/>
          <w:szCs w:val="24"/>
        </w:rPr>
        <w:t xml:space="preserve"> </w:t>
      </w:r>
      <w:r w:rsidRPr="00E266CD">
        <w:rPr>
          <w:rFonts w:ascii="Garamond" w:eastAsia="Times New Roman" w:hAnsi="Garamond"/>
          <w:color w:val="000000" w:themeColor="text1"/>
          <w:sz w:val="24"/>
          <w:szCs w:val="24"/>
        </w:rPr>
        <w:t>objektivi strategjik (f) synon promovimin e inovacionit dhe më specifikisht “Promovimin e inovacionit dhe të investimeve, duke përforcuar fleksibilitetin në përdorimin e spektrit radio, nëpërmjet aplikimit të parimeve të neutralitetit teknologjik midis zgjidhjeve teknologjike që mund të zbatohen dhe nëpërmjet një parashikimi të përshtatshëm rregullator, bazuar midis të tjerash në ligjin për komunikimet elektronike, dhe nëpërmjet lirimit të spektrit radio në harmoni me zhvillimet në BE për teknologjitë e reja të avancuara, si dhe përmes mundësisë së transferimit/tregtimit të të drejtave të përdorimit të spektrit radio, duke krijuar në këtë mënyrë mundësi për zhvillimin e shërbimeve të ardhshme digjitale”.</w:t>
      </w:r>
    </w:p>
    <w:p w14:paraId="19047F16" w14:textId="7CCF0F8A" w:rsidR="00F91888" w:rsidRPr="00E266CD" w:rsidRDefault="00F91888" w:rsidP="00F91888">
      <w:pPr>
        <w:ind w:firstLine="284"/>
        <w:rPr>
          <w:rFonts w:ascii="Garamond" w:eastAsia="Times New Roman" w:hAnsi="Garamond"/>
          <w:color w:val="000000"/>
          <w:sz w:val="24"/>
          <w:szCs w:val="24"/>
        </w:rPr>
      </w:pPr>
      <w:r w:rsidRPr="00E266CD">
        <w:rPr>
          <w:rFonts w:ascii="Garamond" w:eastAsia="Times New Roman" w:hAnsi="Garamond"/>
          <w:b/>
          <w:color w:val="000000" w:themeColor="text1"/>
          <w:sz w:val="24"/>
          <w:szCs w:val="24"/>
        </w:rPr>
        <w:t xml:space="preserve"> - Agjenda Digjitale e Shqipërisë dhe Plani i Veprimit 2022–2026</w:t>
      </w:r>
      <w:r w:rsidRPr="00E266CD">
        <w:rPr>
          <w:rFonts w:ascii="Garamond" w:eastAsia="Times New Roman" w:hAnsi="Garamond"/>
          <w:b/>
          <w:color w:val="000000" w:themeColor="text1"/>
          <w:sz w:val="24"/>
          <w:szCs w:val="24"/>
          <w:vertAlign w:val="superscript"/>
        </w:rPr>
        <w:footnoteReference w:id="24"/>
      </w:r>
      <w:r w:rsidRPr="00E266CD">
        <w:rPr>
          <w:rFonts w:ascii="Garamond" w:eastAsia="Times New Roman" w:hAnsi="Garamond"/>
          <w:b/>
          <w:color w:val="000000" w:themeColor="text1"/>
          <w:sz w:val="24"/>
          <w:szCs w:val="24"/>
        </w:rPr>
        <w:t xml:space="preserve"> </w:t>
      </w:r>
      <w:r w:rsidRPr="00E266CD">
        <w:rPr>
          <w:rFonts w:ascii="Garamond" w:eastAsia="Times New Roman" w:hAnsi="Garamond"/>
          <w:color w:val="000000" w:themeColor="text1"/>
          <w:sz w:val="24"/>
          <w:szCs w:val="24"/>
        </w:rPr>
        <w:t xml:space="preserve">Edhe pse vizioni i qeverisë në këtë fushë lidhet dhe kontribuon drejtpërdrejtë tek SKKSHTI, përsëri </w:t>
      </w:r>
      <w:r w:rsidRPr="00E266CD">
        <w:rPr>
          <w:rFonts w:ascii="Garamond" w:eastAsia="Times New Roman" w:hAnsi="Garamond"/>
          <w:color w:val="000000"/>
          <w:sz w:val="24"/>
          <w:szCs w:val="24"/>
        </w:rPr>
        <w:t xml:space="preserve">mund të evidentohet synimi 4 </w:t>
      </w:r>
      <w:r w:rsidR="00105006">
        <w:rPr>
          <w:rFonts w:ascii="Garamond" w:eastAsia="Times New Roman" w:hAnsi="Garamond"/>
          <w:color w:val="000000"/>
          <w:sz w:val="24"/>
          <w:szCs w:val="24"/>
        </w:rPr>
        <w:t>“</w:t>
      </w:r>
      <w:r w:rsidRPr="00E266CD">
        <w:rPr>
          <w:rFonts w:ascii="Garamond" w:eastAsia="Times New Roman" w:hAnsi="Garamond"/>
          <w:color w:val="000000"/>
          <w:sz w:val="24"/>
          <w:szCs w:val="24"/>
        </w:rPr>
        <w:t>5.4. Synimi 4: Edukimi digjital dhe aftësitë digjitale: transformimi i të mësuarit dhe mësimdhënies”</w:t>
      </w:r>
      <w:r w:rsidR="00105006">
        <w:rPr>
          <w:rFonts w:ascii="Garamond" w:eastAsia="Times New Roman" w:hAnsi="Garamond"/>
          <w:color w:val="000000"/>
          <w:sz w:val="24"/>
          <w:szCs w:val="24"/>
        </w:rPr>
        <w:t>,</w:t>
      </w:r>
      <w:r w:rsidRPr="00E266CD">
        <w:rPr>
          <w:rFonts w:ascii="Garamond" w:eastAsia="Times New Roman" w:hAnsi="Garamond"/>
          <w:color w:val="000000"/>
          <w:sz w:val="24"/>
          <w:szCs w:val="24"/>
        </w:rPr>
        <w:t xml:space="preserve"> si qëllim apo synim që është më afër vizionit të kësaj strategjie.</w:t>
      </w:r>
    </w:p>
    <w:p w14:paraId="5C8C1EF2" w14:textId="2E940D7B" w:rsidR="00F91888" w:rsidRPr="00E266CD" w:rsidRDefault="00F91888" w:rsidP="00F91888">
      <w:pPr>
        <w:ind w:firstLine="284"/>
        <w:rPr>
          <w:rFonts w:ascii="Garamond" w:eastAsia="Times New Roman" w:hAnsi="Garamond"/>
          <w:color w:val="000000"/>
          <w:sz w:val="24"/>
          <w:szCs w:val="24"/>
        </w:rPr>
      </w:pPr>
      <w:r w:rsidRPr="00E266CD">
        <w:rPr>
          <w:rFonts w:ascii="Garamond" w:eastAsia="Times New Roman" w:hAnsi="Garamond"/>
          <w:color w:val="000000"/>
          <w:sz w:val="24"/>
          <w:szCs w:val="24"/>
        </w:rPr>
        <w:t>Në objektivin 4, të edukimit digjital, referon ndër synimet edhe kërkimin shkencor në TIK, konkretisht: “Kërkimi shkencor në institucionet e arsimit të lartë”</w:t>
      </w:r>
      <w:r w:rsidR="00105006">
        <w:rPr>
          <w:rFonts w:ascii="Garamond" w:eastAsia="Times New Roman" w:hAnsi="Garamond"/>
          <w:color w:val="000000"/>
          <w:sz w:val="24"/>
          <w:szCs w:val="24"/>
        </w:rPr>
        <w:t>.</w:t>
      </w:r>
    </w:p>
    <w:p w14:paraId="068C0D59" w14:textId="77777777" w:rsidR="00F91888" w:rsidRPr="00E266CD" w:rsidRDefault="00DF5F9A" w:rsidP="00DF5F9A">
      <w:pPr>
        <w:pStyle w:val="TEKSTIIII"/>
      </w:pPr>
      <w:r w:rsidRPr="00E266CD">
        <w:t xml:space="preserve">- </w:t>
      </w:r>
      <w:r w:rsidR="00F91888" w:rsidRPr="00E266CD">
        <w:t xml:space="preserve">Mundësimi i kërkimit shkencor - fuqizimi i grupeve të kërkimit shkencor duke ofruar mjediset e duhura të bazuara në </w:t>
      </w:r>
      <w:r w:rsidR="00F91888" w:rsidRPr="00E266CD">
        <w:rPr>
          <w:i/>
        </w:rPr>
        <w:t>cloud</w:t>
      </w:r>
      <w:r w:rsidR="00F91888" w:rsidRPr="00E266CD">
        <w:t xml:space="preserve"> që mbështeten në politikat, sigurinë dhe modelet e qeverisjes së universiteteve.</w:t>
      </w:r>
    </w:p>
    <w:p w14:paraId="45E8C43B" w14:textId="77777777" w:rsidR="00F91888" w:rsidRPr="00E266CD" w:rsidRDefault="00DF5F9A" w:rsidP="00DF5F9A">
      <w:pPr>
        <w:pStyle w:val="TEKSTIIII"/>
      </w:pPr>
      <w:r w:rsidRPr="00E266CD">
        <w:t xml:space="preserve">- </w:t>
      </w:r>
      <w:r w:rsidR="00F91888" w:rsidRPr="00E266CD">
        <w:t xml:space="preserve">Qendrat kompjuterike me performancë të lartë &amp; IA - mundësimi i kompjuterizimit me performancë të lartë, </w:t>
      </w:r>
      <w:r w:rsidR="00F91888" w:rsidRPr="00E266CD">
        <w:rPr>
          <w:i/>
        </w:rPr>
        <w:t>machine learning</w:t>
      </w:r>
      <w:r w:rsidR="00F91888" w:rsidRPr="00E266CD">
        <w:t xml:space="preserve"> dhe inteligjencës artificiale në atë shkallë që shumë kërkues në shumë fusha të përshpejtojnë ritmin e kërkimit shkencor dhe të shkurtojnë kohën e publikimit.</w:t>
      </w:r>
    </w:p>
    <w:p w14:paraId="0DBCEE6B" w14:textId="70EA1896" w:rsidR="00F91888" w:rsidRPr="00E266CD" w:rsidRDefault="00F91888" w:rsidP="00430904">
      <w:pPr>
        <w:widowControl w:val="0"/>
        <w:tabs>
          <w:tab w:val="left" w:pos="3628"/>
        </w:tabs>
        <w:ind w:firstLine="284"/>
        <w:rPr>
          <w:rFonts w:ascii="Garamond" w:eastAsia="Times New Roman" w:hAnsi="Garamond"/>
          <w:sz w:val="24"/>
          <w:szCs w:val="24"/>
        </w:rPr>
      </w:pPr>
      <w:r w:rsidRPr="00E266CD">
        <w:rPr>
          <w:rFonts w:ascii="Garamond" w:eastAsia="Times New Roman" w:hAnsi="Garamond"/>
          <w:b/>
          <w:color w:val="000000" w:themeColor="text1"/>
          <w:sz w:val="24"/>
          <w:szCs w:val="24"/>
        </w:rPr>
        <w:t>Strategjia Kombëtare e Shëndetësisë 2021–2030</w:t>
      </w:r>
      <w:r w:rsidRPr="00E266CD">
        <w:rPr>
          <w:rFonts w:ascii="Garamond" w:eastAsia="Times New Roman" w:hAnsi="Garamond"/>
          <w:color w:val="000000" w:themeColor="text1"/>
          <w:sz w:val="24"/>
          <w:szCs w:val="24"/>
          <w:vertAlign w:val="superscript"/>
        </w:rPr>
        <w:footnoteReference w:id="25"/>
      </w:r>
      <w:r w:rsidRPr="00E266CD">
        <w:rPr>
          <w:rFonts w:ascii="Garamond" w:eastAsia="Times New Roman" w:hAnsi="Garamond"/>
          <w:b/>
          <w:color w:val="000000" w:themeColor="text1"/>
          <w:sz w:val="24"/>
          <w:szCs w:val="24"/>
        </w:rPr>
        <w:t xml:space="preserve">. </w:t>
      </w:r>
      <w:r w:rsidRPr="00E266CD">
        <w:rPr>
          <w:rFonts w:ascii="Garamond" w:eastAsia="Times New Roman" w:hAnsi="Garamond"/>
          <w:sz w:val="24"/>
          <w:szCs w:val="24"/>
        </w:rPr>
        <w:t>Kjo strategji është miratuar në prill 2022 dhe ka të identifikuara 5 qëllime politike. Lidhja dhe kontributi i drejtpërdrejtë që jepet tek SKKSHTI lidhet me objektivin 5.5</w:t>
      </w:r>
      <w:r w:rsidR="006B5A01">
        <w:rPr>
          <w:rFonts w:ascii="Garamond" w:eastAsia="Times New Roman" w:hAnsi="Garamond"/>
          <w:sz w:val="24"/>
          <w:szCs w:val="24"/>
        </w:rPr>
        <w:t>,</w:t>
      </w:r>
      <w:r w:rsidRPr="00E266CD">
        <w:rPr>
          <w:rFonts w:ascii="Garamond" w:eastAsia="Times New Roman" w:hAnsi="Garamond"/>
          <w:sz w:val="24"/>
          <w:szCs w:val="24"/>
        </w:rPr>
        <w:t xml:space="preserve"> që është objektivi </w:t>
      </w:r>
      <w:r w:rsidR="00E860F8" w:rsidRPr="00E266CD">
        <w:rPr>
          <w:rFonts w:ascii="Garamond" w:eastAsia="Times New Roman" w:hAnsi="Garamond"/>
          <w:sz w:val="24"/>
          <w:szCs w:val="24"/>
        </w:rPr>
        <w:t>s</w:t>
      </w:r>
      <w:r w:rsidRPr="00E266CD">
        <w:rPr>
          <w:rFonts w:ascii="Garamond" w:eastAsia="Times New Roman" w:hAnsi="Garamond"/>
          <w:sz w:val="24"/>
          <w:szCs w:val="24"/>
        </w:rPr>
        <w:t xml:space="preserve">pecifik 5 i qëllimit të </w:t>
      </w:r>
      <w:r w:rsidR="006B5A01">
        <w:rPr>
          <w:rFonts w:ascii="Garamond" w:eastAsia="Times New Roman" w:hAnsi="Garamond"/>
          <w:sz w:val="24"/>
          <w:szCs w:val="24"/>
        </w:rPr>
        <w:t>p</w:t>
      </w:r>
      <w:r w:rsidRPr="00E266CD">
        <w:rPr>
          <w:rFonts w:ascii="Garamond" w:eastAsia="Times New Roman" w:hAnsi="Garamond"/>
          <w:sz w:val="24"/>
          <w:szCs w:val="24"/>
        </w:rPr>
        <w:t xml:space="preserve">olitikës V: Fuqizimi i kapaciteteve për kërkimin shkencor dhe publikimi i evidencave shkencore. Për realizimin e këtij objektivi është planifikuar </w:t>
      </w:r>
      <w:r w:rsidR="006B5A01">
        <w:rPr>
          <w:rFonts w:ascii="Garamond" w:eastAsia="Times New Roman" w:hAnsi="Garamond"/>
          <w:sz w:val="24"/>
          <w:szCs w:val="24"/>
        </w:rPr>
        <w:t>m</w:t>
      </w:r>
      <w:r w:rsidRPr="00E266CD">
        <w:rPr>
          <w:rFonts w:ascii="Garamond" w:eastAsia="Times New Roman" w:hAnsi="Garamond"/>
          <w:sz w:val="24"/>
          <w:szCs w:val="24"/>
        </w:rPr>
        <w:t>asa 5.5.1</w:t>
      </w:r>
      <w:r w:rsidR="006B5A01">
        <w:rPr>
          <w:rFonts w:ascii="Garamond" w:eastAsia="Times New Roman" w:hAnsi="Garamond"/>
          <w:sz w:val="24"/>
          <w:szCs w:val="24"/>
        </w:rPr>
        <w:t>:</w:t>
      </w:r>
      <w:r w:rsidRPr="00E266CD">
        <w:rPr>
          <w:rFonts w:ascii="Garamond" w:eastAsia="Times New Roman" w:hAnsi="Garamond"/>
          <w:sz w:val="24"/>
          <w:szCs w:val="24"/>
        </w:rPr>
        <w:t xml:space="preserve"> Fuqizimi i sistemit kombëtar për kërkimin shkencor</w:t>
      </w:r>
      <w:r w:rsidRPr="00E266CD">
        <w:rPr>
          <w:rFonts w:ascii="Garamond" w:eastAsia="Times New Roman" w:hAnsi="Garamond"/>
          <w:sz w:val="24"/>
          <w:szCs w:val="24"/>
          <w:vertAlign w:val="superscript"/>
        </w:rPr>
        <w:footnoteReference w:id="26"/>
      </w:r>
      <w:r w:rsidRPr="00E266CD">
        <w:rPr>
          <w:rFonts w:ascii="Garamond" w:eastAsia="Times New Roman" w:hAnsi="Garamond"/>
          <w:sz w:val="24"/>
          <w:szCs w:val="24"/>
        </w:rPr>
        <w:t>.</w:t>
      </w:r>
    </w:p>
    <w:p w14:paraId="24133053" w14:textId="578AC023" w:rsidR="00F91888" w:rsidRPr="00E266CD" w:rsidRDefault="00F91888" w:rsidP="00F91888">
      <w:pPr>
        <w:widowControl w:val="0"/>
        <w:tabs>
          <w:tab w:val="left" w:pos="3628"/>
        </w:tabs>
        <w:ind w:firstLine="284"/>
        <w:rPr>
          <w:rFonts w:ascii="Garamond" w:eastAsia="Times New Roman" w:hAnsi="Garamond"/>
          <w:color w:val="000000" w:themeColor="text1"/>
          <w:sz w:val="24"/>
          <w:szCs w:val="24"/>
        </w:rPr>
      </w:pPr>
      <w:r w:rsidRPr="00E266CD">
        <w:rPr>
          <w:rFonts w:ascii="Garamond" w:eastAsia="Times New Roman" w:hAnsi="Garamond"/>
          <w:b/>
          <w:color w:val="000000" w:themeColor="text1"/>
          <w:sz w:val="24"/>
          <w:szCs w:val="24"/>
        </w:rPr>
        <w:t>Strategjia Kombëtare e Punësimit dhe Aftësive 2023–2030</w:t>
      </w:r>
      <w:r w:rsidRPr="00E266CD">
        <w:rPr>
          <w:rFonts w:ascii="Garamond" w:eastAsia="Times New Roman" w:hAnsi="Garamond"/>
          <w:color w:val="000000" w:themeColor="text1"/>
          <w:sz w:val="24"/>
          <w:szCs w:val="24"/>
          <w:vertAlign w:val="superscript"/>
        </w:rPr>
        <w:footnoteReference w:id="27"/>
      </w:r>
      <w:r w:rsidRPr="00E266CD">
        <w:rPr>
          <w:rFonts w:ascii="Garamond" w:eastAsia="Times New Roman" w:hAnsi="Garamond"/>
          <w:color w:val="000000" w:themeColor="text1"/>
          <w:sz w:val="24"/>
          <w:szCs w:val="24"/>
        </w:rPr>
        <w:t>. Kjo strategji është miratuar në mars të 2023 dhe vizioni i saj jetësohet në 2 qëllime politike. Lidhja</w:t>
      </w:r>
      <w:r w:rsidR="007715D0" w:rsidRPr="00E266CD">
        <w:rPr>
          <w:rFonts w:ascii="Garamond" w:eastAsia="Times New Roman" w:hAnsi="Garamond"/>
          <w:color w:val="000000" w:themeColor="text1"/>
          <w:sz w:val="24"/>
          <w:szCs w:val="24"/>
        </w:rPr>
        <w:t xml:space="preserve"> </w:t>
      </w:r>
      <w:r w:rsidRPr="00E266CD">
        <w:rPr>
          <w:rFonts w:ascii="Garamond" w:eastAsia="Times New Roman" w:hAnsi="Garamond"/>
          <w:color w:val="000000" w:themeColor="text1"/>
          <w:sz w:val="24"/>
          <w:szCs w:val="24"/>
        </w:rPr>
        <w:t xml:space="preserve">dhe kontributi i kësaj strategjie me SKKSHTI jepet në qëllimin e parë të politikës së kësaj strategjie “Zhvillimi i aftësive dhe lidhje më e mirë e kërkesës me ofertën në tregun e punës për më shumë punësim” dhe më specifikisht, </w:t>
      </w:r>
      <w:r w:rsidR="006B5A01">
        <w:rPr>
          <w:rFonts w:ascii="Garamond" w:eastAsia="Times New Roman" w:hAnsi="Garamond"/>
          <w:color w:val="000000" w:themeColor="text1"/>
          <w:sz w:val="24"/>
          <w:szCs w:val="24"/>
        </w:rPr>
        <w:t>o</w:t>
      </w:r>
      <w:r w:rsidRPr="00E266CD">
        <w:rPr>
          <w:rFonts w:ascii="Garamond" w:eastAsia="Times New Roman" w:hAnsi="Garamond"/>
          <w:color w:val="000000" w:themeColor="text1"/>
          <w:sz w:val="24"/>
          <w:szCs w:val="24"/>
        </w:rPr>
        <w:t xml:space="preserve">bjektivi strategjik 1.1: Reduktimi i mospërputhjes së aftësive për të gjitha profesionet, ku si masë për realizimin e tij janë edhe masat </w:t>
      </w:r>
      <w:r w:rsidR="006B5A01">
        <w:rPr>
          <w:rFonts w:ascii="Garamond" w:eastAsia="Times New Roman" w:hAnsi="Garamond"/>
          <w:color w:val="000000" w:themeColor="text1"/>
          <w:sz w:val="24"/>
          <w:szCs w:val="24"/>
        </w:rPr>
        <w:t>f</w:t>
      </w:r>
      <w:r w:rsidRPr="00E266CD">
        <w:rPr>
          <w:rFonts w:ascii="Garamond" w:eastAsia="Times New Roman" w:hAnsi="Garamond"/>
          <w:color w:val="000000" w:themeColor="text1"/>
          <w:sz w:val="24"/>
          <w:szCs w:val="24"/>
        </w:rPr>
        <w:t>orcimi i mekanizmave të garantimit dhe zhvillimit të cilësisë në sistemin e AFP-së dhe nxitja e mundësive gjithëpërfshirëse për të nxënit gjatë gjithë jetës.</w:t>
      </w:r>
    </w:p>
    <w:p w14:paraId="0F31B580" w14:textId="3CA19060" w:rsidR="00F91888" w:rsidRPr="00E266CD" w:rsidRDefault="00F91888" w:rsidP="00F91888">
      <w:pPr>
        <w:shd w:val="clear" w:color="auto" w:fill="FFFFFF"/>
        <w:ind w:firstLine="284"/>
        <w:rPr>
          <w:rFonts w:ascii="Garamond" w:eastAsia="Times New Roman" w:hAnsi="Garamond"/>
          <w:color w:val="000000" w:themeColor="text1"/>
          <w:sz w:val="24"/>
          <w:szCs w:val="24"/>
        </w:rPr>
      </w:pPr>
      <w:r w:rsidRPr="00E266CD">
        <w:rPr>
          <w:rFonts w:ascii="Garamond" w:eastAsia="Times New Roman" w:hAnsi="Garamond"/>
          <w:b/>
          <w:color w:val="000000" w:themeColor="text1"/>
          <w:sz w:val="24"/>
          <w:szCs w:val="24"/>
        </w:rPr>
        <w:t>Kontributi Kombëtar i Përcaktuar (NDC) 2021</w:t>
      </w:r>
      <w:r w:rsidR="00430904" w:rsidRPr="00E266CD">
        <w:rPr>
          <w:rFonts w:ascii="Garamond" w:hAnsi="Garamond"/>
          <w:b/>
          <w:sz w:val="24"/>
        </w:rPr>
        <w:t>–</w:t>
      </w:r>
      <w:r w:rsidRPr="00E266CD">
        <w:rPr>
          <w:rFonts w:ascii="Garamond" w:eastAsia="Times New Roman" w:hAnsi="Garamond"/>
          <w:b/>
          <w:color w:val="000000" w:themeColor="text1"/>
          <w:sz w:val="24"/>
          <w:szCs w:val="24"/>
        </w:rPr>
        <w:t>2030.</w:t>
      </w:r>
      <w:r w:rsidRPr="00E266CD">
        <w:rPr>
          <w:rFonts w:ascii="Garamond" w:eastAsia="Times New Roman" w:hAnsi="Garamond"/>
          <w:color w:val="000000" w:themeColor="text1"/>
          <w:sz w:val="24"/>
          <w:szCs w:val="24"/>
        </w:rPr>
        <w:t xml:space="preserve"> Sipas Kontributit Kombëtar të Përcaktuar 2021</w:t>
      </w:r>
      <w:r w:rsidR="00943C73" w:rsidRPr="00E266CD">
        <w:rPr>
          <w:rFonts w:ascii="Garamond" w:eastAsia="Times New Roman" w:hAnsi="Garamond"/>
          <w:color w:val="000000" w:themeColor="text1"/>
          <w:sz w:val="24"/>
          <w:szCs w:val="24"/>
        </w:rPr>
        <w:t>–</w:t>
      </w:r>
      <w:r w:rsidRPr="00E266CD">
        <w:rPr>
          <w:rFonts w:ascii="Garamond" w:eastAsia="Times New Roman" w:hAnsi="Garamond"/>
          <w:color w:val="000000" w:themeColor="text1"/>
          <w:sz w:val="24"/>
          <w:szCs w:val="24"/>
        </w:rPr>
        <w:t xml:space="preserve">2030, për zhvillimin e ekonomisë </w:t>
      </w:r>
      <w:r w:rsidR="006B5A01" w:rsidRPr="00E266CD">
        <w:rPr>
          <w:rFonts w:ascii="Garamond" w:eastAsia="Times New Roman" w:hAnsi="Garamond"/>
          <w:color w:val="000000" w:themeColor="text1"/>
          <w:sz w:val="24"/>
          <w:szCs w:val="24"/>
        </w:rPr>
        <w:t>me karbon të ulët</w:t>
      </w:r>
      <w:r w:rsidRPr="00E266CD">
        <w:rPr>
          <w:rFonts w:ascii="Garamond" w:eastAsia="Times New Roman" w:hAnsi="Garamond"/>
          <w:color w:val="000000" w:themeColor="text1"/>
          <w:sz w:val="24"/>
          <w:szCs w:val="24"/>
        </w:rPr>
        <w:t>, do të nevojiten investime të rëndësishme dhe transferime teknologjike, në veçanti me teknologji të reja me karbon të ulët, në energjinë e rinovueshme, efic</w:t>
      </w:r>
      <w:r w:rsidR="000A23F0" w:rsidRPr="00E266CD">
        <w:rPr>
          <w:rFonts w:ascii="Garamond" w:eastAsia="Times New Roman" w:hAnsi="Garamond"/>
          <w:color w:val="000000" w:themeColor="text1"/>
          <w:sz w:val="24"/>
          <w:szCs w:val="24"/>
        </w:rPr>
        <w:t>i</w:t>
      </w:r>
      <w:r w:rsidRPr="00E266CD">
        <w:rPr>
          <w:rFonts w:ascii="Garamond" w:eastAsia="Times New Roman" w:hAnsi="Garamond"/>
          <w:color w:val="000000" w:themeColor="text1"/>
          <w:sz w:val="24"/>
          <w:szCs w:val="24"/>
        </w:rPr>
        <w:t>encën e energjisë dhe infrastrukturën e rrjetit. Përshtatja e infrastrukturës mbështetëse dhe mbrojtja e infrastrukturës së banesave dhe të asaj të prodhimit, akomodimit dhe të aseteve turistike nga faktorët klimatik</w:t>
      </w:r>
      <w:r w:rsidR="0091556F">
        <w:rPr>
          <w:rFonts w:ascii="Garamond" w:eastAsia="Times New Roman" w:hAnsi="Garamond"/>
          <w:color w:val="000000" w:themeColor="text1"/>
          <w:sz w:val="24"/>
          <w:szCs w:val="24"/>
        </w:rPr>
        <w:t>ë</w:t>
      </w:r>
      <w:r w:rsidRPr="00E266CD">
        <w:rPr>
          <w:rFonts w:ascii="Garamond" w:eastAsia="Times New Roman" w:hAnsi="Garamond"/>
          <w:color w:val="000000" w:themeColor="text1"/>
          <w:sz w:val="24"/>
          <w:szCs w:val="24"/>
        </w:rPr>
        <w:t xml:space="preserve"> do të ketë nevojë për akses në teknologji të reja.</w:t>
      </w:r>
    </w:p>
    <w:p w14:paraId="010C9EB6" w14:textId="1D2C90C3" w:rsidR="00F91888" w:rsidRPr="00E266CD" w:rsidRDefault="00F91888" w:rsidP="00F91888">
      <w:pPr>
        <w:shd w:val="clear" w:color="auto" w:fill="FFFFFF"/>
        <w:ind w:firstLine="284"/>
        <w:rPr>
          <w:rFonts w:ascii="Garamond" w:eastAsia="Times New Roman" w:hAnsi="Garamond"/>
          <w:color w:val="000000" w:themeColor="text1"/>
          <w:sz w:val="24"/>
          <w:szCs w:val="24"/>
        </w:rPr>
      </w:pPr>
      <w:r w:rsidRPr="00E266CD">
        <w:rPr>
          <w:rFonts w:ascii="Garamond" w:eastAsia="Times New Roman" w:hAnsi="Garamond"/>
          <w:color w:val="000000" w:themeColor="text1"/>
          <w:sz w:val="24"/>
          <w:szCs w:val="24"/>
        </w:rPr>
        <w:t>Agjencia Kombëtare e Mjedisit, institucion i varësisë së Ministrisë së Turizmit dhe Mjedisit</w:t>
      </w:r>
      <w:r w:rsidR="0091556F">
        <w:rPr>
          <w:rFonts w:ascii="Garamond" w:eastAsia="Times New Roman" w:hAnsi="Garamond"/>
          <w:color w:val="000000" w:themeColor="text1"/>
          <w:sz w:val="24"/>
          <w:szCs w:val="24"/>
        </w:rPr>
        <w:t>,</w:t>
      </w:r>
      <w:r w:rsidRPr="00E266CD">
        <w:rPr>
          <w:rFonts w:ascii="Garamond" w:eastAsia="Times New Roman" w:hAnsi="Garamond"/>
          <w:color w:val="000000" w:themeColor="text1"/>
          <w:sz w:val="24"/>
          <w:szCs w:val="24"/>
        </w:rPr>
        <w:t xml:space="preserve"> do të jetë pjesë e standardizimit të formateve për të dhënat nga institucionet kërkuese duke qenë se është një institucion i cili grumbullon dhe gjeneron të dhëna të cilat mund të përdoren për kërkim shkencor, inovacion dhe transferim teknologjik. </w:t>
      </w:r>
    </w:p>
    <w:p w14:paraId="5C3149DD" w14:textId="5589E96D" w:rsidR="00F91888" w:rsidRPr="00E266CD" w:rsidRDefault="00F91888" w:rsidP="00DF5F9A">
      <w:pPr>
        <w:pStyle w:val="TEKSTIIII"/>
        <w:rPr>
          <w:b/>
        </w:rPr>
      </w:pPr>
      <w:bookmarkStart w:id="12" w:name="_Toc135703133"/>
      <w:r w:rsidRPr="00E266CD">
        <w:rPr>
          <w:b/>
        </w:rPr>
        <w:t>Lidhja me PKIE &amp;</w:t>
      </w:r>
      <w:r w:rsidR="00E570A9">
        <w:rPr>
          <w:b/>
        </w:rPr>
        <w:t xml:space="preserve"> </w:t>
      </w:r>
      <w:r w:rsidR="00E570A9" w:rsidRPr="00E266CD">
        <w:rPr>
          <w:b/>
          <w:i/>
        </w:rPr>
        <w:t>acquis</w:t>
      </w:r>
      <w:r w:rsidR="00E570A9" w:rsidRPr="00E266CD">
        <w:rPr>
          <w:b/>
        </w:rPr>
        <w:t xml:space="preserve"> </w:t>
      </w:r>
      <w:r w:rsidRPr="00E266CD">
        <w:rPr>
          <w:b/>
        </w:rPr>
        <w:t>të BE-së</w:t>
      </w:r>
      <w:bookmarkEnd w:id="12"/>
    </w:p>
    <w:p w14:paraId="69EB8165" w14:textId="037689C9"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color w:val="000000" w:themeColor="text1"/>
          <w:sz w:val="24"/>
          <w:szCs w:val="24"/>
        </w:rPr>
        <w:t xml:space="preserve">Strategjia Kombëtare për Kërkimin Shkencor, Teknologjinë </w:t>
      </w:r>
      <w:r w:rsidRPr="00E266CD">
        <w:rPr>
          <w:rFonts w:ascii="Garamond" w:eastAsia="Times New Roman" w:hAnsi="Garamond"/>
          <w:sz w:val="24"/>
          <w:szCs w:val="24"/>
        </w:rPr>
        <w:t>dhe Inovacionin 2023</w:t>
      </w:r>
      <w:r w:rsidR="00430904" w:rsidRPr="00E266CD">
        <w:rPr>
          <w:rFonts w:ascii="Garamond" w:hAnsi="Garamond"/>
          <w:b/>
          <w:sz w:val="24"/>
        </w:rPr>
        <w:t>–</w:t>
      </w:r>
      <w:r w:rsidRPr="00E266CD">
        <w:rPr>
          <w:rFonts w:ascii="Garamond" w:eastAsia="Times New Roman" w:hAnsi="Garamond"/>
          <w:sz w:val="24"/>
          <w:szCs w:val="24"/>
        </w:rPr>
        <w:t xml:space="preserve">2030 synon të reflektojë standardet e parashikuara në </w:t>
      </w:r>
      <w:r w:rsidR="00E860F8" w:rsidRPr="00E266CD">
        <w:rPr>
          <w:rFonts w:ascii="Garamond" w:eastAsia="Times New Roman" w:hAnsi="Garamond"/>
          <w:b/>
          <w:sz w:val="24"/>
          <w:szCs w:val="24"/>
        </w:rPr>
        <w:t>k</w:t>
      </w:r>
      <w:r w:rsidRPr="00E266CD">
        <w:rPr>
          <w:rFonts w:ascii="Garamond" w:eastAsia="Times New Roman" w:hAnsi="Garamond"/>
          <w:b/>
          <w:sz w:val="24"/>
          <w:szCs w:val="24"/>
        </w:rPr>
        <w:t xml:space="preserve">apitullin 25 “Shkenca dhe </w:t>
      </w:r>
      <w:r w:rsidR="007E5DDC">
        <w:rPr>
          <w:rFonts w:ascii="Garamond" w:eastAsia="Times New Roman" w:hAnsi="Garamond"/>
          <w:b/>
          <w:sz w:val="24"/>
          <w:szCs w:val="24"/>
        </w:rPr>
        <w:t>k</w:t>
      </w:r>
      <w:r w:rsidRPr="00E266CD">
        <w:rPr>
          <w:rFonts w:ascii="Garamond" w:eastAsia="Times New Roman" w:hAnsi="Garamond"/>
          <w:b/>
          <w:sz w:val="24"/>
          <w:szCs w:val="24"/>
        </w:rPr>
        <w:t>ërkimi shkencor”</w:t>
      </w:r>
      <w:r w:rsidRPr="00E266CD">
        <w:rPr>
          <w:rFonts w:ascii="Garamond" w:eastAsia="Times New Roman" w:hAnsi="Garamond"/>
          <w:sz w:val="24"/>
          <w:szCs w:val="24"/>
        </w:rPr>
        <w:t xml:space="preserve">, si dhe lidhet drejtpërdrejtë me rritjen e kapaciteteve institucionale për të udhëhequr procesin e përafrimit të legjislacionit </w:t>
      </w:r>
      <w:r w:rsidRPr="00E266CD">
        <w:rPr>
          <w:rFonts w:ascii="Garamond" w:eastAsia="Times New Roman" w:hAnsi="Garamond"/>
          <w:color w:val="000000"/>
          <w:sz w:val="24"/>
          <w:szCs w:val="24"/>
        </w:rPr>
        <w:t xml:space="preserve">me </w:t>
      </w:r>
      <w:r w:rsidRPr="00E266CD">
        <w:rPr>
          <w:rFonts w:ascii="Garamond" w:eastAsia="Times New Roman" w:hAnsi="Garamond"/>
          <w:i/>
          <w:color w:val="000000"/>
          <w:sz w:val="24"/>
          <w:szCs w:val="24"/>
        </w:rPr>
        <w:t>acquis</w:t>
      </w:r>
      <w:r w:rsidRPr="00E266CD">
        <w:rPr>
          <w:rFonts w:ascii="Garamond" w:eastAsia="Times New Roman" w:hAnsi="Garamond"/>
          <w:color w:val="000000"/>
          <w:sz w:val="24"/>
          <w:szCs w:val="24"/>
        </w:rPr>
        <w:t xml:space="preserve"> </w:t>
      </w:r>
      <w:r w:rsidR="007E5DDC">
        <w:rPr>
          <w:rFonts w:ascii="Garamond" w:eastAsia="Times New Roman" w:hAnsi="Garamond"/>
          <w:color w:val="000000"/>
          <w:sz w:val="24"/>
          <w:szCs w:val="24"/>
        </w:rPr>
        <w:t>të</w:t>
      </w:r>
      <w:r w:rsidRPr="00E266CD">
        <w:rPr>
          <w:rFonts w:ascii="Garamond" w:eastAsia="Times New Roman" w:hAnsi="Garamond"/>
          <w:color w:val="000000"/>
          <w:sz w:val="24"/>
          <w:szCs w:val="24"/>
        </w:rPr>
        <w:t xml:space="preserve"> BE</w:t>
      </w:r>
      <w:r w:rsidR="007E5DDC">
        <w:rPr>
          <w:rFonts w:ascii="Garamond" w:eastAsia="Times New Roman" w:hAnsi="Garamond"/>
          <w:color w:val="000000"/>
          <w:sz w:val="24"/>
          <w:szCs w:val="24"/>
        </w:rPr>
        <w:t>-së</w:t>
      </w:r>
      <w:r w:rsidRPr="00E266CD">
        <w:rPr>
          <w:rFonts w:ascii="Garamond" w:eastAsia="Times New Roman" w:hAnsi="Garamond"/>
          <w:color w:val="000000"/>
          <w:sz w:val="24"/>
          <w:szCs w:val="24"/>
        </w:rPr>
        <w:t xml:space="preserve"> për këtë kapitull.</w:t>
      </w:r>
    </w:p>
    <w:p w14:paraId="0ACFEA65" w14:textId="736A2AF3"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Detyrimi i Shqipërisë për të ndërmarrë iniciativa politike, ligjore, institucionale dhe financiare në kapitullin 25, në mbështetje të konsolidimit të sistemit të kërkimit, rrjedh nga </w:t>
      </w:r>
      <w:r w:rsidR="007E5DDC">
        <w:rPr>
          <w:rFonts w:ascii="Garamond" w:eastAsia="Times New Roman" w:hAnsi="Garamond"/>
          <w:color w:val="000000"/>
          <w:sz w:val="24"/>
          <w:szCs w:val="24"/>
        </w:rPr>
        <w:t>n</w:t>
      </w:r>
      <w:r w:rsidRPr="00E266CD">
        <w:rPr>
          <w:rFonts w:ascii="Garamond" w:eastAsia="Times New Roman" w:hAnsi="Garamond"/>
          <w:color w:val="000000"/>
          <w:sz w:val="24"/>
          <w:szCs w:val="24"/>
        </w:rPr>
        <w:t>eni 109, i Marrëveshjes së Stabilizim-Asocimit (MSA), i cili përcakton shtyllat e bashkëpunimit ndërmjet Shqipërisë dhe Bashkimit Evropian në fushën e kërkimit shkencor dhe zhvillimit teknologjik (</w:t>
      </w:r>
      <w:r w:rsidR="007E5DDC">
        <w:rPr>
          <w:rFonts w:ascii="Garamond" w:eastAsia="Times New Roman" w:hAnsi="Garamond"/>
          <w:color w:val="000000"/>
          <w:sz w:val="24"/>
          <w:szCs w:val="24"/>
        </w:rPr>
        <w:t>t</w:t>
      </w:r>
      <w:r w:rsidRPr="00E266CD">
        <w:rPr>
          <w:rFonts w:ascii="Garamond" w:eastAsia="Times New Roman" w:hAnsi="Garamond"/>
          <w:color w:val="000000"/>
          <w:sz w:val="24"/>
          <w:szCs w:val="24"/>
        </w:rPr>
        <w:t xml:space="preserve">itulli VIII - Politikat e </w:t>
      </w:r>
      <w:r w:rsidR="007E5DDC" w:rsidRPr="00E266CD">
        <w:rPr>
          <w:rFonts w:ascii="Garamond" w:eastAsia="Times New Roman" w:hAnsi="Garamond"/>
          <w:color w:val="000000"/>
          <w:sz w:val="24"/>
          <w:szCs w:val="24"/>
        </w:rPr>
        <w:t>bashkëpunimit/bashkëpunimit për kërkimin dhe zhvillimin tekno</w:t>
      </w:r>
      <w:r w:rsidRPr="00E266CD">
        <w:rPr>
          <w:rFonts w:ascii="Garamond" w:eastAsia="Times New Roman" w:hAnsi="Garamond"/>
          <w:color w:val="000000"/>
          <w:sz w:val="24"/>
          <w:szCs w:val="24"/>
        </w:rPr>
        <w:t xml:space="preserve">logjik). </w:t>
      </w:r>
    </w:p>
    <w:p w14:paraId="655FCAFA" w14:textId="1B89AF66"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Në zbatim të metodologjisë së përcaktuar, kapitulli 25 përmban: - Financimin e programit buxhetor për kërkimin shkencor në kuadrin e Arsimit të lartë</w:t>
      </w:r>
      <w:r w:rsidR="007E5DD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 Performancën e Shqipërisë në programet kombëtare dhe ndërkombëtare të kërkimit shkencor (veçanërisht në programin kuadër H2020)</w:t>
      </w:r>
      <w:r w:rsidR="007E5DD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 Strategjinë e Specializimit të Zgjuar, ecuria gjatë 2021</w:t>
      </w:r>
      <w:r w:rsidR="007E5DD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 Politikën e Shkencës së Hapur (</w:t>
      </w:r>
      <w:r w:rsidRPr="00E266CD">
        <w:rPr>
          <w:rFonts w:ascii="Garamond" w:hAnsi="Garamond"/>
          <w:i/>
          <w:color w:val="000000"/>
          <w:sz w:val="24"/>
        </w:rPr>
        <w:t>Open Science</w:t>
      </w:r>
      <w:r w:rsidRPr="00E266CD">
        <w:rPr>
          <w:rFonts w:ascii="Garamond" w:eastAsia="Times New Roman" w:hAnsi="Garamond"/>
          <w:color w:val="000000"/>
          <w:sz w:val="24"/>
          <w:szCs w:val="24"/>
        </w:rPr>
        <w:t xml:space="preserve">). </w:t>
      </w:r>
    </w:p>
    <w:p w14:paraId="26FAD20E" w14:textId="08515196" w:rsidR="00F91888" w:rsidRPr="007E5DDC"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Plani Kombëtar për Integrimin Evropian 2022</w:t>
      </w:r>
      <w:r w:rsidR="00430904" w:rsidRPr="00E266CD">
        <w:rPr>
          <w:rFonts w:ascii="Garamond" w:hAnsi="Garamond"/>
          <w:sz w:val="24"/>
        </w:rPr>
        <w:t>–</w:t>
      </w:r>
      <w:r w:rsidRPr="00E266CD">
        <w:rPr>
          <w:rFonts w:ascii="Garamond" w:eastAsia="Times New Roman" w:hAnsi="Garamond"/>
          <w:sz w:val="24"/>
          <w:szCs w:val="24"/>
        </w:rPr>
        <w:t>2024 rendit</w:t>
      </w:r>
      <w:r w:rsidR="007E5DDC">
        <w:rPr>
          <w:rFonts w:ascii="Garamond" w:eastAsia="Times New Roman" w:hAnsi="Garamond"/>
          <w:sz w:val="24"/>
          <w:szCs w:val="24"/>
        </w:rPr>
        <w:t>,</w:t>
      </w:r>
      <w:r w:rsidRPr="00E266CD">
        <w:rPr>
          <w:rFonts w:ascii="Garamond" w:eastAsia="Times New Roman" w:hAnsi="Garamond"/>
          <w:sz w:val="24"/>
          <w:szCs w:val="24"/>
        </w:rPr>
        <w:t xml:space="preserve"> ndër arritjet kryesore për </w:t>
      </w:r>
      <w:r w:rsidR="007E5DDC">
        <w:rPr>
          <w:rFonts w:ascii="Garamond" w:eastAsia="Times New Roman" w:hAnsi="Garamond"/>
          <w:sz w:val="24"/>
          <w:szCs w:val="24"/>
        </w:rPr>
        <w:t>k</w:t>
      </w:r>
      <w:r w:rsidRPr="00E266CD">
        <w:rPr>
          <w:rFonts w:ascii="Garamond" w:eastAsia="Times New Roman" w:hAnsi="Garamond"/>
          <w:sz w:val="24"/>
          <w:szCs w:val="24"/>
        </w:rPr>
        <w:t>apitullin 25</w:t>
      </w:r>
      <w:r w:rsidR="007E5DDC">
        <w:rPr>
          <w:rFonts w:ascii="Garamond" w:eastAsia="Times New Roman" w:hAnsi="Garamond"/>
          <w:sz w:val="24"/>
          <w:szCs w:val="24"/>
        </w:rPr>
        <w:t>,</w:t>
      </w:r>
      <w:r w:rsidRPr="00E266CD">
        <w:rPr>
          <w:rFonts w:ascii="Garamond" w:eastAsia="Times New Roman" w:hAnsi="Garamond"/>
          <w:sz w:val="24"/>
          <w:szCs w:val="24"/>
        </w:rPr>
        <w:t xml:space="preserve"> “Shkenca dhe </w:t>
      </w:r>
      <w:r w:rsidR="007E5DDC">
        <w:rPr>
          <w:rFonts w:ascii="Garamond" w:eastAsia="Times New Roman" w:hAnsi="Garamond"/>
          <w:sz w:val="24"/>
          <w:szCs w:val="24"/>
        </w:rPr>
        <w:t>k</w:t>
      </w:r>
      <w:r w:rsidRPr="00E266CD">
        <w:rPr>
          <w:rFonts w:ascii="Garamond" w:eastAsia="Times New Roman" w:hAnsi="Garamond"/>
          <w:sz w:val="24"/>
          <w:szCs w:val="24"/>
        </w:rPr>
        <w:t>ërkimi”</w:t>
      </w:r>
      <w:r w:rsidR="007E5DDC">
        <w:rPr>
          <w:rFonts w:ascii="Garamond" w:eastAsia="Times New Roman" w:hAnsi="Garamond"/>
          <w:sz w:val="24"/>
          <w:szCs w:val="24"/>
        </w:rPr>
        <w:t>,</w:t>
      </w:r>
      <w:r w:rsidRPr="00E266CD">
        <w:rPr>
          <w:rFonts w:ascii="Garamond" w:eastAsia="Times New Roman" w:hAnsi="Garamond"/>
          <w:sz w:val="24"/>
          <w:szCs w:val="24"/>
        </w:rPr>
        <w:t xml:space="preserve"> </w:t>
      </w:r>
      <w:r w:rsidRPr="00E266CD">
        <w:rPr>
          <w:rFonts w:ascii="Garamond" w:eastAsia="Times New Roman" w:hAnsi="Garamond"/>
          <w:iCs/>
          <w:sz w:val="24"/>
          <w:szCs w:val="24"/>
        </w:rPr>
        <w:t>për vitin 2021</w:t>
      </w:r>
      <w:r w:rsidRPr="00E266CD">
        <w:rPr>
          <w:rFonts w:ascii="Garamond" w:eastAsia="Times New Roman" w:hAnsi="Garamond"/>
          <w:bCs/>
          <w:iCs/>
          <w:sz w:val="24"/>
          <w:szCs w:val="24"/>
        </w:rPr>
        <w:t>:</w:t>
      </w:r>
    </w:p>
    <w:p w14:paraId="7F5938E0" w14:textId="6D8E5372" w:rsidR="00F91888" w:rsidRPr="00E266CD" w:rsidRDefault="00DF5F9A" w:rsidP="00DF5F9A">
      <w:pPr>
        <w:pStyle w:val="TEKSTIIII"/>
      </w:pPr>
      <w:r w:rsidRPr="00E266CD">
        <w:t xml:space="preserve">- </w:t>
      </w:r>
      <w:r w:rsidR="00F91888" w:rsidRPr="00E266CD">
        <w:t>Ecuria me përgatitjen e Strategjisë së Specializimit të Zgjuar</w:t>
      </w:r>
      <w:r w:rsidR="00430904" w:rsidRPr="00E266CD">
        <w:t>;</w:t>
      </w:r>
    </w:p>
    <w:p w14:paraId="1CE7E8C1" w14:textId="32B390EE" w:rsidR="00F91888" w:rsidRPr="00E266CD" w:rsidRDefault="00DF5F9A" w:rsidP="00DF5F9A">
      <w:pPr>
        <w:pStyle w:val="TEKSTIIII"/>
      </w:pPr>
      <w:r w:rsidRPr="00E266CD">
        <w:t xml:space="preserve">- </w:t>
      </w:r>
      <w:r w:rsidR="00F91888" w:rsidRPr="00E266CD">
        <w:t>Rritja e buxhetit për kërkimin shkencor;</w:t>
      </w:r>
    </w:p>
    <w:p w14:paraId="07D905DD" w14:textId="77777777" w:rsidR="00F91888" w:rsidRPr="00E266CD" w:rsidRDefault="00DF5F9A" w:rsidP="00DF5F9A">
      <w:pPr>
        <w:pStyle w:val="TEKSTIIII"/>
      </w:pPr>
      <w:r w:rsidRPr="00E266CD">
        <w:t xml:space="preserve">- </w:t>
      </w:r>
      <w:r w:rsidR="00F91888" w:rsidRPr="00E266CD">
        <w:t>Përmirësimi i infrastrukturës së kërkimit shkencor si rezultat i masave në kuadër të “Paktit për Universitetin”;</w:t>
      </w:r>
    </w:p>
    <w:p w14:paraId="2BC2A948" w14:textId="2DCBBF19" w:rsidR="00F91888" w:rsidRPr="00E266CD" w:rsidRDefault="00DF5F9A" w:rsidP="00DF5F9A">
      <w:pPr>
        <w:pStyle w:val="TEKSTIIII"/>
      </w:pPr>
      <w:r w:rsidRPr="00E266CD">
        <w:t xml:space="preserve">- </w:t>
      </w:r>
      <w:r w:rsidR="00F91888" w:rsidRPr="00E266CD">
        <w:t>Ndërtimi i anketës dhe marrja e informacionit mbi disa indikatorë dhe prodhimin e statistikave të fushës së kërkimit shkencor dhe inovacionit;</w:t>
      </w:r>
    </w:p>
    <w:p w14:paraId="65E4F942" w14:textId="6B1EDFDE" w:rsidR="00F91888" w:rsidRPr="00E266CD" w:rsidRDefault="00DF5F9A" w:rsidP="00DF5F9A">
      <w:pPr>
        <w:pStyle w:val="TEKSTIIII"/>
      </w:pPr>
      <w:r w:rsidRPr="00E266CD">
        <w:t xml:space="preserve">- </w:t>
      </w:r>
      <w:r w:rsidR="00F91888" w:rsidRPr="00E266CD">
        <w:t xml:space="preserve">Përmirësimi i kuadrit rregullator të vlerësimit të cilësisë së kërkimit shkencor, nëpërmjet VKM-së nr. 165, datë 21.3.2018, </w:t>
      </w:r>
      <w:r w:rsidR="007E5DDC">
        <w:t>të</w:t>
      </w:r>
      <w:r w:rsidR="00F91888" w:rsidRPr="00E266CD">
        <w:t xml:space="preserve"> ndryshuar. Në MAS është ngritur një grup pune për të siguruar informacionin e institucioneve të arsimit të lartë i cili do të shërbejë si bazë kombëtare të dhënash për këtë sistem.</w:t>
      </w:r>
    </w:p>
    <w:p w14:paraId="1C3B4B78" w14:textId="193CFD6F"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Ndërkohë që për vitin 2022, Plani Kombëtar për Integrimin Evropian 2022</w:t>
      </w:r>
      <w:r w:rsidR="00430904" w:rsidRPr="00E266CD">
        <w:rPr>
          <w:rFonts w:ascii="Garamond" w:hAnsi="Garamond"/>
          <w:b/>
          <w:sz w:val="24"/>
        </w:rPr>
        <w:t>–</w:t>
      </w:r>
      <w:r w:rsidRPr="00E266CD">
        <w:rPr>
          <w:rFonts w:ascii="Garamond" w:eastAsia="Times New Roman" w:hAnsi="Garamond"/>
          <w:sz w:val="24"/>
          <w:szCs w:val="24"/>
        </w:rPr>
        <w:t>2024, bazuar edhe në rekomandimet e Raportit të Komisionit Evropian për Shqipërinë</w:t>
      </w:r>
      <w:r w:rsidR="005E38FB">
        <w:rPr>
          <w:rFonts w:ascii="Garamond" w:eastAsia="Times New Roman" w:hAnsi="Garamond"/>
          <w:sz w:val="24"/>
          <w:szCs w:val="24"/>
        </w:rPr>
        <w:t>,</w:t>
      </w:r>
      <w:r w:rsidRPr="00E266CD">
        <w:rPr>
          <w:rFonts w:ascii="Garamond" w:eastAsia="Times New Roman" w:hAnsi="Garamond"/>
          <w:sz w:val="24"/>
          <w:szCs w:val="24"/>
        </w:rPr>
        <w:t xml:space="preserve"> për vitin 2021</w:t>
      </w:r>
      <w:r w:rsidR="005E38FB">
        <w:rPr>
          <w:rFonts w:ascii="Garamond" w:eastAsia="Times New Roman" w:hAnsi="Garamond"/>
          <w:sz w:val="24"/>
          <w:szCs w:val="24"/>
        </w:rPr>
        <w:t>,</w:t>
      </w:r>
      <w:r w:rsidRPr="00E266CD">
        <w:rPr>
          <w:rFonts w:ascii="Garamond" w:eastAsia="Times New Roman" w:hAnsi="Garamond"/>
          <w:sz w:val="24"/>
          <w:szCs w:val="24"/>
        </w:rPr>
        <w:t xml:space="preserve"> rendit si prioritete për </w:t>
      </w:r>
      <w:r w:rsidR="00E860F8" w:rsidRPr="00E266CD">
        <w:rPr>
          <w:rFonts w:ascii="Garamond" w:eastAsia="Times New Roman" w:hAnsi="Garamond"/>
          <w:sz w:val="24"/>
          <w:szCs w:val="24"/>
        </w:rPr>
        <w:t>k</w:t>
      </w:r>
      <w:r w:rsidRPr="00E266CD">
        <w:rPr>
          <w:rFonts w:ascii="Garamond" w:eastAsia="Times New Roman" w:hAnsi="Garamond"/>
          <w:sz w:val="24"/>
          <w:szCs w:val="24"/>
        </w:rPr>
        <w:t xml:space="preserve">apitullin 25 “Shkenca dhe </w:t>
      </w:r>
      <w:r w:rsidR="005E38FB">
        <w:rPr>
          <w:rFonts w:ascii="Garamond" w:eastAsia="Times New Roman" w:hAnsi="Garamond"/>
          <w:sz w:val="24"/>
          <w:szCs w:val="24"/>
        </w:rPr>
        <w:t>k</w:t>
      </w:r>
      <w:r w:rsidRPr="00E266CD">
        <w:rPr>
          <w:rFonts w:ascii="Garamond" w:eastAsia="Times New Roman" w:hAnsi="Garamond"/>
          <w:sz w:val="24"/>
          <w:szCs w:val="24"/>
        </w:rPr>
        <w:t xml:space="preserve">ërkimi”: </w:t>
      </w:r>
    </w:p>
    <w:p w14:paraId="29CB030D" w14:textId="1D15B9CF" w:rsidR="00F91888" w:rsidRPr="00E266CD" w:rsidRDefault="00A66F5C" w:rsidP="00A66F5C">
      <w:pPr>
        <w:pStyle w:val="TEKSTIIII"/>
      </w:pPr>
      <w:r w:rsidRPr="00E266CD">
        <w:t xml:space="preserve">- </w:t>
      </w:r>
      <w:r w:rsidR="00F91888" w:rsidRPr="00E266CD">
        <w:t xml:space="preserve">Financimin e </w:t>
      </w:r>
      <w:r w:rsidR="005E38FB" w:rsidRPr="00E266CD">
        <w:t>programeve kombëtare/ndërkombëtare të bashkëpunimit shkencor e teknologjik të mbështetura fin</w:t>
      </w:r>
      <w:r w:rsidR="00F91888" w:rsidRPr="00E266CD">
        <w:t>anciarisht</w:t>
      </w:r>
      <w:r w:rsidR="005E38FB">
        <w:t>;</w:t>
      </w:r>
    </w:p>
    <w:p w14:paraId="6C40D5FF" w14:textId="44AD8C17" w:rsidR="00F91888" w:rsidRPr="00E266CD" w:rsidRDefault="00A66F5C" w:rsidP="00A66F5C">
      <w:pPr>
        <w:pStyle w:val="TEKSTIIII"/>
      </w:pPr>
      <w:r w:rsidRPr="00E266CD">
        <w:t xml:space="preserve">- </w:t>
      </w:r>
      <w:r w:rsidR="00F91888" w:rsidRPr="00E266CD">
        <w:t>Nxitjen e punës kërkimore në IAL-të publike</w:t>
      </w:r>
      <w:r w:rsidR="005E38FB">
        <w:t>,</w:t>
      </w:r>
      <w:r w:rsidR="00F91888" w:rsidRPr="00E266CD">
        <w:t xml:space="preserve"> nëpërmjet financimit të drejtpërdrejtë të 3,500 kërkuesve, ku prioritet kanë gratë dhe vajzat</w:t>
      </w:r>
      <w:r w:rsidR="005E38FB">
        <w:t>;</w:t>
      </w:r>
    </w:p>
    <w:p w14:paraId="0E5E9465" w14:textId="5136E844" w:rsidR="00F91888" w:rsidRPr="00E266CD" w:rsidRDefault="00A66F5C" w:rsidP="00A66F5C">
      <w:pPr>
        <w:pStyle w:val="TEKSTIIII"/>
      </w:pPr>
      <w:r w:rsidRPr="00E266CD">
        <w:t xml:space="preserve">- </w:t>
      </w:r>
      <w:r w:rsidR="00F91888" w:rsidRPr="00E266CD">
        <w:t xml:space="preserve">Projekte bashkëpunimi të institucioneve të arsimit të lartë me biznesin privat në </w:t>
      </w:r>
      <w:r w:rsidR="005E38FB" w:rsidRPr="00E266CD">
        <w:t>programet kombëtare të kërkimit dhe zhvillimit, programet kombëtare dhe ndërkombëtar</w:t>
      </w:r>
      <w:r w:rsidR="00F91888" w:rsidRPr="00E266CD">
        <w:t>e. Zgjerimi i bashkëpunimit të institucioneve të arsimit të lartë me biznesin privat</w:t>
      </w:r>
      <w:r w:rsidR="005E38FB">
        <w:t>;</w:t>
      </w:r>
    </w:p>
    <w:p w14:paraId="5D6FAACD" w14:textId="59DE243D" w:rsidR="00F91888" w:rsidRPr="00E266CD" w:rsidRDefault="00A66F5C" w:rsidP="00A66F5C">
      <w:pPr>
        <w:pStyle w:val="TEKSTIIII"/>
      </w:pPr>
      <w:r w:rsidRPr="00E266CD">
        <w:t xml:space="preserve">- </w:t>
      </w:r>
      <w:r w:rsidR="00F91888" w:rsidRPr="00E266CD">
        <w:t xml:space="preserve">Fonde për pjesëmarrjen në marrëveshjen kuadër të </w:t>
      </w:r>
      <w:r w:rsidR="005E38FB">
        <w:t>p</w:t>
      </w:r>
      <w:r w:rsidR="00F91888" w:rsidRPr="00E266CD">
        <w:t xml:space="preserve">rogrameve të BE-së për </w:t>
      </w:r>
      <w:r w:rsidR="005E38FB" w:rsidRPr="00E266CD">
        <w:t xml:space="preserve">kërkim dhe inovacion, pjesëmarrje që premton arritje të mëdha në kërkimin </w:t>
      </w:r>
      <w:r w:rsidR="00F91888" w:rsidRPr="00E266CD">
        <w:t>shkencor dhe synon sigurimin e konkur</w:t>
      </w:r>
      <w:r w:rsidR="000A23F0" w:rsidRPr="00E266CD">
        <w:t>r</w:t>
      </w:r>
      <w:r w:rsidR="00F91888" w:rsidRPr="00E266CD">
        <w:t>ueshmërisë</w:t>
      </w:r>
      <w:r w:rsidR="005E38FB">
        <w:t>;</w:t>
      </w:r>
    </w:p>
    <w:p w14:paraId="1FF85896" w14:textId="539D3E15" w:rsidR="00F91888" w:rsidRPr="00E266CD" w:rsidRDefault="00A66F5C" w:rsidP="00A66F5C">
      <w:pPr>
        <w:pStyle w:val="TEKSTIIII"/>
      </w:pPr>
      <w:r w:rsidRPr="00E266CD">
        <w:t xml:space="preserve">- </w:t>
      </w:r>
      <w:r w:rsidR="00F91888" w:rsidRPr="00E266CD">
        <w:t>Fonde grant për pjesëmarrje m</w:t>
      </w:r>
      <w:r w:rsidR="005E38FB">
        <w:t>ë</w:t>
      </w:r>
      <w:r w:rsidR="00F91888" w:rsidRPr="00E266CD">
        <w:t xml:space="preserve"> të drejtë dhe të plotë të Republikës së Shqipërisë në programin Erasmus+, programi i BE-së për arsimin, trajnimin, rininë dhe sportin, propozuar nga Komisioni Evropian, që synon të nxisë modernizimin e sistemeve arsimore me 20 milion</w:t>
      </w:r>
      <w:r w:rsidR="001A6119">
        <w:t>ë</w:t>
      </w:r>
      <w:r w:rsidR="00F91888" w:rsidRPr="00E266CD">
        <w:t xml:space="preserve"> lekë në vit</w:t>
      </w:r>
      <w:r w:rsidR="005E38FB">
        <w:t>;</w:t>
      </w:r>
    </w:p>
    <w:p w14:paraId="156B2B5E" w14:textId="1714815C" w:rsidR="00F91888" w:rsidRPr="00E266CD" w:rsidRDefault="00A66F5C" w:rsidP="00F91888">
      <w:pPr>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 </w:t>
      </w:r>
      <w:r w:rsidR="00F91888" w:rsidRPr="00E266CD">
        <w:rPr>
          <w:rFonts w:ascii="Garamond" w:eastAsia="Times New Roman" w:hAnsi="Garamond"/>
          <w:color w:val="000000"/>
          <w:sz w:val="24"/>
          <w:szCs w:val="24"/>
        </w:rPr>
        <w:t>Granti i punës kërkimore-shkencore dhe veprimtarive krijuese, ku janë parashikuar 1 miliard e 50 milion</w:t>
      </w:r>
      <w:r w:rsidR="005E38FB">
        <w:rPr>
          <w:rFonts w:ascii="Garamond" w:eastAsia="Times New Roman" w:hAnsi="Garamond"/>
          <w:color w:val="000000"/>
          <w:sz w:val="24"/>
          <w:szCs w:val="24"/>
        </w:rPr>
        <w:t>ë</w:t>
      </w:r>
      <w:r w:rsidR="00F91888" w:rsidRPr="00E266CD">
        <w:rPr>
          <w:rFonts w:ascii="Garamond" w:eastAsia="Times New Roman" w:hAnsi="Garamond"/>
          <w:color w:val="000000"/>
          <w:sz w:val="24"/>
          <w:szCs w:val="24"/>
        </w:rPr>
        <w:t xml:space="preserve"> lekë me një fond vjetor prej 250 milion</w:t>
      </w:r>
      <w:r w:rsidR="00E860F8" w:rsidRPr="00E266CD">
        <w:rPr>
          <w:rFonts w:ascii="Garamond" w:eastAsia="Times New Roman" w:hAnsi="Garamond"/>
          <w:color w:val="000000"/>
          <w:sz w:val="24"/>
          <w:szCs w:val="24"/>
        </w:rPr>
        <w:t>ë</w:t>
      </w:r>
      <w:r w:rsidR="00F91888" w:rsidRPr="00E266CD">
        <w:rPr>
          <w:rFonts w:ascii="Garamond" w:eastAsia="Times New Roman" w:hAnsi="Garamond"/>
          <w:color w:val="000000"/>
          <w:sz w:val="24"/>
          <w:szCs w:val="24"/>
        </w:rPr>
        <w:t xml:space="preserve"> lekë në vit.</w:t>
      </w:r>
    </w:p>
    <w:p w14:paraId="4B6B6374" w14:textId="66108141" w:rsidR="00F91888" w:rsidRPr="00E266CD" w:rsidRDefault="00F91888" w:rsidP="00A66F5C">
      <w:pPr>
        <w:pStyle w:val="TEKSTIIII"/>
        <w:rPr>
          <w:b/>
        </w:rPr>
      </w:pPr>
      <w:bookmarkStart w:id="13" w:name="_Toc135703134"/>
      <w:r w:rsidRPr="00E266CD">
        <w:rPr>
          <w:b/>
        </w:rPr>
        <w:t xml:space="preserve">Lidhja me </w:t>
      </w:r>
      <w:r w:rsidR="005E38FB" w:rsidRPr="00E266CD">
        <w:rPr>
          <w:b/>
        </w:rPr>
        <w:t xml:space="preserve">objektivat e zhvillimit të qëndrueshëm </w:t>
      </w:r>
      <w:r w:rsidRPr="00E266CD">
        <w:rPr>
          <w:b/>
        </w:rPr>
        <w:t>(OZHQ)</w:t>
      </w:r>
      <w:bookmarkEnd w:id="13"/>
    </w:p>
    <w:p w14:paraId="71D33CB8" w14:textId="037F2484"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 xml:space="preserve">Strategjia Kombëtare për Kërkimin Shkencor, </w:t>
      </w:r>
      <w:r w:rsidRPr="00E266CD">
        <w:rPr>
          <w:rFonts w:ascii="Garamond" w:eastAsia="Times New Roman" w:hAnsi="Garamond"/>
          <w:sz w:val="24"/>
          <w:szCs w:val="24"/>
        </w:rPr>
        <w:t>Teknologjinë</w:t>
      </w:r>
      <w:r w:rsidRPr="00E266CD">
        <w:rPr>
          <w:rFonts w:ascii="Garamond" w:eastAsia="Times New Roman" w:hAnsi="Garamond"/>
          <w:color w:val="000000"/>
          <w:sz w:val="24"/>
          <w:szCs w:val="24"/>
        </w:rPr>
        <w:t xml:space="preserve"> dhe Inovacionin 2023</w:t>
      </w:r>
      <w:r w:rsidR="00430904" w:rsidRPr="00E266CD">
        <w:rPr>
          <w:rFonts w:ascii="Garamond" w:hAnsi="Garamond"/>
          <w:sz w:val="24"/>
        </w:rPr>
        <w:t>–</w:t>
      </w:r>
      <w:r w:rsidRPr="00E266CD">
        <w:rPr>
          <w:rFonts w:ascii="Garamond" w:eastAsia="Times New Roman" w:hAnsi="Garamond"/>
          <w:color w:val="000000"/>
          <w:sz w:val="24"/>
          <w:szCs w:val="24"/>
        </w:rPr>
        <w:t>2030 reflekton qëllimet dhe objektivat e hartuara në kuadër të OZHQ 9 “</w:t>
      </w:r>
      <w:r w:rsidRPr="005E38FB">
        <w:rPr>
          <w:rFonts w:ascii="Garamond" w:eastAsia="Times New Roman" w:hAnsi="Garamond"/>
          <w:sz w:val="24"/>
          <w:szCs w:val="24"/>
        </w:rPr>
        <w:t xml:space="preserve">Industri, </w:t>
      </w:r>
      <w:r w:rsidR="005E38FB">
        <w:rPr>
          <w:rFonts w:ascii="Garamond" w:eastAsia="Times New Roman" w:hAnsi="Garamond"/>
          <w:sz w:val="24"/>
          <w:szCs w:val="24"/>
        </w:rPr>
        <w:t>i</w:t>
      </w:r>
      <w:r w:rsidRPr="005E38FB">
        <w:rPr>
          <w:rFonts w:ascii="Garamond" w:eastAsia="Times New Roman" w:hAnsi="Garamond"/>
          <w:sz w:val="24"/>
          <w:szCs w:val="24"/>
        </w:rPr>
        <w:t>novacion dhe</w:t>
      </w:r>
      <w:r w:rsidRPr="00E266CD">
        <w:rPr>
          <w:rFonts w:ascii="Garamond" w:eastAsia="Times New Roman" w:hAnsi="Garamond"/>
          <w:b/>
          <w:sz w:val="24"/>
          <w:szCs w:val="24"/>
        </w:rPr>
        <w:t xml:space="preserve"> </w:t>
      </w:r>
      <w:r w:rsidR="005E38FB">
        <w:rPr>
          <w:rFonts w:ascii="Garamond" w:eastAsia="Times New Roman" w:hAnsi="Garamond"/>
          <w:sz w:val="24"/>
          <w:szCs w:val="24"/>
        </w:rPr>
        <w:t>i</w:t>
      </w:r>
      <w:r w:rsidRPr="00E266CD">
        <w:rPr>
          <w:rFonts w:ascii="Garamond" w:eastAsia="Times New Roman" w:hAnsi="Garamond"/>
          <w:sz w:val="24"/>
          <w:szCs w:val="24"/>
        </w:rPr>
        <w:t>nfrastrukturë”,</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sipas</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të cilit shtetet janë zotuar të ndërtojnë një infrastruktur</w:t>
      </w:r>
      <w:r w:rsidR="005E38FB">
        <w:rPr>
          <w:rFonts w:ascii="Garamond" w:eastAsia="Times New Roman" w:hAnsi="Garamond"/>
          <w:sz w:val="24"/>
          <w:szCs w:val="24"/>
        </w:rPr>
        <w:t>ë</w:t>
      </w:r>
      <w:r w:rsidRPr="00E266CD">
        <w:rPr>
          <w:rFonts w:ascii="Garamond" w:eastAsia="Times New Roman" w:hAnsi="Garamond"/>
          <w:sz w:val="24"/>
          <w:szCs w:val="24"/>
        </w:rPr>
        <w:t xml:space="preserve"> elastike, të promovojnë industrializimin e qëndrueshëm dhe gjithëpërfshirës dhe të nxisin inovacionin</w:t>
      </w:r>
      <w:r w:rsidRPr="00E266CD">
        <w:rPr>
          <w:rFonts w:ascii="Garamond" w:eastAsia="Times New Roman" w:hAnsi="Garamond"/>
          <w:color w:val="000000"/>
          <w:sz w:val="24"/>
          <w:szCs w:val="24"/>
        </w:rPr>
        <w:t>.</w:t>
      </w:r>
    </w:p>
    <w:p w14:paraId="4FCD480B" w14:textId="61A279BE"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color w:val="000000"/>
          <w:sz w:val="24"/>
          <w:szCs w:val="24"/>
        </w:rPr>
        <w:t xml:space="preserve">Në </w:t>
      </w:r>
      <w:r w:rsidR="00430904" w:rsidRPr="00E266CD">
        <w:rPr>
          <w:rFonts w:ascii="Garamond" w:eastAsia="Times New Roman" w:hAnsi="Garamond"/>
          <w:color w:val="000000"/>
          <w:sz w:val="24"/>
          <w:szCs w:val="24"/>
        </w:rPr>
        <w:t>ve</w:t>
      </w:r>
      <w:r w:rsidR="00430904" w:rsidRPr="00E266CD">
        <w:rPr>
          <w:rFonts w:ascii="Cambria" w:eastAsia="Times New Roman" w:hAnsi="Cambria" w:cs="Cambria"/>
          <w:color w:val="000000"/>
          <w:sz w:val="24"/>
          <w:szCs w:val="24"/>
        </w:rPr>
        <w:t>ç</w:t>
      </w:r>
      <w:r w:rsidR="00430904" w:rsidRPr="00E266CD">
        <w:rPr>
          <w:rFonts w:ascii="Garamond" w:eastAsia="Times New Roman" w:hAnsi="Garamond"/>
          <w:color w:val="000000"/>
          <w:sz w:val="24"/>
          <w:szCs w:val="24"/>
        </w:rPr>
        <w:t>anti</w:t>
      </w:r>
      <w:r w:rsidRPr="00E266CD">
        <w:rPr>
          <w:rFonts w:ascii="Garamond" w:eastAsia="Times New Roman" w:hAnsi="Garamond"/>
          <w:color w:val="000000"/>
          <w:sz w:val="24"/>
          <w:szCs w:val="24"/>
        </w:rPr>
        <w:t>, ky dokument strategjik reflekton synimet 9.5 t</w:t>
      </w:r>
      <w:r w:rsidRPr="00E266CD">
        <w:rPr>
          <w:rFonts w:ascii="Garamond" w:eastAsia="Times New Roman" w:hAnsi="Garamond" w:cs="Garamond"/>
          <w:color w:val="000000"/>
          <w:sz w:val="24"/>
          <w:szCs w:val="24"/>
        </w:rPr>
        <w:t>ë</w:t>
      </w:r>
      <w:r w:rsidRPr="00E266CD">
        <w:rPr>
          <w:rFonts w:ascii="Garamond" w:eastAsia="Times New Roman" w:hAnsi="Garamond"/>
          <w:color w:val="000000"/>
          <w:sz w:val="24"/>
          <w:szCs w:val="24"/>
        </w:rPr>
        <w:t xml:space="preserve"> OZHQ 9, n</w:t>
      </w:r>
      <w:r w:rsidRPr="00E266CD">
        <w:rPr>
          <w:rFonts w:ascii="Garamond" w:eastAsia="Times New Roman" w:hAnsi="Garamond" w:cs="Garamond"/>
          <w:color w:val="000000"/>
          <w:sz w:val="24"/>
          <w:szCs w:val="24"/>
        </w:rPr>
        <w:t>ë</w:t>
      </w:r>
      <w:r w:rsidRPr="00E266CD">
        <w:rPr>
          <w:rFonts w:ascii="Garamond" w:eastAsia="Times New Roman" w:hAnsi="Garamond"/>
          <w:color w:val="000000"/>
          <w:sz w:val="24"/>
          <w:szCs w:val="24"/>
        </w:rPr>
        <w:t xml:space="preserve"> kontekstin e </w:t>
      </w:r>
      <w:r w:rsidR="005E38FB" w:rsidRPr="00E266CD">
        <w:rPr>
          <w:rFonts w:ascii="Garamond" w:eastAsia="Times New Roman" w:hAnsi="Garamond"/>
          <w:color w:val="000000"/>
          <w:sz w:val="24"/>
          <w:szCs w:val="24"/>
        </w:rPr>
        <w:t>objektivave t</w:t>
      </w:r>
      <w:r w:rsidR="005E38FB" w:rsidRPr="00E266CD">
        <w:rPr>
          <w:rFonts w:ascii="Garamond" w:eastAsia="Times New Roman" w:hAnsi="Garamond" w:cs="Garamond"/>
          <w:color w:val="000000"/>
          <w:sz w:val="24"/>
          <w:szCs w:val="24"/>
        </w:rPr>
        <w:t>ë</w:t>
      </w:r>
      <w:r w:rsidR="005E38FB" w:rsidRPr="00E266CD">
        <w:rPr>
          <w:rFonts w:ascii="Garamond" w:eastAsia="Times New Roman" w:hAnsi="Garamond"/>
          <w:color w:val="000000"/>
          <w:sz w:val="24"/>
          <w:szCs w:val="24"/>
        </w:rPr>
        <w:t xml:space="preserve"> zhvillimit t</w:t>
      </w:r>
      <w:r w:rsidR="005E38FB" w:rsidRPr="00E266CD">
        <w:rPr>
          <w:rFonts w:ascii="Garamond" w:eastAsia="Times New Roman" w:hAnsi="Garamond" w:cs="Garamond"/>
          <w:color w:val="000000"/>
          <w:sz w:val="24"/>
          <w:szCs w:val="24"/>
        </w:rPr>
        <w:t>ë</w:t>
      </w:r>
      <w:r w:rsidR="005E38FB" w:rsidRPr="00E266CD">
        <w:rPr>
          <w:rFonts w:ascii="Garamond" w:eastAsia="Times New Roman" w:hAnsi="Garamond"/>
          <w:color w:val="000000"/>
          <w:sz w:val="24"/>
          <w:szCs w:val="24"/>
        </w:rPr>
        <w:t xml:space="preserve"> q</w:t>
      </w:r>
      <w:r w:rsidR="005E38FB" w:rsidRPr="00E266CD">
        <w:rPr>
          <w:rFonts w:ascii="Garamond" w:eastAsia="Times New Roman" w:hAnsi="Garamond" w:cs="Garamond"/>
          <w:color w:val="000000"/>
          <w:sz w:val="24"/>
          <w:szCs w:val="24"/>
        </w:rPr>
        <w:t>ë</w:t>
      </w:r>
      <w:r w:rsidR="005E38FB" w:rsidRPr="00E266CD">
        <w:rPr>
          <w:rFonts w:ascii="Garamond" w:eastAsia="Times New Roman" w:hAnsi="Garamond"/>
          <w:color w:val="000000"/>
          <w:sz w:val="24"/>
          <w:szCs w:val="24"/>
        </w:rPr>
        <w:t>ndruesh</w:t>
      </w:r>
      <w:r w:rsidR="005E38FB" w:rsidRPr="00E266CD">
        <w:rPr>
          <w:rFonts w:ascii="Garamond" w:eastAsia="Times New Roman" w:hAnsi="Garamond" w:cs="Garamond"/>
          <w:color w:val="000000"/>
          <w:sz w:val="24"/>
          <w:szCs w:val="24"/>
        </w:rPr>
        <w:t>ë</w:t>
      </w:r>
      <w:r w:rsidR="005E38FB" w:rsidRPr="00E266CD">
        <w:rPr>
          <w:rFonts w:ascii="Garamond" w:eastAsia="Times New Roman" w:hAnsi="Garamond"/>
          <w:color w:val="000000"/>
          <w:sz w:val="24"/>
          <w:szCs w:val="24"/>
        </w:rPr>
        <w:t xml:space="preserve">m </w:t>
      </w:r>
      <w:r w:rsidRPr="00E266CD">
        <w:rPr>
          <w:rFonts w:ascii="Garamond" w:eastAsia="Times New Roman" w:hAnsi="Garamond"/>
          <w:color w:val="000000"/>
          <w:sz w:val="24"/>
          <w:szCs w:val="24"/>
        </w:rPr>
        <w:t>2015</w:t>
      </w:r>
      <w:r w:rsidR="00430904" w:rsidRPr="00E266CD">
        <w:rPr>
          <w:rFonts w:ascii="Garamond" w:hAnsi="Garamond"/>
          <w:sz w:val="24"/>
        </w:rPr>
        <w:t>–</w:t>
      </w:r>
      <w:r w:rsidRPr="00E266CD">
        <w:rPr>
          <w:rFonts w:ascii="Garamond" w:eastAsia="Times New Roman" w:hAnsi="Garamond"/>
          <w:color w:val="000000"/>
          <w:sz w:val="24"/>
          <w:szCs w:val="24"/>
        </w:rPr>
        <w:t>2030</w:t>
      </w:r>
      <w:r w:rsidR="005E38FB">
        <w:rPr>
          <w:rFonts w:ascii="Garamond" w:eastAsia="Times New Roman" w:hAnsi="Garamond"/>
          <w:color w:val="000000"/>
          <w:sz w:val="24"/>
          <w:szCs w:val="24"/>
        </w:rPr>
        <w:t>,</w:t>
      </w:r>
      <w:r w:rsidRPr="00E266CD">
        <w:rPr>
          <w:rFonts w:ascii="Garamond" w:eastAsia="Times New Roman" w:hAnsi="Garamond"/>
          <w:color w:val="000000"/>
          <w:sz w:val="24"/>
          <w:szCs w:val="24"/>
        </w:rPr>
        <w:t xml:space="preserve"> për të inkurajuar maksimizimin e kërkimit shkencor, përmirësimin e aftësive teknologjike të sektorëve industrialë në të gjitha vendet, në veçanti vendet në zhvillim, duke përfshirë, deri në vitin 2030, inkurajimin e inovacionit dhe rritjen e konsiderueshme të numrit të kërkuesve shkencorë dhe shpenzimeve publike dhe private të kërkimit dhe zhvillimit.</w:t>
      </w:r>
    </w:p>
    <w:p w14:paraId="1151A8BD" w14:textId="77777777" w:rsidR="00F91888" w:rsidRPr="00E266CD" w:rsidRDefault="00F91888" w:rsidP="00A66F5C">
      <w:pPr>
        <w:pStyle w:val="TEKSTIIII"/>
        <w:rPr>
          <w:b/>
          <w:color w:val="000000"/>
        </w:rPr>
      </w:pPr>
      <w:bookmarkStart w:id="14" w:name="_Toc135703135"/>
      <w:r w:rsidRPr="00E266CD">
        <w:rPr>
          <w:b/>
        </w:rPr>
        <w:t>Lidhja me angazhime/marrëveshje të tjera ndërkombëtare</w:t>
      </w:r>
      <w:bookmarkEnd w:id="14"/>
    </w:p>
    <w:p w14:paraId="04C30CDE" w14:textId="3945F95D"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SKKSHTI 2023</w:t>
      </w:r>
      <w:r w:rsidR="00430904" w:rsidRPr="00E266CD">
        <w:rPr>
          <w:rFonts w:ascii="Garamond" w:hAnsi="Garamond"/>
          <w:sz w:val="24"/>
        </w:rPr>
        <w:t>–</w:t>
      </w:r>
      <w:r w:rsidRPr="00E266CD">
        <w:rPr>
          <w:rFonts w:ascii="Garamond" w:eastAsia="Times New Roman" w:hAnsi="Garamond"/>
          <w:sz w:val="24"/>
          <w:szCs w:val="24"/>
        </w:rPr>
        <w:t>2030 reflekton standardet dhe objektivat e parashikuara në marrëveshje ndërkombëtare të ratifikuara nga Kuvendi i Republikës së Shqipërisë</w:t>
      </w:r>
      <w:r w:rsidR="007348AE">
        <w:rPr>
          <w:rFonts w:ascii="Garamond" w:eastAsia="Times New Roman" w:hAnsi="Garamond"/>
          <w:sz w:val="24"/>
          <w:szCs w:val="24"/>
        </w:rPr>
        <w:t>,</w:t>
      </w:r>
      <w:r w:rsidRPr="00E266CD">
        <w:rPr>
          <w:rFonts w:ascii="Garamond" w:eastAsia="Times New Roman" w:hAnsi="Garamond"/>
          <w:sz w:val="24"/>
          <w:szCs w:val="24"/>
        </w:rPr>
        <w:t xml:space="preserve"> si dhe standarde të përpunuara nga organizmat ndërkombëtarë dhe rajonalë</w:t>
      </w:r>
      <w:r w:rsidR="007348AE">
        <w:rPr>
          <w:rFonts w:ascii="Garamond" w:eastAsia="Times New Roman" w:hAnsi="Garamond"/>
          <w:sz w:val="24"/>
          <w:szCs w:val="24"/>
        </w:rPr>
        <w:t>,</w:t>
      </w:r>
      <w:r w:rsidRPr="00E266CD">
        <w:rPr>
          <w:rFonts w:ascii="Garamond" w:eastAsia="Times New Roman" w:hAnsi="Garamond"/>
          <w:sz w:val="24"/>
          <w:szCs w:val="24"/>
        </w:rPr>
        <w:t xml:space="preserve"> ku shteti shqiptar ka marrë përsipër angazhime afatgjata. Ky dokument strategjik reflekton</w:t>
      </w:r>
      <w:r w:rsidR="007348AE">
        <w:rPr>
          <w:rFonts w:ascii="Garamond" w:eastAsia="Times New Roman" w:hAnsi="Garamond"/>
          <w:sz w:val="24"/>
          <w:szCs w:val="24"/>
        </w:rPr>
        <w:t>,</w:t>
      </w:r>
      <w:r w:rsidRPr="00E266CD">
        <w:rPr>
          <w:rFonts w:ascii="Garamond" w:eastAsia="Times New Roman" w:hAnsi="Garamond"/>
          <w:sz w:val="24"/>
          <w:szCs w:val="24"/>
        </w:rPr>
        <w:t xml:space="preserve"> ndër të tjera</w:t>
      </w:r>
      <w:r w:rsidR="007348AE">
        <w:rPr>
          <w:rFonts w:ascii="Garamond" w:eastAsia="Times New Roman" w:hAnsi="Garamond"/>
          <w:sz w:val="24"/>
          <w:szCs w:val="24"/>
        </w:rPr>
        <w:t>,</w:t>
      </w:r>
      <w:r w:rsidRPr="00E266CD">
        <w:rPr>
          <w:rFonts w:ascii="Garamond" w:eastAsia="Times New Roman" w:hAnsi="Garamond"/>
          <w:sz w:val="24"/>
          <w:szCs w:val="24"/>
        </w:rPr>
        <w:t xml:space="preserve"> standardet e akteve me natyrë ndërkombëtare</w:t>
      </w:r>
      <w:r w:rsidR="007348AE">
        <w:rPr>
          <w:rFonts w:ascii="Garamond" w:eastAsia="Times New Roman" w:hAnsi="Garamond"/>
          <w:sz w:val="24"/>
          <w:szCs w:val="24"/>
        </w:rPr>
        <w:t>,</w:t>
      </w:r>
      <w:r w:rsidRPr="00E266CD">
        <w:rPr>
          <w:rFonts w:ascii="Garamond" w:eastAsia="Times New Roman" w:hAnsi="Garamond"/>
          <w:sz w:val="24"/>
          <w:szCs w:val="24"/>
        </w:rPr>
        <w:t xml:space="preserve"> si më poshtë: </w:t>
      </w:r>
    </w:p>
    <w:p w14:paraId="49D14896" w14:textId="52A9D242" w:rsidR="00F91888" w:rsidRPr="00E266CD" w:rsidRDefault="00A66F5C" w:rsidP="00A66F5C">
      <w:pPr>
        <w:pStyle w:val="TEKSTIIII"/>
      </w:pPr>
      <w:r w:rsidRPr="00E266CD">
        <w:t xml:space="preserve">a) </w:t>
      </w:r>
      <w:r w:rsidR="00F91888" w:rsidRPr="00E266CD">
        <w:t xml:space="preserve">Agjenda e Ballkanit Perëndimor për </w:t>
      </w:r>
      <w:r w:rsidR="007348AE">
        <w:t>i</w:t>
      </w:r>
      <w:r w:rsidR="00F91888" w:rsidRPr="00E266CD">
        <w:t>novacionin, kërkimin, edukimin, kulturën, të rinjtë dhe sportet;</w:t>
      </w:r>
      <w:r w:rsidR="00F91888" w:rsidRPr="00E266CD">
        <w:rPr>
          <w:vertAlign w:val="superscript"/>
        </w:rPr>
        <w:footnoteReference w:id="28"/>
      </w:r>
    </w:p>
    <w:p w14:paraId="7CDA7536" w14:textId="4794D1D5" w:rsidR="00F91888" w:rsidRPr="00E266CD" w:rsidRDefault="00A66F5C" w:rsidP="00A66F5C">
      <w:pPr>
        <w:pStyle w:val="TEKSTIIII"/>
      </w:pPr>
      <w:r w:rsidRPr="00E266CD">
        <w:t xml:space="preserve">b) </w:t>
      </w:r>
      <w:r w:rsidR="00F91888" w:rsidRPr="00E266CD">
        <w:t xml:space="preserve">Qasja Globale Evropiane për Kërkimin Shkencor dhe Inovacionin: Strategjia </w:t>
      </w:r>
      <w:r w:rsidR="007348AE">
        <w:t>e</w:t>
      </w:r>
      <w:r w:rsidR="00F91888" w:rsidRPr="00E266CD">
        <w:t>vropiane për bashkëpunimin ndërkombëtar në një botë që ndryshon;</w:t>
      </w:r>
      <w:r w:rsidR="00F91888" w:rsidRPr="00E266CD">
        <w:rPr>
          <w:vertAlign w:val="superscript"/>
        </w:rPr>
        <w:footnoteReference w:id="29"/>
      </w:r>
    </w:p>
    <w:p w14:paraId="63CF86D6" w14:textId="7E921578" w:rsidR="00F91888" w:rsidRPr="00E266CD" w:rsidRDefault="00A66F5C" w:rsidP="00A66F5C">
      <w:pPr>
        <w:pStyle w:val="TEKSTIIII"/>
      </w:pPr>
      <w:r w:rsidRPr="00E266CD">
        <w:t xml:space="preserve">c) </w:t>
      </w:r>
      <w:r w:rsidR="00F91888" w:rsidRPr="00E266CD">
        <w:t>Strategjia Evropiane për Kërkimin dhe Inovacionin 2020</w:t>
      </w:r>
      <w:r w:rsidR="00430904" w:rsidRPr="00E266CD">
        <w:t>–</w:t>
      </w:r>
      <w:r w:rsidR="00F91888" w:rsidRPr="00E266CD">
        <w:t>2024 dhe Plani Strategjik i BE-së për Kërkimin dhe Inovacionin 2020</w:t>
      </w:r>
      <w:r w:rsidR="00430904" w:rsidRPr="00E266CD">
        <w:t>–</w:t>
      </w:r>
      <w:r w:rsidR="00F91888" w:rsidRPr="00E266CD">
        <w:t>2024;</w:t>
      </w:r>
    </w:p>
    <w:p w14:paraId="2B74A113" w14:textId="3342A5B5" w:rsidR="00F91888" w:rsidRPr="00E266CD" w:rsidRDefault="00A66F5C" w:rsidP="00A66F5C">
      <w:pPr>
        <w:pStyle w:val="TEKSTIIII"/>
      </w:pPr>
      <w:r w:rsidRPr="00E266CD">
        <w:t xml:space="preserve">d) </w:t>
      </w:r>
      <w:r w:rsidR="00F91888" w:rsidRPr="00E266CD">
        <w:t xml:space="preserve">Parimet e Zonës Evropiane për Kërkimin </w:t>
      </w:r>
      <w:r w:rsidR="00F91888" w:rsidRPr="00E266CD">
        <w:rPr>
          <w:i/>
        </w:rPr>
        <w:t>European Research Area</w:t>
      </w:r>
      <w:r w:rsidR="00F91888" w:rsidRPr="00E266CD">
        <w:t xml:space="preserve"> (ERA)</w:t>
      </w:r>
      <w:r w:rsidR="007348AE">
        <w:t>,</w:t>
      </w:r>
      <w:r w:rsidR="00F91888" w:rsidRPr="00E266CD">
        <w:t xml:space="preserve"> që janë:</w:t>
      </w:r>
    </w:p>
    <w:p w14:paraId="34542DDF" w14:textId="77777777" w:rsidR="00F91888" w:rsidRPr="00E266CD" w:rsidRDefault="00A66F5C" w:rsidP="00A66F5C">
      <w:pPr>
        <w:pStyle w:val="TEKSTIIII"/>
      </w:pPr>
      <w:r w:rsidRPr="00E266CD">
        <w:t xml:space="preserve">i. </w:t>
      </w:r>
      <w:r w:rsidR="00F91888" w:rsidRPr="00E266CD">
        <w:t xml:space="preserve">Sisteme kombëtare të kërkimit shkencor më efektive; </w:t>
      </w:r>
    </w:p>
    <w:p w14:paraId="1C7080EE" w14:textId="2A80FB0B" w:rsidR="00F91888" w:rsidRPr="00E266CD" w:rsidRDefault="00A66F5C" w:rsidP="00A66F5C">
      <w:pPr>
        <w:pStyle w:val="TEKSTIIII"/>
      </w:pPr>
      <w:r w:rsidRPr="00E266CD">
        <w:t xml:space="preserve">ii. </w:t>
      </w:r>
      <w:r w:rsidR="0062551C">
        <w:t>b</w:t>
      </w:r>
      <w:r w:rsidR="00F91888" w:rsidRPr="00E266CD">
        <w:t>ashkëpunim dhe konkurrencë ndërkombëtare optimale</w:t>
      </w:r>
      <w:r w:rsidR="0062551C">
        <w:t>,</w:t>
      </w:r>
      <w:r w:rsidR="00F91888" w:rsidRPr="00E266CD">
        <w:t xml:space="preserve"> duke përfshirë “zgjidhje e përbashkët e sfidave të mëdha” dhe “infrastrukturat e kërkimit”; </w:t>
      </w:r>
    </w:p>
    <w:p w14:paraId="230EF7CA" w14:textId="312B9DAE" w:rsidR="00F91888" w:rsidRPr="00E266CD" w:rsidRDefault="00A66F5C" w:rsidP="00A66F5C">
      <w:pPr>
        <w:pStyle w:val="TEKSTIIII"/>
      </w:pPr>
      <w:r w:rsidRPr="00E266CD">
        <w:t xml:space="preserve">iii. </w:t>
      </w:r>
      <w:r w:rsidR="0062551C">
        <w:t>n</w:t>
      </w:r>
      <w:r w:rsidR="00F91888" w:rsidRPr="00E266CD">
        <w:t>jë treg pune i hapur për kërkuesit;</w:t>
      </w:r>
    </w:p>
    <w:p w14:paraId="1044C53F" w14:textId="1BBD1759" w:rsidR="00F91888" w:rsidRPr="00E266CD" w:rsidRDefault="00A66F5C" w:rsidP="00A66F5C">
      <w:pPr>
        <w:pStyle w:val="TEKSTIIII"/>
      </w:pPr>
      <w:r w:rsidRPr="00E266CD">
        <w:t xml:space="preserve">iv. </w:t>
      </w:r>
      <w:r w:rsidR="0062551C">
        <w:t>b</w:t>
      </w:r>
      <w:r w:rsidR="00F91888" w:rsidRPr="00E266CD">
        <w:t>arazi gjinore dhe aplikimi i politikave gjinore edhe në kërkim;</w:t>
      </w:r>
    </w:p>
    <w:p w14:paraId="394FB297" w14:textId="3AC317C6" w:rsidR="00F91888" w:rsidRPr="00E266CD" w:rsidRDefault="00A66F5C" w:rsidP="00A66F5C">
      <w:pPr>
        <w:pStyle w:val="TEKSTIIII"/>
      </w:pPr>
      <w:r w:rsidRPr="00E266CD">
        <w:t xml:space="preserve">v. </w:t>
      </w:r>
      <w:r w:rsidR="0062551C">
        <w:t>q</w:t>
      </w:r>
      <w:r w:rsidR="00F91888" w:rsidRPr="00E266CD">
        <w:t>arkullim optimal, akses dhe transferim i njohurive shkencore, duke përfshirë “qarkullimin e njohurive” dhe “aksesin e hapur”;</w:t>
      </w:r>
    </w:p>
    <w:p w14:paraId="4183273E" w14:textId="77777777" w:rsidR="00F91888" w:rsidRPr="00E266CD" w:rsidRDefault="00A66F5C" w:rsidP="00A66F5C">
      <w:pPr>
        <w:pStyle w:val="TEKSTIIII"/>
      </w:pPr>
      <w:r w:rsidRPr="00E266CD">
        <w:t xml:space="preserve">vi. </w:t>
      </w:r>
      <w:r w:rsidR="00F91888" w:rsidRPr="00E266CD">
        <w:t>bashkëpunimi ndërkombëtar</w:t>
      </w:r>
      <w:r w:rsidR="00F91888" w:rsidRPr="00E266CD">
        <w:rPr>
          <w:vertAlign w:val="superscript"/>
        </w:rPr>
        <w:footnoteReference w:id="30"/>
      </w:r>
      <w:r w:rsidR="00430904" w:rsidRPr="00E266CD">
        <w:t>;</w:t>
      </w:r>
    </w:p>
    <w:p w14:paraId="5F854DF0" w14:textId="7618564D" w:rsidR="00F91888" w:rsidRPr="00E266CD" w:rsidRDefault="00A66F5C" w:rsidP="00A66F5C">
      <w:pPr>
        <w:pStyle w:val="TEKSTIIII"/>
      </w:pPr>
      <w:r w:rsidRPr="00E266CD">
        <w:t xml:space="preserve">e) </w:t>
      </w:r>
      <w:r w:rsidR="00F91888" w:rsidRPr="00E266CD">
        <w:rPr>
          <w:i/>
        </w:rPr>
        <w:t>European Research Area Policy Agenda: Overview of Actions for the period</w:t>
      </w:r>
      <w:r w:rsidR="00F91888" w:rsidRPr="00E266CD">
        <w:t xml:space="preserve"> 2022</w:t>
      </w:r>
      <w:r w:rsidR="00430904" w:rsidRPr="00E266CD">
        <w:t>–</w:t>
      </w:r>
      <w:r w:rsidR="00F91888" w:rsidRPr="00E266CD">
        <w:t>2024</w:t>
      </w:r>
      <w:r w:rsidR="00F91888" w:rsidRPr="00E266CD">
        <w:rPr>
          <w:vertAlign w:val="superscript"/>
        </w:rPr>
        <w:footnoteReference w:id="31"/>
      </w:r>
      <w:r w:rsidR="00430904" w:rsidRPr="00E266CD">
        <w:t>;</w:t>
      </w:r>
    </w:p>
    <w:p w14:paraId="180BD6EB" w14:textId="36A48434" w:rsidR="00F91888" w:rsidRPr="00E266CD" w:rsidRDefault="00A66F5C" w:rsidP="00A66F5C">
      <w:pPr>
        <w:pStyle w:val="TEKSTIIII"/>
      </w:pPr>
      <w:r w:rsidRPr="00E266CD">
        <w:t xml:space="preserve">f) </w:t>
      </w:r>
      <w:r w:rsidR="0062551C" w:rsidRPr="00E266CD">
        <w:t xml:space="preserve">programi kuadër i ri evropian </w:t>
      </w:r>
      <w:r w:rsidR="00F91888" w:rsidRPr="00E266CD">
        <w:t xml:space="preserve">për </w:t>
      </w:r>
      <w:r w:rsidR="0062551C" w:rsidRPr="00E266CD">
        <w:t xml:space="preserve">kërkimin dhe inovacionin </w:t>
      </w:r>
      <w:r w:rsidR="00F91888" w:rsidRPr="00E266CD">
        <w:t>“</w:t>
      </w:r>
      <w:r w:rsidR="00F91888" w:rsidRPr="00E266CD">
        <w:rPr>
          <w:i/>
        </w:rPr>
        <w:t>Horizon Europe</w:t>
      </w:r>
      <w:r w:rsidR="00F91888" w:rsidRPr="00E266CD">
        <w:t>”</w:t>
      </w:r>
      <w:r w:rsidR="00430904" w:rsidRPr="00E266CD">
        <w:t>;</w:t>
      </w:r>
    </w:p>
    <w:p w14:paraId="1940A9F9" w14:textId="77777777" w:rsidR="00F91888" w:rsidRPr="00E266CD" w:rsidRDefault="00A66F5C" w:rsidP="00A66F5C">
      <w:pPr>
        <w:pStyle w:val="TEKSTIIII"/>
      </w:pPr>
      <w:r w:rsidRPr="00E266CD">
        <w:t xml:space="preserve">g) </w:t>
      </w:r>
      <w:r w:rsidR="00F91888" w:rsidRPr="00E266CD">
        <w:rPr>
          <w:i/>
        </w:rPr>
        <w:t>European Research Infrastructure Consortium</w:t>
      </w:r>
      <w:r w:rsidR="00F91888" w:rsidRPr="00E266CD">
        <w:t xml:space="preserve"> (ERIC)</w:t>
      </w:r>
      <w:r w:rsidR="00F91888" w:rsidRPr="00E266CD">
        <w:rPr>
          <w:vertAlign w:val="superscript"/>
        </w:rPr>
        <w:footnoteReference w:id="32"/>
      </w:r>
      <w:r w:rsidR="00430904" w:rsidRPr="00E266CD">
        <w:t>;</w:t>
      </w:r>
    </w:p>
    <w:p w14:paraId="60C57C90" w14:textId="77777777" w:rsidR="00F91888" w:rsidRPr="00E266CD" w:rsidRDefault="00F91888" w:rsidP="00A66F5C">
      <w:pPr>
        <w:pStyle w:val="TEKSTIIII"/>
        <w:rPr>
          <w:b/>
        </w:rPr>
      </w:pPr>
      <w:r w:rsidRPr="00E266CD">
        <w:rPr>
          <w:b/>
        </w:rPr>
        <w:t>Lidhja e Strategjisë me Agjendën e Ballkanit Perëndimor për Kërkimin, Inovacionin,</w:t>
      </w:r>
      <w:r w:rsidRPr="00E266CD">
        <w:rPr>
          <w:b/>
          <w:shd w:val="clear" w:color="auto" w:fill="DEEBF6"/>
        </w:rPr>
        <w:t xml:space="preserve"> </w:t>
      </w:r>
      <w:r w:rsidRPr="009A203C">
        <w:rPr>
          <w:b/>
        </w:rPr>
        <w:t>Edukimin,</w:t>
      </w:r>
      <w:r w:rsidRPr="00E266CD">
        <w:rPr>
          <w:b/>
        </w:rPr>
        <w:t xml:space="preserve"> Kulturën, Rininë dhe Sportet (Agjenda)</w:t>
      </w:r>
    </w:p>
    <w:p w14:paraId="1348889E" w14:textId="5B3588E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Strategjia e re për Shkencën, Teknologjinë dhe Inovacionin 2023</w:t>
      </w:r>
      <w:r w:rsidR="00663201" w:rsidRPr="00E266CD">
        <w:rPr>
          <w:rFonts w:ascii="Garamond" w:eastAsia="Times New Roman" w:hAnsi="Garamond"/>
          <w:sz w:val="24"/>
          <w:szCs w:val="24"/>
        </w:rPr>
        <w:t>–</w:t>
      </w:r>
      <w:r w:rsidRPr="00E266CD">
        <w:rPr>
          <w:rFonts w:ascii="Garamond" w:eastAsia="Times New Roman" w:hAnsi="Garamond"/>
          <w:sz w:val="24"/>
          <w:szCs w:val="24"/>
        </w:rPr>
        <w:t xml:space="preserve">2030 mishëron në të njëjtën kohë frymën dhe qëllimet politike të Agjendës së Ballkanit Perëndimor për Kërkimin, Inovacionin, edukimin, kulturën, rininë dhe sportet (Agjenda). Agjenda rendit si pjesë të reformës së saj politike mbështetjen e reformave në vendet e Ballkanit Perëndimor (përfshirë Shqipërinë) në fushën e kërkimit shkencor dhe </w:t>
      </w:r>
      <w:r w:rsidR="0062551C">
        <w:rPr>
          <w:rFonts w:ascii="Garamond" w:eastAsia="Times New Roman" w:hAnsi="Garamond"/>
          <w:sz w:val="24"/>
          <w:szCs w:val="24"/>
        </w:rPr>
        <w:t>i</w:t>
      </w:r>
      <w:r w:rsidRPr="00E266CD">
        <w:rPr>
          <w:rFonts w:ascii="Garamond" w:eastAsia="Times New Roman" w:hAnsi="Garamond"/>
          <w:sz w:val="24"/>
          <w:szCs w:val="24"/>
        </w:rPr>
        <w:t>novacionit. Në mënyrë të veçantë, Agjenda politike rendit si pjesë të prioriteteve strategjike:</w:t>
      </w:r>
    </w:p>
    <w:p w14:paraId="60ADC2E1" w14:textId="015399CD" w:rsidR="00F91888" w:rsidRPr="00E266CD" w:rsidRDefault="00A66F5C" w:rsidP="00A66F5C">
      <w:pPr>
        <w:pStyle w:val="TEKSTIIII"/>
      </w:pPr>
      <w:r w:rsidRPr="00E266CD">
        <w:t xml:space="preserve">a) </w:t>
      </w:r>
      <w:r w:rsidR="0062551C">
        <w:t>a</w:t>
      </w:r>
      <w:r w:rsidR="00F91888" w:rsidRPr="00E266CD">
        <w:t xml:space="preserve">socimi i plotë në </w:t>
      </w:r>
      <w:r w:rsidR="00F91888" w:rsidRPr="00E266CD">
        <w:rPr>
          <w:i/>
        </w:rPr>
        <w:t>Horizon Europe</w:t>
      </w:r>
      <w:r w:rsidR="00F91888" w:rsidRPr="00E266CD">
        <w:t xml:space="preserve"> për Ballkanin Perëndimor;</w:t>
      </w:r>
    </w:p>
    <w:p w14:paraId="051A1566" w14:textId="54A24543" w:rsidR="00F91888" w:rsidRPr="00E266CD" w:rsidRDefault="00A66F5C" w:rsidP="00A66F5C">
      <w:pPr>
        <w:pStyle w:val="TEKSTIIII"/>
      </w:pPr>
      <w:r w:rsidRPr="00E266CD">
        <w:t xml:space="preserve">b) </w:t>
      </w:r>
      <w:r w:rsidR="0062551C">
        <w:t>m</w:t>
      </w:r>
      <w:r w:rsidR="00F91888" w:rsidRPr="00E266CD">
        <w:t>bështetja e asocimit afatgjatë dhe të plotë në programet Erasmus+ dhe Korpusit Evropian të Solidaritetit për Ballkani Perëndimor;</w:t>
      </w:r>
    </w:p>
    <w:p w14:paraId="54B38D7F" w14:textId="13B835D5" w:rsidR="00F91888" w:rsidRPr="00E266CD" w:rsidRDefault="00A66F5C" w:rsidP="00A66F5C">
      <w:pPr>
        <w:pStyle w:val="TEKSTIIII"/>
      </w:pPr>
      <w:r w:rsidRPr="00E266CD">
        <w:t xml:space="preserve">c) </w:t>
      </w:r>
      <w:r w:rsidR="0062551C">
        <w:t>a</w:t>
      </w:r>
      <w:r w:rsidR="00F91888" w:rsidRPr="00E266CD">
        <w:t>socimi i plotë në programin e Evropës Krijuese për Ballkanin Perëndimor;</w:t>
      </w:r>
    </w:p>
    <w:p w14:paraId="074817C2" w14:textId="23A477AD" w:rsidR="00F91888" w:rsidRPr="00E266CD" w:rsidRDefault="00A66F5C" w:rsidP="00A66F5C">
      <w:pPr>
        <w:pStyle w:val="TEKSTIIII"/>
      </w:pPr>
      <w:r w:rsidRPr="00E266CD">
        <w:t xml:space="preserve">d) </w:t>
      </w:r>
      <w:r w:rsidR="0062551C">
        <w:t>i</w:t>
      </w:r>
      <w:r w:rsidR="00F91888" w:rsidRPr="00E266CD">
        <w:t>ntegrimi në Zonën e re Evropiane të Kërkimit dhe Inovacionit (ERA);</w:t>
      </w:r>
    </w:p>
    <w:p w14:paraId="73C4200D" w14:textId="77777777" w:rsidR="00F91888" w:rsidRPr="00E266CD" w:rsidRDefault="00A66F5C" w:rsidP="00A66F5C">
      <w:pPr>
        <w:pStyle w:val="TEKSTIIII"/>
      </w:pPr>
      <w:r w:rsidRPr="00E266CD">
        <w:t xml:space="preserve">e) </w:t>
      </w:r>
      <w:r w:rsidR="00F91888" w:rsidRPr="00E266CD">
        <w:t>Të mundësojë një pjesëmarrje më të fortë në Zonën Evropiane të Arsimit të Lartë (EHEA);</w:t>
      </w:r>
    </w:p>
    <w:p w14:paraId="460E83DD" w14:textId="0DA1B0E0" w:rsidR="00F91888" w:rsidRPr="00E266CD" w:rsidRDefault="00A66F5C" w:rsidP="00A66F5C">
      <w:pPr>
        <w:pStyle w:val="TEKSTIIII"/>
      </w:pPr>
      <w:r w:rsidRPr="00E266CD">
        <w:t xml:space="preserve">f) </w:t>
      </w:r>
      <w:r w:rsidR="00F91888" w:rsidRPr="00E266CD">
        <w:t>Finalizimi i Strategjisë së Specializimit të Zgjuar (S3) dhe mbështetja e zbatimit e tyre për të gjithë shtetet.</w:t>
      </w:r>
      <w:r w:rsidR="00F91888" w:rsidRPr="00E266CD">
        <w:rPr>
          <w:vertAlign w:val="superscript"/>
        </w:rPr>
        <w:footnoteReference w:id="33"/>
      </w:r>
    </w:p>
    <w:p w14:paraId="35E599EA" w14:textId="783590AD" w:rsidR="00F91888" w:rsidRPr="00E266CD" w:rsidRDefault="00F91888" w:rsidP="00A66F5C">
      <w:pPr>
        <w:pStyle w:val="TEKSTIIII"/>
        <w:rPr>
          <w:b/>
        </w:rPr>
      </w:pPr>
      <w:bookmarkStart w:id="15" w:name="_heading=h.35nkun2" w:colFirst="0" w:colLast="0"/>
      <w:bookmarkEnd w:id="15"/>
      <w:r w:rsidRPr="00E266CD">
        <w:rPr>
          <w:b/>
        </w:rPr>
        <w:t>Arritjet dhe mësimet e nxjerra nga zbatimi i Strategjisë për Shkencën, Teknologjinë dhe Informacionin gjatë periudhës 2017</w:t>
      </w:r>
      <w:r w:rsidR="009A203C">
        <w:rPr>
          <w:b/>
        </w:rPr>
        <w:t>–</w:t>
      </w:r>
      <w:r w:rsidRPr="00E266CD">
        <w:rPr>
          <w:b/>
        </w:rPr>
        <w:t>2022</w:t>
      </w:r>
    </w:p>
    <w:p w14:paraId="444E7DAD" w14:textId="4577D59C"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Strategjia Kombëtare </w:t>
      </w:r>
      <w:r w:rsidR="0062551C">
        <w:rPr>
          <w:rFonts w:ascii="Garamond" w:eastAsia="Times New Roman" w:hAnsi="Garamond"/>
          <w:sz w:val="24"/>
          <w:szCs w:val="24"/>
        </w:rPr>
        <w:t>e</w:t>
      </w:r>
      <w:r w:rsidRPr="00E266CD">
        <w:rPr>
          <w:rFonts w:ascii="Garamond" w:eastAsia="Times New Roman" w:hAnsi="Garamond"/>
          <w:sz w:val="24"/>
          <w:szCs w:val="24"/>
        </w:rPr>
        <w:t xml:space="preserve"> Kërkimit Shkencor, Teknologjisë dhe Inovacionit 2017</w:t>
      </w:r>
      <w:r w:rsidR="00430904" w:rsidRPr="00E266CD">
        <w:rPr>
          <w:rFonts w:ascii="Garamond" w:hAnsi="Garamond"/>
          <w:sz w:val="24"/>
        </w:rPr>
        <w:t>–</w:t>
      </w:r>
      <w:r w:rsidRPr="00E266CD">
        <w:rPr>
          <w:rFonts w:ascii="Garamond" w:eastAsia="Times New Roman" w:hAnsi="Garamond"/>
          <w:sz w:val="24"/>
          <w:szCs w:val="24"/>
        </w:rPr>
        <w:t xml:space="preserve">2022 pasqyronte dhe përfshinte gjashtë </w:t>
      </w:r>
      <w:r w:rsidR="0062551C">
        <w:rPr>
          <w:rFonts w:ascii="Garamond" w:eastAsia="Times New Roman" w:hAnsi="Garamond"/>
          <w:sz w:val="24"/>
          <w:szCs w:val="24"/>
        </w:rPr>
        <w:t>p</w:t>
      </w:r>
      <w:r w:rsidRPr="00E266CD">
        <w:rPr>
          <w:rFonts w:ascii="Garamond" w:eastAsia="Times New Roman" w:hAnsi="Garamond"/>
          <w:sz w:val="24"/>
          <w:szCs w:val="24"/>
        </w:rPr>
        <w:t>rioritetet e ERA-s. Gjithashtu, ajo mbështetej në prioritetet e përcaktuara në A</w:t>
      </w:r>
      <w:r w:rsidR="00663201" w:rsidRPr="00E266CD">
        <w:rPr>
          <w:rFonts w:ascii="Garamond" w:eastAsia="Times New Roman" w:hAnsi="Garamond"/>
          <w:sz w:val="24"/>
          <w:szCs w:val="24"/>
        </w:rPr>
        <w:t>gj</w:t>
      </w:r>
      <w:r w:rsidRPr="00E266CD">
        <w:rPr>
          <w:rFonts w:ascii="Garamond" w:eastAsia="Times New Roman" w:hAnsi="Garamond"/>
          <w:sz w:val="24"/>
          <w:szCs w:val="24"/>
        </w:rPr>
        <w:t xml:space="preserve">endën </w:t>
      </w:r>
      <w:r w:rsidR="0062551C">
        <w:rPr>
          <w:rFonts w:ascii="Garamond" w:eastAsia="Times New Roman" w:hAnsi="Garamond"/>
          <w:sz w:val="24"/>
          <w:szCs w:val="24"/>
        </w:rPr>
        <w:t xml:space="preserve">e </w:t>
      </w:r>
      <w:r w:rsidRPr="00E266CD">
        <w:rPr>
          <w:rFonts w:ascii="Garamond" w:eastAsia="Times New Roman" w:hAnsi="Garamond"/>
          <w:sz w:val="24"/>
          <w:szCs w:val="24"/>
        </w:rPr>
        <w:t xml:space="preserve">21-të OKB-së, Agjendën 2030 për Zhvillimin e Qëndrueshëm, Strategjinë Evropa 2020, Agjendën Evropiane për Unionin e Inovacionit dhe Strategjinë e Zhvillimit Rajonal SEE-2020. Në zbatim të saj, AKKSHI ka vazhduar të koordinojë dhe promovojë </w:t>
      </w:r>
      <w:r w:rsidRPr="0062551C">
        <w:rPr>
          <w:rFonts w:ascii="Garamond" w:eastAsia="Times New Roman" w:hAnsi="Garamond"/>
          <w:i/>
          <w:sz w:val="24"/>
          <w:szCs w:val="24"/>
        </w:rPr>
        <w:t>Horizon Europe</w:t>
      </w:r>
      <w:r w:rsidRPr="00E266CD">
        <w:rPr>
          <w:rFonts w:ascii="Garamond" w:eastAsia="Times New Roman" w:hAnsi="Garamond"/>
          <w:sz w:val="24"/>
          <w:szCs w:val="24"/>
        </w:rPr>
        <w:t xml:space="preserve">, MSCA, COST, EURAXESS, </w:t>
      </w:r>
      <w:r w:rsidRPr="00E266CD">
        <w:rPr>
          <w:rFonts w:ascii="Garamond" w:eastAsia="Times New Roman" w:hAnsi="Garamond"/>
          <w:i/>
          <w:sz w:val="24"/>
          <w:szCs w:val="24"/>
        </w:rPr>
        <w:t>Charter and Code</w:t>
      </w:r>
      <w:r w:rsidRPr="00E266CD">
        <w:rPr>
          <w:rFonts w:ascii="Garamond" w:eastAsia="Times New Roman" w:hAnsi="Garamond"/>
          <w:sz w:val="24"/>
          <w:szCs w:val="24"/>
        </w:rPr>
        <w:t xml:space="preserve">, HRS4R dhe CEEPUS program. </w:t>
      </w:r>
    </w:p>
    <w:p w14:paraId="12381D42" w14:textId="6FB82524"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Strategjia Kombëtare për Kërkimin Shkencor, Teknologjinë dhe Inovacionin 2017</w:t>
      </w:r>
      <w:r w:rsidR="00430904" w:rsidRPr="00E266CD">
        <w:rPr>
          <w:rFonts w:ascii="Garamond" w:hAnsi="Garamond"/>
          <w:sz w:val="24"/>
        </w:rPr>
        <w:t>–</w:t>
      </w:r>
      <w:r w:rsidRPr="00E266CD">
        <w:rPr>
          <w:rFonts w:ascii="Garamond" w:eastAsia="Times New Roman" w:hAnsi="Garamond"/>
          <w:sz w:val="24"/>
          <w:szCs w:val="24"/>
        </w:rPr>
        <w:t>2022 u monitorua për herë të parë në 2019</w:t>
      </w:r>
      <w:r w:rsidR="0062551C">
        <w:rPr>
          <w:rFonts w:ascii="Garamond" w:eastAsia="Times New Roman" w:hAnsi="Garamond"/>
          <w:sz w:val="24"/>
          <w:szCs w:val="24"/>
        </w:rPr>
        <w:t>-n,</w:t>
      </w:r>
      <w:r w:rsidRPr="00E266CD">
        <w:rPr>
          <w:rFonts w:ascii="Garamond" w:eastAsia="Times New Roman" w:hAnsi="Garamond"/>
          <w:sz w:val="24"/>
          <w:szCs w:val="24"/>
        </w:rPr>
        <w:t xml:space="preserve"> përmes urdhrit të ministrit nr. 120</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datë 28.2.2019</w:t>
      </w:r>
      <w:r w:rsidR="0062551C">
        <w:rPr>
          <w:rFonts w:ascii="Garamond" w:eastAsia="Times New Roman" w:hAnsi="Garamond"/>
          <w:sz w:val="24"/>
          <w:szCs w:val="24"/>
        </w:rPr>
        <w:t>,</w:t>
      </w:r>
      <w:r w:rsidRPr="00E266CD">
        <w:rPr>
          <w:rFonts w:ascii="Garamond" w:eastAsia="Times New Roman" w:hAnsi="Garamond"/>
          <w:sz w:val="24"/>
          <w:szCs w:val="24"/>
        </w:rPr>
        <w:t xml:space="preserve"> “Për </w:t>
      </w:r>
      <w:r w:rsidR="0062551C">
        <w:rPr>
          <w:rFonts w:ascii="Garamond" w:eastAsia="Times New Roman" w:hAnsi="Garamond"/>
          <w:sz w:val="24"/>
          <w:szCs w:val="24"/>
        </w:rPr>
        <w:t>m</w:t>
      </w:r>
      <w:r w:rsidRPr="00E266CD">
        <w:rPr>
          <w:rFonts w:ascii="Garamond" w:eastAsia="Times New Roman" w:hAnsi="Garamond"/>
          <w:sz w:val="24"/>
          <w:szCs w:val="24"/>
        </w:rPr>
        <w:t>onitorimin e Strategjisë Kombëtare për Shkencën, Teknologjinë dhe Inovacionin 2017</w:t>
      </w:r>
      <w:r w:rsidR="00430904" w:rsidRPr="00E266CD">
        <w:rPr>
          <w:rFonts w:ascii="Garamond" w:hAnsi="Garamond"/>
          <w:sz w:val="24"/>
        </w:rPr>
        <w:t>–</w:t>
      </w:r>
      <w:r w:rsidRPr="00E266CD">
        <w:rPr>
          <w:rFonts w:ascii="Garamond" w:eastAsia="Times New Roman" w:hAnsi="Garamond"/>
          <w:sz w:val="24"/>
          <w:szCs w:val="24"/>
        </w:rPr>
        <w:t>2022”. Gjatë 2021</w:t>
      </w:r>
      <w:r w:rsidR="0062551C">
        <w:rPr>
          <w:rFonts w:ascii="Garamond" w:eastAsia="Times New Roman" w:hAnsi="Garamond"/>
          <w:sz w:val="24"/>
          <w:szCs w:val="24"/>
        </w:rPr>
        <w:t>-shit,</w:t>
      </w:r>
      <w:r w:rsidRPr="00E266CD">
        <w:rPr>
          <w:rFonts w:ascii="Garamond" w:eastAsia="Times New Roman" w:hAnsi="Garamond"/>
          <w:sz w:val="24"/>
          <w:szCs w:val="24"/>
        </w:rPr>
        <w:t xml:space="preserve"> me urdhrin nr. 425, datë 2.11.2021</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të </w:t>
      </w:r>
      <w:r w:rsidR="00430904" w:rsidRPr="00E266CD">
        <w:rPr>
          <w:rFonts w:ascii="Garamond" w:eastAsia="Times New Roman" w:hAnsi="Garamond"/>
          <w:sz w:val="24"/>
          <w:szCs w:val="24"/>
        </w:rPr>
        <w:t>m</w:t>
      </w:r>
      <w:r w:rsidRPr="00E266CD">
        <w:rPr>
          <w:rFonts w:ascii="Garamond" w:eastAsia="Times New Roman" w:hAnsi="Garamond"/>
          <w:sz w:val="24"/>
          <w:szCs w:val="24"/>
        </w:rPr>
        <w:t>inistrit të Arsimit dhe Sportit</w:t>
      </w:r>
      <w:r w:rsidR="0062551C">
        <w:rPr>
          <w:rFonts w:ascii="Garamond" w:eastAsia="Times New Roman" w:hAnsi="Garamond"/>
          <w:sz w:val="24"/>
          <w:szCs w:val="24"/>
        </w:rPr>
        <w:t>,</w:t>
      </w:r>
      <w:r w:rsidRPr="00E266CD">
        <w:rPr>
          <w:rFonts w:ascii="Garamond" w:eastAsia="Times New Roman" w:hAnsi="Garamond"/>
          <w:sz w:val="24"/>
          <w:szCs w:val="24"/>
        </w:rPr>
        <w:t xml:space="preserve"> “Për ngritjen e grupit të punës për monitorimin e Strategjisë Kombëtare për Shkencën, Teknologjinë dhe Inovacionin 2017</w:t>
      </w:r>
      <w:r w:rsidR="00430904" w:rsidRPr="00E266CD">
        <w:rPr>
          <w:rFonts w:ascii="Garamond" w:hAnsi="Garamond"/>
          <w:sz w:val="24"/>
        </w:rPr>
        <w:t>–</w:t>
      </w:r>
      <w:r w:rsidRPr="00E266CD">
        <w:rPr>
          <w:rFonts w:ascii="Garamond" w:eastAsia="Times New Roman" w:hAnsi="Garamond"/>
          <w:sz w:val="24"/>
          <w:szCs w:val="24"/>
        </w:rPr>
        <w:t>2022”, GP</w:t>
      </w:r>
      <w:r w:rsidR="0062551C">
        <w:rPr>
          <w:rFonts w:ascii="Garamond" w:eastAsia="Times New Roman" w:hAnsi="Garamond"/>
          <w:sz w:val="24"/>
          <w:szCs w:val="24"/>
        </w:rPr>
        <w:t>-</w:t>
      </w:r>
      <w:r w:rsidR="0062551C" w:rsidRPr="00752F26">
        <w:rPr>
          <w:rFonts w:ascii="Garamond" w:eastAsia="Times New Roman" w:hAnsi="Garamond"/>
          <w:sz w:val="24"/>
          <w:szCs w:val="24"/>
        </w:rPr>
        <w:t>ja</w:t>
      </w:r>
      <w:r w:rsidRPr="00752F26">
        <w:rPr>
          <w:rFonts w:ascii="Garamond" w:eastAsia="Times New Roman" w:hAnsi="Garamond"/>
          <w:sz w:val="24"/>
          <w:szCs w:val="24"/>
        </w:rPr>
        <w:t xml:space="preserve"> monitoroi</w:t>
      </w:r>
      <w:r w:rsidRPr="00E266CD">
        <w:rPr>
          <w:rFonts w:ascii="Garamond" w:eastAsia="Times New Roman" w:hAnsi="Garamond"/>
          <w:sz w:val="24"/>
          <w:szCs w:val="24"/>
        </w:rPr>
        <w:t xml:space="preserve"> për herë të dytë zbatimin e “Strategjisë Kombëtare për </w:t>
      </w:r>
      <w:r w:rsidR="0062551C" w:rsidRPr="00E266CD">
        <w:rPr>
          <w:rFonts w:ascii="Garamond" w:eastAsia="Times New Roman" w:hAnsi="Garamond"/>
          <w:sz w:val="24"/>
          <w:szCs w:val="24"/>
        </w:rPr>
        <w:t>Kërkimin Shkencor</w:t>
      </w:r>
      <w:r w:rsidRPr="00E266CD">
        <w:rPr>
          <w:rFonts w:ascii="Garamond" w:eastAsia="Times New Roman" w:hAnsi="Garamond"/>
          <w:sz w:val="24"/>
          <w:szCs w:val="24"/>
        </w:rPr>
        <w:t xml:space="preserve">, </w:t>
      </w:r>
      <w:r w:rsidR="0062551C" w:rsidRPr="00E266CD">
        <w:rPr>
          <w:rFonts w:ascii="Garamond" w:eastAsia="Times New Roman" w:hAnsi="Garamond"/>
          <w:sz w:val="24"/>
          <w:szCs w:val="24"/>
        </w:rPr>
        <w:t xml:space="preserve">Teknologjinë </w:t>
      </w:r>
      <w:r w:rsidRPr="00E266CD">
        <w:rPr>
          <w:rFonts w:ascii="Garamond" w:eastAsia="Times New Roman" w:hAnsi="Garamond"/>
          <w:sz w:val="24"/>
          <w:szCs w:val="24"/>
        </w:rPr>
        <w:t>dhe Inovacionin 2017</w:t>
      </w:r>
      <w:r w:rsidR="00430904" w:rsidRPr="00E266CD">
        <w:rPr>
          <w:rFonts w:ascii="Garamond" w:hAnsi="Garamond"/>
          <w:sz w:val="24"/>
        </w:rPr>
        <w:t>–</w:t>
      </w:r>
      <w:r w:rsidRPr="00E266CD">
        <w:rPr>
          <w:rFonts w:ascii="Garamond" w:eastAsia="Times New Roman" w:hAnsi="Garamond"/>
          <w:sz w:val="24"/>
          <w:szCs w:val="24"/>
        </w:rPr>
        <w:t>2022”.</w:t>
      </w:r>
    </w:p>
    <w:p w14:paraId="0DC7246D"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Në të dyja rastet, analiza u realizua </w:t>
      </w:r>
      <w:r w:rsidRPr="00E266CD">
        <w:rPr>
          <w:rFonts w:ascii="Garamond" w:eastAsia="Times New Roman" w:hAnsi="Garamond"/>
          <w:b/>
          <w:sz w:val="24"/>
          <w:szCs w:val="24"/>
        </w:rPr>
        <w:t xml:space="preserve">në dy nivele </w:t>
      </w:r>
      <w:r w:rsidRPr="00E266CD">
        <w:rPr>
          <w:rFonts w:ascii="Garamond" w:eastAsia="Times New Roman" w:hAnsi="Garamond"/>
          <w:sz w:val="24"/>
          <w:szCs w:val="24"/>
        </w:rPr>
        <w:t>për çdo prioritet strategjik:</w:t>
      </w:r>
    </w:p>
    <w:p w14:paraId="2BCD2CF6" w14:textId="77777777" w:rsidR="00F91888" w:rsidRPr="00E266CD" w:rsidRDefault="00A66F5C" w:rsidP="00A66F5C">
      <w:pPr>
        <w:pStyle w:val="TEKSTIIII"/>
      </w:pPr>
      <w:r w:rsidRPr="00E266CD">
        <w:t xml:space="preserve">- </w:t>
      </w:r>
      <w:r w:rsidR="00F91888" w:rsidRPr="00E266CD">
        <w:t>Identifikim të statusit të produkteve;</w:t>
      </w:r>
    </w:p>
    <w:p w14:paraId="79429827" w14:textId="77777777" w:rsidR="00F91888" w:rsidRPr="00E266CD" w:rsidRDefault="00A66F5C" w:rsidP="00A66F5C">
      <w:pPr>
        <w:pStyle w:val="TEKSTIIII"/>
      </w:pPr>
      <w:r w:rsidRPr="00E266CD">
        <w:t xml:space="preserve">- </w:t>
      </w:r>
      <w:r w:rsidR="00F91888" w:rsidRPr="00E266CD">
        <w:t>Identifikim të statusit për arritjen e treguesve.</w:t>
      </w:r>
    </w:p>
    <w:p w14:paraId="0AD4189E" w14:textId="432BA390" w:rsidR="00F91888" w:rsidRPr="00E266CD" w:rsidRDefault="00F91888" w:rsidP="0062551C">
      <w:pPr>
        <w:ind w:firstLine="284"/>
        <w:rPr>
          <w:rFonts w:ascii="Garamond" w:eastAsia="Times New Roman" w:hAnsi="Garamond"/>
          <w:sz w:val="24"/>
          <w:szCs w:val="24"/>
        </w:rPr>
      </w:pPr>
      <w:r w:rsidRPr="00E266CD">
        <w:rPr>
          <w:rFonts w:ascii="Garamond" w:eastAsia="Times New Roman" w:hAnsi="Garamond"/>
          <w:sz w:val="24"/>
          <w:szCs w:val="24"/>
        </w:rPr>
        <w:t>SKKSHTI 2017</w:t>
      </w:r>
      <w:r w:rsidR="00430904" w:rsidRPr="00E266CD">
        <w:rPr>
          <w:rFonts w:ascii="Garamond" w:hAnsi="Garamond"/>
          <w:sz w:val="24"/>
        </w:rPr>
        <w:t>–</w:t>
      </w:r>
      <w:r w:rsidRPr="00E266CD">
        <w:rPr>
          <w:rFonts w:ascii="Garamond" w:eastAsia="Times New Roman" w:hAnsi="Garamond"/>
          <w:sz w:val="24"/>
          <w:szCs w:val="24"/>
        </w:rPr>
        <w:t>2022 ishte e organizuar në katër (4) prioritete strategjike, tetë (8) qëllime strategjike dhe njëzet (20) objektiva, progresi i të cilave synohej të matej nëpërmjet realizimit të dyzet e pesë (45) produkteve dhe arritjes së gjashtëmbëdhjetë treguesve të rezultatit për një periudhë pesëvjeçare. Bazuar në raportin e monitorimit, Strategjia Kombëtare për Kërkimin Shkencor, Teknologjinë dhe Inovacionin 2017</w:t>
      </w:r>
      <w:r w:rsidR="00430904" w:rsidRPr="00E266CD">
        <w:rPr>
          <w:rFonts w:ascii="Garamond" w:hAnsi="Garamond"/>
          <w:sz w:val="24"/>
        </w:rPr>
        <w:t>–</w:t>
      </w:r>
      <w:r w:rsidRPr="00E266CD">
        <w:rPr>
          <w:rFonts w:ascii="Garamond" w:eastAsia="Times New Roman" w:hAnsi="Garamond"/>
          <w:sz w:val="24"/>
          <w:szCs w:val="24"/>
        </w:rPr>
        <w:t xml:space="preserve">2022 (SKKSHTI) dhe </w:t>
      </w:r>
      <w:r w:rsidR="0062551C" w:rsidRPr="00E266CD">
        <w:rPr>
          <w:rFonts w:ascii="Garamond" w:eastAsia="Times New Roman" w:hAnsi="Garamond"/>
          <w:sz w:val="24"/>
          <w:szCs w:val="24"/>
        </w:rPr>
        <w:t>plani i veprimit të</w:t>
      </w:r>
      <w:r w:rsidRPr="00E266CD">
        <w:rPr>
          <w:rFonts w:ascii="Garamond" w:eastAsia="Times New Roman" w:hAnsi="Garamond"/>
          <w:sz w:val="24"/>
          <w:szCs w:val="24"/>
        </w:rPr>
        <w:t xml:space="preserve"> saj janë vlerësuar si një hap pozitiv në kuadër të planifikimit të masave për konsolidimin institucional, ligjor e financiar të kërkimit shkencor, ekosistemit të inovacionit dhe zhvillimit teknologjik. Megjithatë, raporti i monitorimit të Strategjisë evidentoi rëndësinë e rishikimit të resurseve buxhetore të planifikuara për </w:t>
      </w:r>
      <w:r w:rsidR="0062551C" w:rsidRPr="00E266CD">
        <w:rPr>
          <w:rFonts w:ascii="Garamond" w:eastAsia="Times New Roman" w:hAnsi="Garamond"/>
          <w:sz w:val="24"/>
          <w:szCs w:val="24"/>
        </w:rPr>
        <w:t xml:space="preserve">kërkimin shkencor dhe inovacionin </w:t>
      </w:r>
      <w:r w:rsidRPr="00E266CD">
        <w:rPr>
          <w:rFonts w:ascii="Garamond" w:eastAsia="Times New Roman" w:hAnsi="Garamond"/>
          <w:sz w:val="24"/>
          <w:szCs w:val="24"/>
        </w:rPr>
        <w:t>nga 0.03% e PBB-së në 1% të saj.</w:t>
      </w:r>
    </w:p>
    <w:p w14:paraId="05C11009" w14:textId="7C2E944A"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Hartimi i strategjisë u ndërmor në kuadër të procesit të reformimit të Sistemit të Shkencës iniciuar nga qeveria</w:t>
      </w:r>
      <w:r w:rsidR="0062551C">
        <w:rPr>
          <w:rFonts w:ascii="Garamond" w:eastAsia="Times New Roman" w:hAnsi="Garamond"/>
          <w:sz w:val="24"/>
          <w:szCs w:val="24"/>
        </w:rPr>
        <w:t>,</w:t>
      </w:r>
      <w:r w:rsidRPr="00E266CD">
        <w:rPr>
          <w:rFonts w:ascii="Garamond" w:eastAsia="Times New Roman" w:hAnsi="Garamond"/>
          <w:sz w:val="24"/>
          <w:szCs w:val="24"/>
        </w:rPr>
        <w:t xml:space="preserve"> mbështetur në hartimin e tri dokumenteve kryesorë:</w:t>
      </w:r>
    </w:p>
    <w:p w14:paraId="5A90EA4E" w14:textId="3F9EDB0C"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1. Hartimi i Strategjisë Kombëtare për Shkencën, Teknologjinë dhe Inovacionin për periudhën 2017</w:t>
      </w:r>
      <w:r w:rsidR="00430904" w:rsidRPr="00E266CD">
        <w:rPr>
          <w:rFonts w:ascii="Garamond" w:hAnsi="Garamond"/>
          <w:sz w:val="24"/>
        </w:rPr>
        <w:t>–</w:t>
      </w:r>
      <w:r w:rsidRPr="00E266CD">
        <w:rPr>
          <w:rFonts w:ascii="Garamond" w:eastAsia="Times New Roman" w:hAnsi="Garamond"/>
          <w:sz w:val="24"/>
          <w:szCs w:val="24"/>
        </w:rPr>
        <w:t>2022;</w:t>
      </w:r>
    </w:p>
    <w:p w14:paraId="0479A5A8"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2. Hartimi i dokumentit politik për riformimin e sistemit institucional të kërkimit shkencor në Republikën e Shqipërisë;</w:t>
      </w:r>
    </w:p>
    <w:p w14:paraId="49D4C00C"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3. Hartimi i projektligjit për shkencën në Republikën e Shqipërisë.</w:t>
      </w:r>
    </w:p>
    <w:p w14:paraId="01D87809" w14:textId="21FBD7F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Me gjithë përpjekjet dhe iniciativën në nivel ministrie, raporti i vlerësimit nënvizon se projektligji për kërkimin shkencor është ende në pritje të miratimit. Mosmiratimi i projektligjit ka ndikuar në vonesën e ngritjes së sistemit institucional të kërkimit shkencor të planifikuar në Strategji:</w:t>
      </w:r>
    </w:p>
    <w:p w14:paraId="6881A56B" w14:textId="1EC1005E" w:rsidR="00F91888" w:rsidRPr="00E266CD" w:rsidRDefault="003F398D" w:rsidP="003F398D">
      <w:pPr>
        <w:pStyle w:val="TEKSTIIII"/>
      </w:pPr>
      <w:r w:rsidRPr="00E266CD">
        <w:t xml:space="preserve">- </w:t>
      </w:r>
      <w:r w:rsidR="00F91888" w:rsidRPr="00E266CD">
        <w:t xml:space="preserve">Krijimi i </w:t>
      </w:r>
      <w:r w:rsidR="0062551C" w:rsidRPr="00E266CD">
        <w:t>këshillit ndërministror të politikave të shkencës, teknologjisë e inovacionit</w:t>
      </w:r>
      <w:r w:rsidR="00F91888" w:rsidRPr="00E266CD">
        <w:t>;</w:t>
      </w:r>
    </w:p>
    <w:p w14:paraId="50B3E3E5" w14:textId="10DA09D1" w:rsidR="00F91888" w:rsidRPr="00E266CD" w:rsidRDefault="003F398D" w:rsidP="003F398D">
      <w:pPr>
        <w:pStyle w:val="TEKSTIIII"/>
      </w:pPr>
      <w:r w:rsidRPr="00E266CD">
        <w:t xml:space="preserve">- </w:t>
      </w:r>
      <w:r w:rsidR="00F91888" w:rsidRPr="00E266CD">
        <w:t xml:space="preserve">Krijimi i një </w:t>
      </w:r>
      <w:r w:rsidR="0062551C" w:rsidRPr="00E266CD">
        <w:t xml:space="preserve">strukture koordinuese kombëtare për </w:t>
      </w:r>
      <w:r w:rsidR="00F91888" w:rsidRPr="00E266CD">
        <w:t>politikat SHTI;</w:t>
      </w:r>
    </w:p>
    <w:p w14:paraId="203AB9DC" w14:textId="3A50FB45" w:rsidR="00F91888" w:rsidRPr="00E266CD" w:rsidRDefault="003F398D" w:rsidP="003F398D">
      <w:pPr>
        <w:pStyle w:val="TEKSTIIII"/>
      </w:pPr>
      <w:r w:rsidRPr="00E266CD">
        <w:t xml:space="preserve">- </w:t>
      </w:r>
      <w:r w:rsidR="00F91888" w:rsidRPr="00E266CD">
        <w:t xml:space="preserve">Krijimi i </w:t>
      </w:r>
      <w:r w:rsidR="0062551C" w:rsidRPr="00E266CD">
        <w:t>nënkomisionit të përhershëm parlamentar për shkencën, teknologjinë e inovacionin pranë komisionit të arsimit.</w:t>
      </w:r>
    </w:p>
    <w:p w14:paraId="07F8F575" w14:textId="7194B41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Raportet e monitorimit kanë evidentuar një sërë arritjesh në fushën e shkencës, teknologjisë dhe inovacionit. Është hartuar dokumenti </w:t>
      </w:r>
      <w:r w:rsidR="0062551C">
        <w:rPr>
          <w:rFonts w:ascii="Garamond" w:eastAsia="Times New Roman" w:hAnsi="Garamond"/>
          <w:sz w:val="24"/>
          <w:szCs w:val="24"/>
        </w:rPr>
        <w:t>r</w:t>
      </w:r>
      <w:r w:rsidRPr="00E266CD">
        <w:rPr>
          <w:rFonts w:ascii="Garamond" w:eastAsia="Times New Roman" w:hAnsi="Garamond"/>
          <w:sz w:val="24"/>
          <w:szCs w:val="24"/>
        </w:rPr>
        <w:t>ekomandues mbi reformimin e sistemit institucional të kërkimit shkencor në Shqipëri nga grupi i punës, ngritur me urdhrin nr. 276, datë 1.6.2016</w:t>
      </w:r>
      <w:r w:rsidR="00663201" w:rsidRPr="00E266CD">
        <w:rPr>
          <w:rFonts w:ascii="Garamond" w:eastAsia="Times New Roman" w:hAnsi="Garamond"/>
          <w:sz w:val="24"/>
          <w:szCs w:val="24"/>
        </w:rPr>
        <w:t>,</w:t>
      </w:r>
      <w:r w:rsidRPr="00E266CD">
        <w:rPr>
          <w:rFonts w:ascii="Garamond" w:eastAsia="Times New Roman" w:hAnsi="Garamond"/>
          <w:sz w:val="24"/>
          <w:szCs w:val="24"/>
        </w:rPr>
        <w:t xml:space="preserve"> të </w:t>
      </w:r>
      <w:r w:rsidR="0062551C">
        <w:rPr>
          <w:rFonts w:ascii="Garamond" w:eastAsia="Times New Roman" w:hAnsi="Garamond"/>
          <w:sz w:val="24"/>
          <w:szCs w:val="24"/>
        </w:rPr>
        <w:t>m</w:t>
      </w:r>
      <w:r w:rsidRPr="00E266CD">
        <w:rPr>
          <w:rFonts w:ascii="Garamond" w:eastAsia="Times New Roman" w:hAnsi="Garamond"/>
          <w:sz w:val="24"/>
          <w:szCs w:val="24"/>
        </w:rPr>
        <w:t>inistrit të Arsimit dhe Sportit</w:t>
      </w:r>
      <w:r w:rsidR="0062551C">
        <w:rPr>
          <w:rFonts w:ascii="Garamond" w:eastAsia="Times New Roman" w:hAnsi="Garamond"/>
          <w:sz w:val="24"/>
          <w:szCs w:val="24"/>
        </w:rPr>
        <w:t>,</w:t>
      </w:r>
      <w:r w:rsidRPr="00E266CD">
        <w:rPr>
          <w:rFonts w:ascii="Garamond" w:eastAsia="Times New Roman" w:hAnsi="Garamond"/>
          <w:sz w:val="24"/>
          <w:szCs w:val="24"/>
        </w:rPr>
        <w:t xml:space="preserve"> “Për ngritjen e </w:t>
      </w:r>
      <w:r w:rsidR="0062551C" w:rsidRPr="00E266CD">
        <w:rPr>
          <w:rFonts w:ascii="Garamond" w:eastAsia="Times New Roman" w:hAnsi="Garamond"/>
          <w:sz w:val="24"/>
          <w:szCs w:val="24"/>
        </w:rPr>
        <w:t>grupit të punës për reformimin e sistemit institucional të kërkimit shkencor</w:t>
      </w:r>
      <w:r w:rsidRPr="00E266CD">
        <w:rPr>
          <w:rFonts w:ascii="Garamond" w:eastAsia="Times New Roman" w:hAnsi="Garamond"/>
          <w:sz w:val="24"/>
          <w:szCs w:val="24"/>
        </w:rPr>
        <w:t xml:space="preserve">”. Ky dokument përcakton </w:t>
      </w:r>
      <w:r w:rsidR="0062551C" w:rsidRPr="00E266CD">
        <w:rPr>
          <w:rFonts w:ascii="Garamond" w:eastAsia="Times New Roman" w:hAnsi="Garamond"/>
          <w:sz w:val="24"/>
          <w:szCs w:val="24"/>
        </w:rPr>
        <w:t xml:space="preserve">vizionin, misionin dhe parimet bazë </w:t>
      </w:r>
      <w:r w:rsidRPr="00E266CD">
        <w:rPr>
          <w:rFonts w:ascii="Garamond" w:eastAsia="Times New Roman" w:hAnsi="Garamond"/>
          <w:sz w:val="24"/>
          <w:szCs w:val="24"/>
        </w:rPr>
        <w:t>të reformës së kërkimit shkencor.</w:t>
      </w:r>
    </w:p>
    <w:p w14:paraId="74ED3662" w14:textId="48452FDA"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AKKSHI</w:t>
      </w:r>
      <w:r w:rsidR="0062551C">
        <w:rPr>
          <w:rFonts w:ascii="Garamond" w:eastAsia="Times New Roman" w:hAnsi="Garamond"/>
          <w:sz w:val="24"/>
          <w:szCs w:val="24"/>
        </w:rPr>
        <w:t>,</w:t>
      </w:r>
      <w:r w:rsidRPr="00E266CD">
        <w:rPr>
          <w:rFonts w:ascii="Garamond" w:eastAsia="Times New Roman" w:hAnsi="Garamond"/>
          <w:sz w:val="24"/>
          <w:szCs w:val="24"/>
        </w:rPr>
        <w:t xml:space="preserve"> bazuar në </w:t>
      </w:r>
      <w:r w:rsidR="00430904" w:rsidRPr="00E266CD">
        <w:rPr>
          <w:rFonts w:ascii="Garamond" w:eastAsia="Times New Roman" w:hAnsi="Garamond"/>
          <w:sz w:val="24"/>
          <w:szCs w:val="24"/>
        </w:rPr>
        <w:t>v</w:t>
      </w:r>
      <w:r w:rsidRPr="00E266CD">
        <w:rPr>
          <w:rFonts w:ascii="Garamond" w:eastAsia="Times New Roman" w:hAnsi="Garamond"/>
          <w:sz w:val="24"/>
          <w:szCs w:val="24"/>
        </w:rPr>
        <w:t xml:space="preserve">endimin nr. 11, datë 26.6.2019, të Bordit të Administrimit, ka realizuar financimin e 6 projekteve të aplikuara në </w:t>
      </w:r>
      <w:r w:rsidR="0062551C">
        <w:rPr>
          <w:rFonts w:ascii="Garamond" w:eastAsia="Times New Roman" w:hAnsi="Garamond"/>
          <w:sz w:val="24"/>
          <w:szCs w:val="24"/>
        </w:rPr>
        <w:t>t</w:t>
      </w:r>
      <w:r w:rsidRPr="00E266CD">
        <w:rPr>
          <w:rFonts w:ascii="Garamond" w:eastAsia="Times New Roman" w:hAnsi="Garamond"/>
          <w:sz w:val="24"/>
          <w:szCs w:val="24"/>
        </w:rPr>
        <w:t xml:space="preserve">hirrjen e shpallur në muajin qershor 2018, në 6 fushat e </w:t>
      </w:r>
      <w:r w:rsidR="0062551C" w:rsidRPr="00E266CD">
        <w:rPr>
          <w:rFonts w:ascii="Garamond" w:eastAsia="Times New Roman" w:hAnsi="Garamond"/>
          <w:sz w:val="24"/>
          <w:szCs w:val="24"/>
        </w:rPr>
        <w:t>programeve kombëtare të kërkim</w:t>
      </w:r>
      <w:r w:rsidR="0062551C">
        <w:rPr>
          <w:rFonts w:ascii="Garamond" w:eastAsia="Times New Roman" w:hAnsi="Garamond"/>
          <w:sz w:val="24"/>
          <w:szCs w:val="24"/>
        </w:rPr>
        <w:t>-</w:t>
      </w:r>
      <w:r w:rsidR="0062551C" w:rsidRPr="00E266CD">
        <w:rPr>
          <w:rFonts w:ascii="Garamond" w:eastAsia="Times New Roman" w:hAnsi="Garamond"/>
          <w:sz w:val="24"/>
          <w:szCs w:val="24"/>
        </w:rPr>
        <w:t>zhvillimit</w:t>
      </w:r>
      <w:r w:rsidRPr="00E266CD">
        <w:rPr>
          <w:rFonts w:ascii="Garamond" w:eastAsia="Times New Roman" w:hAnsi="Garamond"/>
          <w:sz w:val="24"/>
          <w:szCs w:val="24"/>
        </w:rPr>
        <w:t xml:space="preserve">. Vlera e financuar për këto projekte është 39,779,340 lekë. Në vitin 2021 u financua faza e dytë e këtyre projekteve në vlerën 8,941,663 lekë. Po kështu, bazuar në </w:t>
      </w:r>
      <w:r w:rsidR="00430904" w:rsidRPr="00E266CD">
        <w:rPr>
          <w:rFonts w:ascii="Garamond" w:eastAsia="Times New Roman" w:hAnsi="Garamond"/>
          <w:sz w:val="24"/>
          <w:szCs w:val="24"/>
        </w:rPr>
        <w:t>v</w:t>
      </w:r>
      <w:r w:rsidRPr="00E266CD">
        <w:rPr>
          <w:rFonts w:ascii="Garamond" w:eastAsia="Times New Roman" w:hAnsi="Garamond"/>
          <w:sz w:val="24"/>
          <w:szCs w:val="24"/>
        </w:rPr>
        <w:t>endimin nr. 1, datë 21.7.2021, të Bordit të Administrimit, AKKSHI ka realizuar financimin e 15 projekteve të infrastrukturës së kërkimit shkencor në vitin 2019. Vlera e projekteve të financuara është 164,114,255 lekë. Gjatë 2021</w:t>
      </w:r>
      <w:r w:rsidR="0062551C">
        <w:rPr>
          <w:rFonts w:ascii="Garamond" w:eastAsia="Times New Roman" w:hAnsi="Garamond"/>
          <w:sz w:val="24"/>
          <w:szCs w:val="24"/>
        </w:rPr>
        <w:t>-shit</w:t>
      </w:r>
      <w:r w:rsidRPr="00E266CD">
        <w:rPr>
          <w:rFonts w:ascii="Garamond" w:eastAsia="Times New Roman" w:hAnsi="Garamond"/>
          <w:sz w:val="24"/>
          <w:szCs w:val="24"/>
        </w:rPr>
        <w:t>, bazuar në vendimin nr. 1, datë 1.10.2021</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të Bordit të Administrimit, AKKSHI ka realizuar financimin e 15 projekteve të infrastrukturës së kërkimit shkencor për vitin 2021</w:t>
      </w:r>
      <w:r w:rsidR="0062551C">
        <w:rPr>
          <w:rFonts w:ascii="Garamond" w:eastAsia="Times New Roman" w:hAnsi="Garamond"/>
          <w:sz w:val="24"/>
          <w:szCs w:val="24"/>
        </w:rPr>
        <w:t>,</w:t>
      </w:r>
      <w:r w:rsidRPr="00E266CD">
        <w:rPr>
          <w:rFonts w:ascii="Garamond" w:eastAsia="Times New Roman" w:hAnsi="Garamond"/>
          <w:sz w:val="24"/>
          <w:szCs w:val="24"/>
        </w:rPr>
        <w:t xml:space="preserve"> në shumën 186,300,255 lekë. 55% e drejtuesve të projekteve të financuara në AKKSHI, në vitin 2021</w:t>
      </w:r>
      <w:r w:rsidR="0062551C">
        <w:rPr>
          <w:rFonts w:ascii="Garamond" w:eastAsia="Times New Roman" w:hAnsi="Garamond"/>
          <w:sz w:val="24"/>
          <w:szCs w:val="24"/>
        </w:rPr>
        <w:t>,</w:t>
      </w:r>
      <w:r w:rsidRPr="00E266CD">
        <w:rPr>
          <w:rFonts w:ascii="Garamond" w:eastAsia="Times New Roman" w:hAnsi="Garamond"/>
          <w:sz w:val="24"/>
          <w:szCs w:val="24"/>
        </w:rPr>
        <w:t xml:space="preserve"> ishin gra dhe vajza.</w:t>
      </w:r>
    </w:p>
    <w:p w14:paraId="4B4C463C" w14:textId="6CA876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Ndërkohë, Agjencia Kombëtare e Financimit dhe Arsimit të Lartë (AKFAL), organizimi dhe funksionimi i të cilës është miratuar me </w:t>
      </w:r>
      <w:r w:rsidR="0062551C">
        <w:rPr>
          <w:rFonts w:ascii="Garamond" w:eastAsia="Times New Roman" w:hAnsi="Garamond"/>
          <w:sz w:val="24"/>
          <w:szCs w:val="24"/>
        </w:rPr>
        <w:t>v</w:t>
      </w:r>
      <w:r w:rsidRPr="00E266CD">
        <w:rPr>
          <w:rFonts w:ascii="Garamond" w:eastAsia="Times New Roman" w:hAnsi="Garamond"/>
          <w:sz w:val="24"/>
          <w:szCs w:val="24"/>
        </w:rPr>
        <w:t xml:space="preserve">endim të Këshillit të Ministrave nr. 397, datë 3.5.2017, në zbatim të </w:t>
      </w:r>
      <w:r w:rsidR="0062551C">
        <w:rPr>
          <w:rFonts w:ascii="Garamond" w:eastAsia="Times New Roman" w:hAnsi="Garamond"/>
          <w:sz w:val="24"/>
          <w:szCs w:val="24"/>
        </w:rPr>
        <w:t>l</w:t>
      </w:r>
      <w:r w:rsidRPr="00E266CD">
        <w:rPr>
          <w:rFonts w:ascii="Garamond" w:eastAsia="Times New Roman" w:hAnsi="Garamond"/>
          <w:sz w:val="24"/>
          <w:szCs w:val="24"/>
        </w:rPr>
        <w:t>igjit të arsimit të lartë nr. 80/2015</w:t>
      </w:r>
      <w:r w:rsidR="0062551C">
        <w:rPr>
          <w:rFonts w:ascii="Garamond" w:eastAsia="Times New Roman" w:hAnsi="Garamond"/>
          <w:sz w:val="24"/>
          <w:szCs w:val="24"/>
        </w:rPr>
        <w:t>,</w:t>
      </w:r>
      <w:r w:rsidRPr="00E266CD">
        <w:rPr>
          <w:rFonts w:ascii="Garamond" w:eastAsia="Times New Roman" w:hAnsi="Garamond"/>
          <w:sz w:val="24"/>
          <w:szCs w:val="24"/>
        </w:rPr>
        <w:t xml:space="preserve"> me funksion parësor shpërndarjen e fondeve publike për mbështetjen e veprimtarisë së institucioneve publike të </w:t>
      </w:r>
      <w:r w:rsidR="0062551C" w:rsidRPr="00E266CD">
        <w:rPr>
          <w:rFonts w:ascii="Garamond" w:eastAsia="Times New Roman" w:hAnsi="Garamond"/>
          <w:sz w:val="24"/>
          <w:szCs w:val="24"/>
        </w:rPr>
        <w:t>arsimit të lartë</w:t>
      </w:r>
      <w:r w:rsidRPr="00E266CD">
        <w:rPr>
          <w:rFonts w:ascii="Garamond" w:eastAsia="Times New Roman" w:hAnsi="Garamond"/>
          <w:sz w:val="24"/>
          <w:szCs w:val="24"/>
        </w:rPr>
        <w:t>, mbështetjen me bursa të studentëve, dhe garantimin e skemës së kredive studentore</w:t>
      </w:r>
      <w:r w:rsidR="0062551C">
        <w:rPr>
          <w:rFonts w:ascii="Garamond" w:eastAsia="Times New Roman" w:hAnsi="Garamond"/>
          <w:sz w:val="24"/>
          <w:szCs w:val="24"/>
        </w:rPr>
        <w:t>,</w:t>
      </w:r>
      <w:r w:rsidRPr="00E266CD">
        <w:rPr>
          <w:rFonts w:ascii="Garamond" w:eastAsia="Times New Roman" w:hAnsi="Garamond"/>
          <w:sz w:val="24"/>
          <w:szCs w:val="24"/>
        </w:rPr>
        <w:t xml:space="preserve"> është bërë funksionale.</w:t>
      </w:r>
    </w:p>
    <w:p w14:paraId="482F56B8" w14:textId="15D5B11D"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Mbështetur në vendimin nr. 504, datë 24.6.2020, të Këshillit të Ministrave</w:t>
      </w:r>
      <w:r w:rsidR="0062551C">
        <w:rPr>
          <w:rFonts w:ascii="Garamond" w:eastAsia="Times New Roman" w:hAnsi="Garamond"/>
          <w:sz w:val="24"/>
          <w:szCs w:val="24"/>
        </w:rPr>
        <w:t>,</w:t>
      </w:r>
      <w:r w:rsidRPr="00E266CD">
        <w:rPr>
          <w:rFonts w:ascii="Garamond" w:eastAsia="Times New Roman" w:hAnsi="Garamond"/>
          <w:sz w:val="24"/>
          <w:szCs w:val="24"/>
        </w:rPr>
        <w:t xml:space="preserve"> “Për krijimin e bazës së të dhënave shtetërore të studentëve të cilët studiojnë jashtë vendit dhe shtetasve të huaj me origjinë shqiptare të cilët përfitojnë bursa nga Republika e Shqipërisë”, platforma “Databaza e studentëve” aktualisht është funksionale dhe e aksesueshme. Baza e të dhënave shtetërore e studentëve shqiptarë ka si institucion administrues Agjencinë Kombëtare të Diasporës. Platforma përbën risi në zhvillimin e një sistemi informatik për automatizimin e procedurës së përfitimit të bursave të studimit nga Republika e Shqipërisë, i cili në zbatim të politikave të institucionit do të përmirësojë procesin e regjistrimit, verifikimit dhe menaxhimit të të gjithë të dhënave të nevojshme të studentëve.</w:t>
      </w:r>
    </w:p>
    <w:p w14:paraId="5B1EB266" w14:textId="22E9E33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Agjencia Kombëtare e Diasporës, në kuadër të realizimit të misionit të saj, bazuar në </w:t>
      </w:r>
      <w:r w:rsidR="0062551C">
        <w:rPr>
          <w:rFonts w:ascii="Garamond" w:eastAsia="Times New Roman" w:hAnsi="Garamond"/>
          <w:sz w:val="24"/>
          <w:szCs w:val="24"/>
        </w:rPr>
        <w:t>l</w:t>
      </w:r>
      <w:r w:rsidRPr="00E266CD">
        <w:rPr>
          <w:rFonts w:ascii="Garamond" w:eastAsia="Times New Roman" w:hAnsi="Garamond"/>
          <w:sz w:val="24"/>
          <w:szCs w:val="24"/>
        </w:rPr>
        <w:t>igjin nr.</w:t>
      </w:r>
      <w:r w:rsidR="00430904" w:rsidRPr="00E266CD">
        <w:rPr>
          <w:rFonts w:ascii="Garamond" w:eastAsia="Times New Roman" w:hAnsi="Garamond"/>
          <w:sz w:val="24"/>
          <w:szCs w:val="24"/>
        </w:rPr>
        <w:t xml:space="preserve"> </w:t>
      </w:r>
      <w:r w:rsidRPr="00E266CD">
        <w:rPr>
          <w:rFonts w:ascii="Garamond" w:eastAsia="Times New Roman" w:hAnsi="Garamond"/>
          <w:sz w:val="24"/>
          <w:szCs w:val="24"/>
        </w:rPr>
        <w:t>115, datë 18.12.2017</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“Për krijimin e Agjencisë Kombëtare të Diasporës”, </w:t>
      </w:r>
      <w:r w:rsidR="0062551C" w:rsidRPr="00E266CD">
        <w:rPr>
          <w:rFonts w:ascii="Garamond" w:eastAsia="Times New Roman" w:hAnsi="Garamond"/>
          <w:sz w:val="24"/>
          <w:szCs w:val="24"/>
        </w:rPr>
        <w:t>të</w:t>
      </w:r>
      <w:r w:rsidRPr="00E266CD">
        <w:rPr>
          <w:rFonts w:ascii="Garamond" w:eastAsia="Times New Roman" w:hAnsi="Garamond"/>
          <w:sz w:val="24"/>
          <w:szCs w:val="24"/>
        </w:rPr>
        <w:t xml:space="preserve"> ndryshuar, me qëllim ruajtjen dhe promovimin e vlerave të identitetit kombëtar dhe trashëgimisë kulturore, si dhe forcimin dhe konsolidimin e bashkëpunimit institucional me diasporën, ka nënshkruar me datë 16.9.2021, marrëveshje bashkëpunimi me </w:t>
      </w:r>
      <w:r w:rsidR="0062551C">
        <w:rPr>
          <w:rFonts w:ascii="Garamond" w:eastAsia="Times New Roman" w:hAnsi="Garamond"/>
          <w:sz w:val="24"/>
          <w:szCs w:val="24"/>
        </w:rPr>
        <w:t>i</w:t>
      </w:r>
      <w:r w:rsidRPr="00E266CD">
        <w:rPr>
          <w:rFonts w:ascii="Garamond" w:eastAsia="Times New Roman" w:hAnsi="Garamond"/>
          <w:sz w:val="24"/>
          <w:szCs w:val="24"/>
        </w:rPr>
        <w:t>nstitutin “Alb-Shkenca”. Nëpërmjet kësaj marrëveshje palët synojnë nxitjen e bashkëpunimit me Diasporën Shkencore Shqiptare në fushën e kërkim-zhvillimit, organizimin e takimeve dhe konferencave shkencore, botimin e punimeve dhe studimeve shkencore.</w:t>
      </w:r>
    </w:p>
    <w:p w14:paraId="43AEDFED" w14:textId="6C7C6A9E"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
          <w:sz w:val="24"/>
          <w:szCs w:val="24"/>
        </w:rPr>
        <w:t>Referuar rritjes së bashkëpunimit mes komunitetit të kërkimit shkencor dhe biznesit 2017</w:t>
      </w:r>
      <w:r w:rsidR="009A00E1">
        <w:rPr>
          <w:rFonts w:ascii="Garamond" w:eastAsia="Times New Roman" w:hAnsi="Garamond"/>
          <w:b/>
          <w:sz w:val="24"/>
          <w:szCs w:val="24"/>
        </w:rPr>
        <w:t>–</w:t>
      </w:r>
      <w:r w:rsidRPr="00E266CD">
        <w:rPr>
          <w:rFonts w:ascii="Garamond" w:eastAsia="Times New Roman" w:hAnsi="Garamond"/>
          <w:b/>
          <w:sz w:val="24"/>
          <w:szCs w:val="24"/>
        </w:rPr>
        <w:t>2022,</w:t>
      </w:r>
      <w:r w:rsidR="007715D0" w:rsidRPr="00E266CD">
        <w:rPr>
          <w:rFonts w:ascii="Garamond" w:eastAsia="Times New Roman" w:hAnsi="Garamond"/>
          <w:b/>
          <w:sz w:val="24"/>
          <w:szCs w:val="24"/>
        </w:rPr>
        <w:t xml:space="preserve"> </w:t>
      </w:r>
      <w:r w:rsidRPr="00E266CD">
        <w:rPr>
          <w:rFonts w:ascii="Garamond" w:eastAsia="Times New Roman" w:hAnsi="Garamond"/>
          <w:sz w:val="24"/>
          <w:szCs w:val="24"/>
        </w:rPr>
        <w:t>për periudhën 2017</w:t>
      </w:r>
      <w:r w:rsidR="00430904" w:rsidRPr="00E266CD">
        <w:rPr>
          <w:rFonts w:ascii="Garamond" w:hAnsi="Garamond"/>
          <w:b/>
          <w:sz w:val="24"/>
        </w:rPr>
        <w:t>–</w:t>
      </w:r>
      <w:r w:rsidRPr="00E266CD">
        <w:rPr>
          <w:rFonts w:ascii="Garamond" w:eastAsia="Times New Roman" w:hAnsi="Garamond"/>
          <w:sz w:val="24"/>
          <w:szCs w:val="24"/>
        </w:rPr>
        <w:t xml:space="preserve">2019 </w:t>
      </w:r>
      <w:r w:rsidR="009A00E1">
        <w:rPr>
          <w:rFonts w:ascii="Garamond" w:eastAsia="Times New Roman" w:hAnsi="Garamond"/>
          <w:sz w:val="24"/>
          <w:szCs w:val="24"/>
        </w:rPr>
        <w:t>q</w:t>
      </w:r>
      <w:r w:rsidRPr="00E266CD">
        <w:rPr>
          <w:rFonts w:ascii="Garamond" w:eastAsia="Times New Roman" w:hAnsi="Garamond"/>
          <w:sz w:val="24"/>
          <w:szCs w:val="24"/>
        </w:rPr>
        <w:t xml:space="preserve">everia </w:t>
      </w:r>
      <w:r w:rsidR="009A00E1">
        <w:rPr>
          <w:rFonts w:ascii="Garamond" w:eastAsia="Times New Roman" w:hAnsi="Garamond"/>
          <w:sz w:val="24"/>
          <w:szCs w:val="24"/>
        </w:rPr>
        <w:t>s</w:t>
      </w:r>
      <w:r w:rsidRPr="00E266CD">
        <w:rPr>
          <w:rFonts w:ascii="Garamond" w:eastAsia="Times New Roman" w:hAnsi="Garamond"/>
          <w:sz w:val="24"/>
          <w:szCs w:val="24"/>
        </w:rPr>
        <w:t>hqiptare vuri në dispozicion të mbështetjes së NVM-ve fondin total prej 194 000 000 lekë, të ndarë sipas fushave përkatëse, konkretisht:</w:t>
      </w:r>
    </w:p>
    <w:p w14:paraId="26D15E04" w14:textId="1B915F26" w:rsidR="00F91888" w:rsidRPr="00E266CD" w:rsidRDefault="009007BA" w:rsidP="009007BA">
      <w:pPr>
        <w:pStyle w:val="TEKSTIIII"/>
      </w:pPr>
      <w:r w:rsidRPr="00E266CD">
        <w:t>-</w:t>
      </w:r>
      <w:r w:rsidR="00663201" w:rsidRPr="00E266CD">
        <w:t xml:space="preserve"> </w:t>
      </w:r>
      <w:r w:rsidR="00F91888" w:rsidRPr="00E266CD">
        <w:t>Fondi i Konkurrueshmërisë, për periudhën referuese, me një total prej 94 000 000 lekë.</w:t>
      </w:r>
    </w:p>
    <w:p w14:paraId="49108DE7" w14:textId="04FF6459" w:rsidR="00F91888" w:rsidRPr="00E266CD" w:rsidRDefault="009007BA" w:rsidP="009007BA">
      <w:pPr>
        <w:pStyle w:val="TEKSTIIII"/>
      </w:pPr>
      <w:r w:rsidRPr="00E266CD">
        <w:t>-</w:t>
      </w:r>
      <w:r w:rsidR="00663201" w:rsidRPr="00E266CD">
        <w:t xml:space="preserve"> </w:t>
      </w:r>
      <w:r w:rsidR="00F91888" w:rsidRPr="00E266CD">
        <w:t xml:space="preserve">Fondi në Mbështetje të Sipërmarrjeve të Reja </w:t>
      </w:r>
      <w:r w:rsidR="00F91888" w:rsidRPr="00E266CD">
        <w:rPr>
          <w:i/>
        </w:rPr>
        <w:t>Start</w:t>
      </w:r>
      <w:r w:rsidR="00430904" w:rsidRPr="00E266CD">
        <w:rPr>
          <w:i/>
        </w:rPr>
        <w:t>u</w:t>
      </w:r>
      <w:r w:rsidR="00F91888" w:rsidRPr="00E266CD">
        <w:rPr>
          <w:i/>
        </w:rPr>
        <w:t>p</w:t>
      </w:r>
      <w:r w:rsidR="00F91888" w:rsidRPr="00E266CD">
        <w:t>, për periudhën referuese, me një total prej 30 000 000 lekë.</w:t>
      </w:r>
    </w:p>
    <w:p w14:paraId="1B20B794" w14:textId="68B7C431" w:rsidR="00F91888" w:rsidRPr="00E266CD" w:rsidRDefault="009007BA" w:rsidP="009007BA">
      <w:pPr>
        <w:pStyle w:val="TEKSTIIII"/>
      </w:pPr>
      <w:r w:rsidRPr="00E266CD">
        <w:t>-</w:t>
      </w:r>
      <w:r w:rsidR="00663201" w:rsidRPr="00E266CD">
        <w:t xml:space="preserve"> </w:t>
      </w:r>
      <w:r w:rsidR="00F91888" w:rsidRPr="00E266CD">
        <w:t>Fondi i Inovacionit, për periudhën referuese, me një total prej 40 000 000 lekë.</w:t>
      </w:r>
    </w:p>
    <w:p w14:paraId="512F6861" w14:textId="167DD40A" w:rsidR="00F91888" w:rsidRPr="00E266CD" w:rsidRDefault="009007BA" w:rsidP="009007BA">
      <w:pPr>
        <w:pStyle w:val="TEKSTIIII"/>
      </w:pPr>
      <w:r w:rsidRPr="00E266CD">
        <w:t>-</w:t>
      </w:r>
      <w:r w:rsidR="00663201" w:rsidRPr="00E266CD">
        <w:t xml:space="preserve"> </w:t>
      </w:r>
      <w:r w:rsidR="00F91888" w:rsidRPr="00E266CD">
        <w:t>Fondi i Ekonomisë Kreative, (Artizanatit), për periudhën referuese, me një total prej 30 000 000 lekë.</w:t>
      </w:r>
    </w:p>
    <w:p w14:paraId="22C4333F" w14:textId="7C130F0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Gjatë kësaj periudhe aplikuan në total 246 ndërmarrje dhe prej tyre u mbështetën 169 ndërmarrje, pra rreth 70% e aplikuesve kanë qenë aplikime cilësore të vlerësuara nga KAG (Komisioni i Aprovimit </w:t>
      </w:r>
      <w:r w:rsidR="00BF1624" w:rsidRPr="00E266CD">
        <w:rPr>
          <w:rFonts w:ascii="Garamond" w:hAnsi="Garamond"/>
        </w:rPr>
        <w:t>të</w:t>
      </w:r>
      <w:r w:rsidRPr="00E266CD">
        <w:rPr>
          <w:rFonts w:ascii="Garamond" w:eastAsia="Times New Roman" w:hAnsi="Garamond"/>
          <w:sz w:val="24"/>
          <w:szCs w:val="24"/>
        </w:rPr>
        <w:t xml:space="preserve"> Grantit) si fituese të mbështetjes financiare.</w:t>
      </w:r>
    </w:p>
    <w:p w14:paraId="5BEEC1D7" w14:textId="0F49B06D"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Për vitin 2020 dhe 2021, AIDA</w:t>
      </w:r>
      <w:r w:rsidR="009A00E1">
        <w:rPr>
          <w:rFonts w:ascii="Garamond" w:eastAsia="Times New Roman" w:hAnsi="Garamond"/>
          <w:sz w:val="24"/>
          <w:szCs w:val="24"/>
        </w:rPr>
        <w:t>,</w:t>
      </w:r>
      <w:r w:rsidRPr="00E266CD">
        <w:rPr>
          <w:rFonts w:ascii="Garamond" w:eastAsia="Times New Roman" w:hAnsi="Garamond"/>
          <w:sz w:val="24"/>
          <w:szCs w:val="24"/>
        </w:rPr>
        <w:t xml:space="preserve"> në bashkëpunim me Ministrinë e Financave dhe Ekonomisë</w:t>
      </w:r>
      <w:r w:rsidR="009A00E1">
        <w:rPr>
          <w:rFonts w:ascii="Garamond" w:eastAsia="Times New Roman" w:hAnsi="Garamond"/>
          <w:sz w:val="24"/>
          <w:szCs w:val="24"/>
        </w:rPr>
        <w:t>,</w:t>
      </w:r>
      <w:r w:rsidRPr="00E266CD">
        <w:rPr>
          <w:rFonts w:ascii="Garamond" w:eastAsia="Times New Roman" w:hAnsi="Garamond"/>
          <w:sz w:val="24"/>
          <w:szCs w:val="24"/>
        </w:rPr>
        <w:t xml:space="preserve"> ka finalizuar procesin e hartimit të skemave të reja të grantit për ndërmarrjet e vogla dhe të mesme shqiptare dhe ka hapur thirrjet për aplikime në vitin 2022.</w:t>
      </w:r>
    </w:p>
    <w:p w14:paraId="718F39A8" w14:textId="1B7E1685"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fushën e bashkëpunimit midis institucioneve publike dhe IAL</w:t>
      </w:r>
      <w:r w:rsidR="009A00E1">
        <w:rPr>
          <w:rFonts w:ascii="Garamond" w:eastAsia="Times New Roman" w:hAnsi="Garamond"/>
          <w:sz w:val="24"/>
          <w:szCs w:val="24"/>
        </w:rPr>
        <w:t>-ve</w:t>
      </w:r>
      <w:r w:rsidRPr="00E266CD">
        <w:rPr>
          <w:rFonts w:ascii="Garamond" w:eastAsia="Times New Roman" w:hAnsi="Garamond"/>
          <w:sz w:val="24"/>
          <w:szCs w:val="24"/>
        </w:rPr>
        <w:t xml:space="preserve"> në vend, Drejtoria e Përgjithshme e Pronësisë Industriale (DPPI</w:t>
      </w:r>
      <w:r w:rsidRPr="00E266CD">
        <w:rPr>
          <w:rFonts w:ascii="Garamond" w:eastAsia="Times New Roman" w:hAnsi="Garamond"/>
          <w:b/>
          <w:sz w:val="24"/>
          <w:szCs w:val="24"/>
        </w:rPr>
        <w:t>)</w:t>
      </w:r>
      <w:r w:rsidRPr="00E266CD">
        <w:rPr>
          <w:rFonts w:ascii="Garamond" w:eastAsia="Times New Roman" w:hAnsi="Garamond"/>
          <w:sz w:val="24"/>
          <w:szCs w:val="24"/>
        </w:rPr>
        <w:t xml:space="preserve"> ka nënshkruar disa marrëveshje me </w:t>
      </w:r>
      <w:r w:rsidR="009A00E1" w:rsidRPr="00E266CD">
        <w:rPr>
          <w:rFonts w:ascii="Garamond" w:eastAsia="Times New Roman" w:hAnsi="Garamond"/>
          <w:sz w:val="24"/>
          <w:szCs w:val="24"/>
        </w:rPr>
        <w:t xml:space="preserve">institucionet e arsimit të lartë </w:t>
      </w:r>
      <w:r w:rsidRPr="00E266CD">
        <w:rPr>
          <w:rFonts w:ascii="Garamond" w:eastAsia="Times New Roman" w:hAnsi="Garamond"/>
          <w:sz w:val="24"/>
          <w:szCs w:val="24"/>
        </w:rPr>
        <w:t>(IAL) në vendin tonë.</w:t>
      </w:r>
    </w:p>
    <w:p w14:paraId="1EA3D918" w14:textId="2FAFF5CF"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Qëllimi i nënshkrimit të këtyre marrëveshjeve është përcaktimi i mënyrave dhe modaliteteve të caktuara për të rritur ndërgjegjësimin për konceptin e pronësisë industriale dhe intelektuale në tërësi, informimin dhe sensibilizimin e studentëve, stafit akademik të përfshirë në punë kërkimore dhe shkencore, lidhur me rëndësinë e mbrojtjes së të drejtave të pronësisë industriale</w:t>
      </w:r>
      <w:r w:rsidR="00CB11F8">
        <w:rPr>
          <w:rFonts w:ascii="Garamond" w:eastAsia="Times New Roman" w:hAnsi="Garamond"/>
          <w:sz w:val="24"/>
          <w:szCs w:val="24"/>
        </w:rPr>
        <w:t>,</w:t>
      </w:r>
      <w:r w:rsidRPr="00E266CD">
        <w:rPr>
          <w:rFonts w:ascii="Garamond" w:eastAsia="Times New Roman" w:hAnsi="Garamond"/>
          <w:sz w:val="24"/>
          <w:szCs w:val="24"/>
        </w:rPr>
        <w:t xml:space="preserve"> si dhe organizimin e aktiviteteve të përbashkëta, </w:t>
      </w:r>
      <w:r w:rsidRPr="00E266CD">
        <w:rPr>
          <w:rFonts w:ascii="Garamond" w:eastAsia="Times New Roman" w:hAnsi="Garamond"/>
          <w:i/>
          <w:sz w:val="24"/>
          <w:szCs w:val="24"/>
        </w:rPr>
        <w:t>internship</w:t>
      </w:r>
      <w:r w:rsidRPr="00E266CD">
        <w:rPr>
          <w:rFonts w:ascii="Garamond" w:eastAsia="Times New Roman" w:hAnsi="Garamond"/>
          <w:sz w:val="24"/>
          <w:szCs w:val="24"/>
        </w:rPr>
        <w:t xml:space="preserve">-eve, sesioneve të ndryshme </w:t>
      </w:r>
      <w:r w:rsidR="00CB11F8" w:rsidRPr="00E266CD">
        <w:rPr>
          <w:rFonts w:ascii="Garamond" w:eastAsia="Times New Roman" w:hAnsi="Garamond"/>
          <w:sz w:val="24"/>
          <w:szCs w:val="24"/>
        </w:rPr>
        <w:t xml:space="preserve">të </w:t>
      </w:r>
      <w:r w:rsidRPr="00E266CD">
        <w:rPr>
          <w:rFonts w:ascii="Garamond" w:eastAsia="Times New Roman" w:hAnsi="Garamond"/>
          <w:sz w:val="24"/>
          <w:szCs w:val="24"/>
        </w:rPr>
        <w:t>informimi</w:t>
      </w:r>
      <w:r w:rsidR="00CB11F8">
        <w:rPr>
          <w:rFonts w:ascii="Garamond" w:eastAsia="Times New Roman" w:hAnsi="Garamond"/>
          <w:sz w:val="24"/>
          <w:szCs w:val="24"/>
        </w:rPr>
        <w:t>t</w:t>
      </w:r>
      <w:r w:rsidRPr="00E266CD">
        <w:rPr>
          <w:rFonts w:ascii="Garamond" w:eastAsia="Times New Roman" w:hAnsi="Garamond"/>
          <w:sz w:val="24"/>
          <w:szCs w:val="24"/>
        </w:rPr>
        <w:t xml:space="preserve"> sipas fushës së përgjegjësisë etj.</w:t>
      </w:r>
    </w:p>
    <w:p w14:paraId="0ECC3953" w14:textId="5F888DA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kuadër të rritjes së bashkëpunimit mes komunitetit të kërkimit shkencor dhe biznesit 2017</w:t>
      </w:r>
      <w:r w:rsidR="00663201" w:rsidRPr="00E266CD">
        <w:rPr>
          <w:rFonts w:ascii="Garamond" w:eastAsia="Times New Roman" w:hAnsi="Garamond"/>
          <w:sz w:val="24"/>
          <w:szCs w:val="24"/>
        </w:rPr>
        <w:t>–</w:t>
      </w:r>
      <w:r w:rsidRPr="00E266CD">
        <w:rPr>
          <w:rFonts w:ascii="Garamond" w:eastAsia="Times New Roman" w:hAnsi="Garamond"/>
          <w:sz w:val="24"/>
          <w:szCs w:val="24"/>
        </w:rPr>
        <w:t>2022</w:t>
      </w:r>
      <w:r w:rsidR="00CB11F8">
        <w:rPr>
          <w:rFonts w:ascii="Garamond" w:eastAsia="Times New Roman" w:hAnsi="Garamond"/>
          <w:sz w:val="24"/>
          <w:szCs w:val="24"/>
        </w:rPr>
        <w:t>,</w:t>
      </w:r>
      <w:r w:rsidRPr="00E266CD">
        <w:rPr>
          <w:rFonts w:ascii="Garamond" w:eastAsia="Times New Roman" w:hAnsi="Garamond"/>
          <w:sz w:val="24"/>
          <w:szCs w:val="24"/>
        </w:rPr>
        <w:t xml:space="preserve"> janë realizuar një sërë aktivitetesh për rritjen e njohurive të bizneseve mbi projektet e Bashkimit Evropian për kërkimin shkencor</w:t>
      </w:r>
      <w:r w:rsidR="00CB11F8">
        <w:rPr>
          <w:rFonts w:ascii="Garamond" w:eastAsia="Times New Roman" w:hAnsi="Garamond"/>
          <w:sz w:val="24"/>
          <w:szCs w:val="24"/>
        </w:rPr>
        <w:t>,</w:t>
      </w:r>
      <w:r w:rsidRPr="00E266CD">
        <w:rPr>
          <w:rFonts w:ascii="Garamond" w:eastAsia="Times New Roman" w:hAnsi="Garamond"/>
          <w:sz w:val="24"/>
          <w:szCs w:val="24"/>
        </w:rPr>
        <w:t xml:space="preserve"> si dhe inovacionin, programet rajonale. Pozitive është mbështetja financiare e alokuar nga Delegacioni Evropian prej 6.6 milion</w:t>
      </w:r>
      <w:r w:rsidR="00CB11F8">
        <w:rPr>
          <w:rFonts w:ascii="Garamond" w:eastAsia="Times New Roman" w:hAnsi="Garamond"/>
          <w:sz w:val="24"/>
          <w:szCs w:val="24"/>
        </w:rPr>
        <w:t>ë</w:t>
      </w:r>
      <w:r w:rsidRPr="00E266CD">
        <w:rPr>
          <w:rFonts w:ascii="Garamond" w:eastAsia="Times New Roman" w:hAnsi="Garamond"/>
          <w:sz w:val="24"/>
          <w:szCs w:val="24"/>
        </w:rPr>
        <w:t xml:space="preserve"> euro</w:t>
      </w:r>
      <w:r w:rsidR="00CB11F8">
        <w:rPr>
          <w:rFonts w:ascii="Garamond" w:eastAsia="Times New Roman" w:hAnsi="Garamond"/>
          <w:sz w:val="24"/>
          <w:szCs w:val="24"/>
        </w:rPr>
        <w:t>,</w:t>
      </w:r>
      <w:r w:rsidRPr="00E266CD">
        <w:rPr>
          <w:rFonts w:ascii="Garamond" w:eastAsia="Times New Roman" w:hAnsi="Garamond"/>
          <w:sz w:val="24"/>
          <w:szCs w:val="24"/>
        </w:rPr>
        <w:t xml:space="preserve"> në mbështetje të ekosistemit të inovacionit dhe </w:t>
      </w:r>
      <w:r w:rsidRPr="00E266CD">
        <w:rPr>
          <w:rFonts w:ascii="Garamond" w:eastAsia="Times New Roman" w:hAnsi="Garamond"/>
          <w:i/>
          <w:sz w:val="24"/>
          <w:szCs w:val="24"/>
        </w:rPr>
        <w:t>startup</w:t>
      </w:r>
      <w:r w:rsidR="00430904" w:rsidRPr="00E266CD">
        <w:rPr>
          <w:rFonts w:ascii="Garamond" w:eastAsia="Times New Roman" w:hAnsi="Garamond"/>
          <w:sz w:val="24"/>
          <w:szCs w:val="24"/>
        </w:rPr>
        <w:t>-</w:t>
      </w:r>
      <w:r w:rsidRPr="00E266CD">
        <w:rPr>
          <w:rFonts w:ascii="Garamond" w:eastAsia="Times New Roman" w:hAnsi="Garamond"/>
          <w:sz w:val="24"/>
          <w:szCs w:val="24"/>
        </w:rPr>
        <w:t>eve</w:t>
      </w:r>
      <w:r w:rsidR="00CB11F8">
        <w:rPr>
          <w:rFonts w:ascii="Garamond" w:eastAsia="Times New Roman" w:hAnsi="Garamond"/>
          <w:sz w:val="24"/>
          <w:szCs w:val="24"/>
        </w:rPr>
        <w:t>,</w:t>
      </w:r>
      <w:r w:rsidRPr="00E266CD">
        <w:rPr>
          <w:rFonts w:ascii="Garamond" w:eastAsia="Times New Roman" w:hAnsi="Garamond"/>
          <w:sz w:val="24"/>
          <w:szCs w:val="24"/>
        </w:rPr>
        <w:t xml:space="preserve"> në lidhje me hartimin dhe zbatimin e projektit pilot </w:t>
      </w:r>
      <w:r w:rsidRPr="00CB11F8">
        <w:rPr>
          <w:rFonts w:ascii="Garamond" w:eastAsia="Times New Roman" w:hAnsi="Garamond"/>
          <w:i/>
          <w:sz w:val="24"/>
          <w:szCs w:val="24"/>
        </w:rPr>
        <w:t>Innovation Albania</w:t>
      </w:r>
      <w:r w:rsidRPr="00E266CD">
        <w:rPr>
          <w:rFonts w:ascii="Garamond" w:eastAsia="Times New Roman" w:hAnsi="Garamond"/>
          <w:sz w:val="24"/>
          <w:szCs w:val="24"/>
        </w:rPr>
        <w:t>. Vizioni i këtij projekti ishte:</w:t>
      </w:r>
    </w:p>
    <w:p w14:paraId="4BBFE331"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1. Forcimi i ekosistemit të inovacionit në Shqipëri;</w:t>
      </w:r>
    </w:p>
    <w:p w14:paraId="1B7BB7ED" w14:textId="6457852F"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2. Përfshirja e</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qytetarëve në diskutimin e hulumtimit;</w:t>
      </w:r>
    </w:p>
    <w:p w14:paraId="744BD2DD"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3. Krijimi e një mjedisi që tërheq dhe ushqen talentin;</w:t>
      </w:r>
    </w:p>
    <w:p w14:paraId="1BE56B56" w14:textId="14AE423E"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4. Mbështetja e </w:t>
      </w:r>
      <w:r w:rsidR="00663201" w:rsidRPr="00E266CD">
        <w:rPr>
          <w:rFonts w:ascii="Garamond" w:eastAsia="Times New Roman" w:hAnsi="Garamond"/>
          <w:i/>
          <w:sz w:val="24"/>
          <w:szCs w:val="24"/>
        </w:rPr>
        <w:t>s</w:t>
      </w:r>
      <w:r w:rsidRPr="00E266CD">
        <w:rPr>
          <w:rFonts w:ascii="Garamond" w:eastAsia="Times New Roman" w:hAnsi="Garamond"/>
          <w:i/>
          <w:sz w:val="24"/>
          <w:szCs w:val="24"/>
        </w:rPr>
        <w:t>tartup</w:t>
      </w:r>
      <w:r w:rsidR="00430904" w:rsidRPr="00E266CD">
        <w:rPr>
          <w:rFonts w:ascii="Garamond" w:eastAsia="Times New Roman" w:hAnsi="Garamond"/>
          <w:sz w:val="24"/>
          <w:szCs w:val="24"/>
        </w:rPr>
        <w:t>-</w:t>
      </w:r>
      <w:r w:rsidRPr="00E266CD">
        <w:rPr>
          <w:rFonts w:ascii="Garamond" w:eastAsia="Times New Roman" w:hAnsi="Garamond"/>
          <w:sz w:val="24"/>
          <w:szCs w:val="24"/>
        </w:rPr>
        <w:t>eve shqiptare.</w:t>
      </w:r>
    </w:p>
    <w:p w14:paraId="4B53903E" w14:textId="7C2FF573"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Megjithatë, raporti nënvizon se ende mbetet sfide ndërveprimi dhe koordinimi midis bizneseve dhe kërkuesve shkencorë.</w:t>
      </w:r>
    </w:p>
    <w:p w14:paraId="5FD177BC" w14:textId="3AD10141"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Në kuadër të </w:t>
      </w:r>
      <w:r w:rsidR="00CB11F8">
        <w:rPr>
          <w:rFonts w:ascii="Garamond" w:eastAsia="Times New Roman" w:hAnsi="Garamond"/>
          <w:b/>
          <w:sz w:val="24"/>
          <w:szCs w:val="24"/>
        </w:rPr>
        <w:t>v</w:t>
      </w:r>
      <w:r w:rsidRPr="00E266CD">
        <w:rPr>
          <w:rFonts w:ascii="Garamond" w:eastAsia="Times New Roman" w:hAnsi="Garamond"/>
          <w:b/>
          <w:sz w:val="24"/>
          <w:szCs w:val="24"/>
        </w:rPr>
        <w:t xml:space="preserve">lerësimit të cilësisë së kërkimit shkencor </w:t>
      </w:r>
      <w:r w:rsidRPr="00E266CD">
        <w:rPr>
          <w:rFonts w:ascii="Garamond" w:eastAsia="Times New Roman" w:hAnsi="Garamond"/>
          <w:sz w:val="24"/>
          <w:szCs w:val="24"/>
        </w:rPr>
        <w:t xml:space="preserve">është miratuar </w:t>
      </w:r>
      <w:r w:rsidR="00430904" w:rsidRPr="00E266CD">
        <w:rPr>
          <w:rFonts w:ascii="Garamond" w:eastAsia="Times New Roman" w:hAnsi="Garamond"/>
          <w:sz w:val="24"/>
          <w:szCs w:val="24"/>
        </w:rPr>
        <w:t>v</w:t>
      </w:r>
      <w:r w:rsidRPr="00E266CD">
        <w:rPr>
          <w:rFonts w:ascii="Garamond" w:eastAsia="Times New Roman" w:hAnsi="Garamond"/>
          <w:sz w:val="24"/>
          <w:szCs w:val="24"/>
        </w:rPr>
        <w:t>endimi nr. 165, datë 21.3.2018</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i Këshillit të Ministrave</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“Për miratimin e metodologjisë së procesit të vlerësimit të veprimtarisë kërkimore</w:t>
      </w:r>
      <w:r w:rsidR="00CB11F8">
        <w:rPr>
          <w:rFonts w:ascii="Garamond" w:eastAsia="Times New Roman" w:hAnsi="Garamond"/>
          <w:sz w:val="24"/>
          <w:szCs w:val="24"/>
        </w:rPr>
        <w:t>-</w:t>
      </w:r>
      <w:r w:rsidRPr="00E266CD">
        <w:rPr>
          <w:rFonts w:ascii="Garamond" w:eastAsia="Times New Roman" w:hAnsi="Garamond"/>
          <w:sz w:val="24"/>
          <w:szCs w:val="24"/>
        </w:rPr>
        <w:t xml:space="preserve">shkencore të njësive bazë të institucioneve të arsimit të lartë”. Po kështu, </w:t>
      </w:r>
      <w:r w:rsidR="00CB11F8">
        <w:rPr>
          <w:rFonts w:ascii="Garamond" w:eastAsia="Times New Roman" w:hAnsi="Garamond"/>
          <w:sz w:val="24"/>
          <w:szCs w:val="24"/>
        </w:rPr>
        <w:t>p</w:t>
      </w:r>
      <w:r w:rsidRPr="00E266CD">
        <w:rPr>
          <w:rFonts w:ascii="Garamond" w:eastAsia="Times New Roman" w:hAnsi="Garamond"/>
          <w:sz w:val="24"/>
          <w:szCs w:val="24"/>
        </w:rPr>
        <w:t>ër krijimin e Regjistrit Kombëtar të Revistave dhe Periodikëve Shkencorë në Republikën e Shqipërisë, në vitin 2021 është ngritur grupi i punës</w:t>
      </w:r>
      <w:r w:rsidR="00CB11F8">
        <w:rPr>
          <w:rFonts w:ascii="Garamond" w:eastAsia="Times New Roman" w:hAnsi="Garamond"/>
          <w:sz w:val="24"/>
          <w:szCs w:val="24"/>
        </w:rPr>
        <w:t>,</w:t>
      </w:r>
      <w:r w:rsidRPr="00E266CD">
        <w:rPr>
          <w:rFonts w:ascii="Garamond" w:eastAsia="Times New Roman" w:hAnsi="Garamond"/>
          <w:sz w:val="24"/>
          <w:szCs w:val="24"/>
        </w:rPr>
        <w:t xml:space="preserve"> me urdhrin nr. 394, datë 4.10.2021</w:t>
      </w:r>
      <w:r w:rsidR="00430904" w:rsidRPr="00E266CD">
        <w:rPr>
          <w:rFonts w:ascii="Garamond" w:eastAsia="Times New Roman" w:hAnsi="Garamond"/>
          <w:sz w:val="24"/>
          <w:szCs w:val="24"/>
        </w:rPr>
        <w:t>,</w:t>
      </w:r>
      <w:r w:rsidRPr="00E266CD">
        <w:rPr>
          <w:rFonts w:ascii="Garamond" w:eastAsia="Times New Roman" w:hAnsi="Garamond"/>
          <w:sz w:val="24"/>
          <w:szCs w:val="24"/>
        </w:rPr>
        <w:t xml:space="preserve"> të </w:t>
      </w:r>
      <w:r w:rsidR="00430904" w:rsidRPr="00E266CD">
        <w:rPr>
          <w:rFonts w:ascii="Garamond" w:eastAsia="Times New Roman" w:hAnsi="Garamond"/>
          <w:sz w:val="24"/>
          <w:szCs w:val="24"/>
        </w:rPr>
        <w:t>m</w:t>
      </w:r>
      <w:r w:rsidRPr="00E266CD">
        <w:rPr>
          <w:rFonts w:ascii="Garamond" w:eastAsia="Times New Roman" w:hAnsi="Garamond"/>
          <w:sz w:val="24"/>
          <w:szCs w:val="24"/>
        </w:rPr>
        <w:t>inistrit të Arsimit dhe Sportit</w:t>
      </w:r>
      <w:r w:rsidR="00CB11F8">
        <w:rPr>
          <w:rFonts w:ascii="Garamond" w:eastAsia="Times New Roman" w:hAnsi="Garamond"/>
          <w:sz w:val="24"/>
          <w:szCs w:val="24"/>
        </w:rPr>
        <w:t>,</w:t>
      </w:r>
      <w:r w:rsidRPr="00E266CD">
        <w:rPr>
          <w:rFonts w:ascii="Garamond" w:eastAsia="Times New Roman" w:hAnsi="Garamond"/>
          <w:sz w:val="24"/>
          <w:szCs w:val="24"/>
        </w:rPr>
        <w:t xml:space="preserve"> “Për ngritjen e grupit të punës për hartimin e udhëzimit për krijimin e </w:t>
      </w:r>
      <w:r w:rsidR="00CB11F8" w:rsidRPr="00E266CD">
        <w:rPr>
          <w:rFonts w:ascii="Garamond" w:eastAsia="Times New Roman" w:hAnsi="Garamond"/>
          <w:sz w:val="24"/>
          <w:szCs w:val="24"/>
        </w:rPr>
        <w:t xml:space="preserve">Regjistrit Kombëtar </w:t>
      </w:r>
      <w:r w:rsidRPr="00E266CD">
        <w:rPr>
          <w:rFonts w:ascii="Garamond" w:eastAsia="Times New Roman" w:hAnsi="Garamond"/>
          <w:sz w:val="24"/>
          <w:szCs w:val="24"/>
        </w:rPr>
        <w:t xml:space="preserve">të </w:t>
      </w:r>
      <w:r w:rsidR="00CB11F8" w:rsidRPr="00E266CD">
        <w:rPr>
          <w:rFonts w:ascii="Garamond" w:eastAsia="Times New Roman" w:hAnsi="Garamond"/>
          <w:sz w:val="24"/>
          <w:szCs w:val="24"/>
        </w:rPr>
        <w:t xml:space="preserve">Revistave </w:t>
      </w:r>
      <w:r w:rsidRPr="00E266CD">
        <w:rPr>
          <w:rFonts w:ascii="Garamond" w:eastAsia="Times New Roman" w:hAnsi="Garamond"/>
          <w:sz w:val="24"/>
          <w:szCs w:val="24"/>
        </w:rPr>
        <w:t xml:space="preserve">dhe </w:t>
      </w:r>
      <w:r w:rsidR="00CB11F8" w:rsidRPr="00E266CD">
        <w:rPr>
          <w:rFonts w:ascii="Garamond" w:eastAsia="Times New Roman" w:hAnsi="Garamond"/>
          <w:sz w:val="24"/>
          <w:szCs w:val="24"/>
        </w:rPr>
        <w:t xml:space="preserve">Periodikëve Shkencorë </w:t>
      </w:r>
      <w:r w:rsidRPr="00E266CD">
        <w:rPr>
          <w:rFonts w:ascii="Garamond" w:eastAsia="Times New Roman" w:hAnsi="Garamond"/>
          <w:sz w:val="24"/>
          <w:szCs w:val="24"/>
        </w:rPr>
        <w:t xml:space="preserve">në Republikën e Shqipërisë dhe për përcaktimin e kritereve që duhet të plotësojnë revistat dhe periodikët shkencorë për </w:t>
      </w:r>
      <w:r w:rsidR="00417E27" w:rsidRPr="00E266CD">
        <w:rPr>
          <w:rFonts w:ascii="Garamond" w:eastAsia="Times New Roman" w:hAnsi="Garamond"/>
          <w:sz w:val="24"/>
          <w:szCs w:val="24"/>
        </w:rPr>
        <w:t>t’u</w:t>
      </w:r>
      <w:r w:rsidRPr="00E266CD">
        <w:rPr>
          <w:rFonts w:ascii="Garamond" w:eastAsia="Times New Roman" w:hAnsi="Garamond"/>
          <w:sz w:val="24"/>
          <w:szCs w:val="24"/>
        </w:rPr>
        <w:t xml:space="preserve"> regjistruar në </w:t>
      </w:r>
      <w:r w:rsidR="00CB11F8" w:rsidRPr="00E266CD">
        <w:rPr>
          <w:rFonts w:ascii="Garamond" w:eastAsia="Times New Roman" w:hAnsi="Garamond"/>
          <w:sz w:val="24"/>
          <w:szCs w:val="24"/>
        </w:rPr>
        <w:t xml:space="preserve">Regjistrin Kombëtar </w:t>
      </w:r>
      <w:r w:rsidRPr="00E266CD">
        <w:rPr>
          <w:rFonts w:ascii="Garamond" w:eastAsia="Times New Roman" w:hAnsi="Garamond"/>
          <w:sz w:val="24"/>
          <w:szCs w:val="24"/>
        </w:rPr>
        <w:t>të Republikës së Shqipërisë”. Në fund të vitit 2022, grupi i punës ka përfunduar punën e tij dhe rregullorja është miratuar.</w:t>
      </w:r>
    </w:p>
    <w:p w14:paraId="01EB3FA4" w14:textId="664E2DB2" w:rsidR="00F91888" w:rsidRPr="00E266CD" w:rsidRDefault="00F91888" w:rsidP="00F91888">
      <w:pPr>
        <w:ind w:firstLine="284"/>
        <w:rPr>
          <w:rFonts w:ascii="Garamond" w:hAnsi="Garamond"/>
          <w:sz w:val="24"/>
          <w:szCs w:val="24"/>
        </w:rPr>
      </w:pPr>
      <w:r w:rsidRPr="00E266CD">
        <w:rPr>
          <w:rFonts w:ascii="Garamond" w:eastAsia="Times New Roman" w:hAnsi="Garamond"/>
          <w:sz w:val="24"/>
          <w:szCs w:val="24"/>
        </w:rPr>
        <w:t xml:space="preserve">Referuar krijimit të </w:t>
      </w:r>
      <w:r w:rsidR="00CB11F8">
        <w:rPr>
          <w:rFonts w:ascii="Garamond" w:eastAsia="Times New Roman" w:hAnsi="Garamond"/>
          <w:sz w:val="24"/>
          <w:szCs w:val="24"/>
        </w:rPr>
        <w:t>p</w:t>
      </w:r>
      <w:r w:rsidRPr="00E266CD">
        <w:rPr>
          <w:rFonts w:ascii="Garamond" w:eastAsia="Times New Roman" w:hAnsi="Garamond"/>
          <w:sz w:val="24"/>
          <w:szCs w:val="24"/>
        </w:rPr>
        <w:t>latformës (</w:t>
      </w:r>
      <w:r w:rsidRPr="00E266CD">
        <w:rPr>
          <w:rFonts w:ascii="Garamond" w:eastAsia="Times New Roman" w:hAnsi="Garamond"/>
          <w:i/>
          <w:sz w:val="24"/>
          <w:szCs w:val="24"/>
        </w:rPr>
        <w:t>online</w:t>
      </w:r>
      <w:r w:rsidRPr="00E266CD">
        <w:rPr>
          <w:rFonts w:ascii="Garamond" w:eastAsia="Times New Roman" w:hAnsi="Garamond"/>
          <w:sz w:val="24"/>
          <w:szCs w:val="24"/>
        </w:rPr>
        <w:t>) të të dhënave për kërkimit shkencor në RSH, në lidhje me kapacitetet njerëzore, infrastrukturore, biblioteka &amp; arkiva (</w:t>
      </w:r>
      <w:r w:rsidRPr="00E266CD">
        <w:rPr>
          <w:rFonts w:ascii="Garamond" w:hAnsi="Garamond"/>
          <w:i/>
          <w:sz w:val="24"/>
        </w:rPr>
        <w:t>Albanian Research Information System</w:t>
      </w:r>
      <w:r w:rsidRPr="00E266CD">
        <w:rPr>
          <w:rFonts w:ascii="Garamond" w:eastAsia="Times New Roman" w:hAnsi="Garamond"/>
          <w:sz w:val="24"/>
          <w:szCs w:val="24"/>
        </w:rPr>
        <w:t>-ARIS), është ngritur portali i Kërkimit Shkencor (ke</w:t>
      </w:r>
      <w:r w:rsidRPr="00E266CD">
        <w:rPr>
          <w:rFonts w:ascii="Times New Roman" w:eastAsia="Times New Roman" w:hAnsi="Times New Roman"/>
          <w:sz w:val="24"/>
          <w:szCs w:val="24"/>
        </w:rPr>
        <w:t>̈</w:t>
      </w:r>
      <w:r w:rsidRPr="00E266CD">
        <w:rPr>
          <w:rFonts w:ascii="Garamond" w:eastAsia="Times New Roman" w:hAnsi="Garamond"/>
          <w:sz w:val="24"/>
          <w:szCs w:val="24"/>
        </w:rPr>
        <w:t>rkimi-shkencor.arsimi.gov) q</w:t>
      </w:r>
      <w:r w:rsidRPr="00E266CD">
        <w:rPr>
          <w:rFonts w:ascii="Garamond" w:eastAsia="Times New Roman" w:hAnsi="Garamond" w:cs="Garamond"/>
          <w:sz w:val="24"/>
          <w:szCs w:val="24"/>
        </w:rPr>
        <w:t>ë</w:t>
      </w:r>
      <w:r w:rsidRPr="00E266CD">
        <w:rPr>
          <w:rFonts w:ascii="Garamond" w:eastAsia="Times New Roman" w:hAnsi="Garamond"/>
          <w:sz w:val="24"/>
          <w:szCs w:val="24"/>
        </w:rPr>
        <w:t xml:space="preserve">llimi i </w:t>
      </w:r>
      <w:r w:rsidR="00CB11F8" w:rsidRPr="00E266CD">
        <w:rPr>
          <w:rFonts w:ascii="Garamond" w:eastAsia="Times New Roman" w:hAnsi="Garamond"/>
          <w:sz w:val="24"/>
          <w:szCs w:val="24"/>
        </w:rPr>
        <w:t>të</w:t>
      </w:r>
      <w:r w:rsidRPr="00E266CD">
        <w:rPr>
          <w:rFonts w:ascii="Garamond" w:eastAsia="Times New Roman" w:hAnsi="Garamond"/>
          <w:sz w:val="24"/>
          <w:szCs w:val="24"/>
        </w:rPr>
        <w:t xml:space="preserve"> cilit </w:t>
      </w:r>
      <w:r w:rsidR="00CB11F8">
        <w:rPr>
          <w:rFonts w:ascii="Garamond" w:eastAsia="Times New Roman" w:hAnsi="Garamond"/>
          <w:sz w:val="24"/>
          <w:szCs w:val="24"/>
        </w:rPr>
        <w:t>ës</w:t>
      </w:r>
      <w:r w:rsidR="00430904" w:rsidRPr="00E266CD">
        <w:rPr>
          <w:rFonts w:ascii="Garamond" w:eastAsia="Times New Roman" w:hAnsi="Garamond"/>
          <w:sz w:val="24"/>
          <w:szCs w:val="24"/>
        </w:rPr>
        <w:t>htë</w:t>
      </w:r>
      <w:r w:rsidRPr="00E266CD">
        <w:rPr>
          <w:rFonts w:ascii="Garamond" w:eastAsia="Times New Roman" w:hAnsi="Garamond"/>
          <w:sz w:val="24"/>
          <w:szCs w:val="24"/>
        </w:rPr>
        <w:t xml:space="preserve"> mbledhja, analizimi </w:t>
      </w:r>
      <w:r w:rsidRPr="00E266CD">
        <w:rPr>
          <w:rFonts w:ascii="Garamond" w:hAnsi="Garamond"/>
          <w:sz w:val="24"/>
          <w:szCs w:val="24"/>
        </w:rPr>
        <w:t xml:space="preserve">dhe </w:t>
      </w:r>
      <w:r w:rsidR="00430904" w:rsidRPr="00E266CD">
        <w:rPr>
          <w:rFonts w:ascii="Garamond" w:hAnsi="Garamond"/>
          <w:sz w:val="24"/>
          <w:szCs w:val="24"/>
        </w:rPr>
        <w:t>përpunimi</w:t>
      </w:r>
      <w:r w:rsidRPr="00E266CD">
        <w:rPr>
          <w:rFonts w:ascii="Garamond" w:hAnsi="Garamond"/>
          <w:sz w:val="24"/>
          <w:szCs w:val="24"/>
        </w:rPr>
        <w:t xml:space="preserve"> i </w:t>
      </w:r>
      <w:r w:rsidR="00BF1624" w:rsidRPr="00E266CD">
        <w:rPr>
          <w:rFonts w:ascii="Garamond" w:eastAsia="Times New Roman" w:hAnsi="Garamond"/>
          <w:sz w:val="24"/>
          <w:szCs w:val="24"/>
        </w:rPr>
        <w:t>të</w:t>
      </w:r>
      <w:r w:rsidR="00430904" w:rsidRPr="00E266CD">
        <w:rPr>
          <w:rFonts w:ascii="Garamond" w:hAnsi="Garamond"/>
          <w:sz w:val="24"/>
          <w:szCs w:val="24"/>
        </w:rPr>
        <w:t xml:space="preserve"> dhënave</w:t>
      </w:r>
      <w:r w:rsidRPr="00E266CD">
        <w:rPr>
          <w:rFonts w:ascii="Garamond" w:hAnsi="Garamond"/>
          <w:sz w:val="24"/>
          <w:szCs w:val="24"/>
        </w:rPr>
        <w:t xml:space="preserve"> n</w:t>
      </w:r>
      <w:r w:rsidR="00430904" w:rsidRPr="00E266CD">
        <w:rPr>
          <w:rFonts w:ascii="Garamond" w:hAnsi="Garamond"/>
          <w:sz w:val="24"/>
          <w:szCs w:val="24"/>
        </w:rPr>
        <w:t>ë shërbim</w:t>
      </w:r>
      <w:r w:rsidRPr="00E266CD">
        <w:rPr>
          <w:rFonts w:ascii="Garamond" w:hAnsi="Garamond"/>
          <w:sz w:val="24"/>
          <w:szCs w:val="24"/>
        </w:rPr>
        <w:t xml:space="preserve"> t</w:t>
      </w:r>
      <w:r w:rsidR="00430904" w:rsidRPr="00E266CD">
        <w:rPr>
          <w:rFonts w:ascii="Garamond" w:hAnsi="Garamond"/>
          <w:sz w:val="24"/>
          <w:szCs w:val="24"/>
        </w:rPr>
        <w:t xml:space="preserve">ë </w:t>
      </w:r>
      <w:r w:rsidRPr="00E266CD">
        <w:rPr>
          <w:rFonts w:ascii="Garamond" w:hAnsi="Garamond"/>
          <w:sz w:val="24"/>
          <w:szCs w:val="24"/>
        </w:rPr>
        <w:t>zhvillimit dhe rritjes s</w:t>
      </w:r>
      <w:r w:rsidR="00430904" w:rsidRPr="00E266CD">
        <w:rPr>
          <w:rFonts w:ascii="Garamond" w:hAnsi="Garamond"/>
          <w:sz w:val="24"/>
          <w:szCs w:val="24"/>
        </w:rPr>
        <w:t xml:space="preserve">ë cilësisë së </w:t>
      </w:r>
      <w:r w:rsidRPr="00E266CD">
        <w:rPr>
          <w:rFonts w:ascii="Garamond" w:hAnsi="Garamond"/>
          <w:sz w:val="24"/>
          <w:szCs w:val="24"/>
        </w:rPr>
        <w:t>kërkimit shkencor n</w:t>
      </w:r>
      <w:r w:rsidR="00430904" w:rsidRPr="00E266CD">
        <w:rPr>
          <w:rFonts w:ascii="Garamond" w:hAnsi="Garamond"/>
          <w:sz w:val="24"/>
          <w:szCs w:val="24"/>
        </w:rPr>
        <w:t>ë</w:t>
      </w:r>
      <w:r w:rsidRPr="00E266CD">
        <w:rPr>
          <w:rFonts w:ascii="Garamond" w:hAnsi="Garamond"/>
          <w:sz w:val="24"/>
          <w:szCs w:val="24"/>
        </w:rPr>
        <w:t xml:space="preserve"> vend.</w:t>
      </w:r>
    </w:p>
    <w:p w14:paraId="38F52FF9" w14:textId="1B5E137A"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të njëjtën fushë është ngritur platforma UCRIS</w:t>
      </w:r>
      <w:r w:rsidR="0067034B">
        <w:rPr>
          <w:rFonts w:ascii="Garamond" w:eastAsia="Times New Roman" w:hAnsi="Garamond"/>
          <w:sz w:val="24"/>
          <w:szCs w:val="24"/>
        </w:rPr>
        <w:t>,</w:t>
      </w:r>
      <w:r w:rsidRPr="00E266CD">
        <w:rPr>
          <w:rFonts w:ascii="Garamond" w:eastAsia="Times New Roman" w:hAnsi="Garamond"/>
          <w:sz w:val="24"/>
          <w:szCs w:val="24"/>
        </w:rPr>
        <w:t xml:space="preserve"> e cila mbledh të dhënat e kërkimit shkencor që nevojiten për platformën ACRIS. Platforma bazohet në arkitekturën DSPACE-CRIS e cila është adaptuar sipas specifikave EUROCRIS dhe CERIF. Platforma është e lidhur me databazat e rëndësishme të kërkimit</w:t>
      </w:r>
      <w:r w:rsidR="0067034B">
        <w:rPr>
          <w:rFonts w:ascii="Garamond" w:eastAsia="Times New Roman" w:hAnsi="Garamond"/>
          <w:sz w:val="24"/>
          <w:szCs w:val="24"/>
        </w:rPr>
        <w:t>,</w:t>
      </w:r>
      <w:r w:rsidRPr="00E266CD">
        <w:rPr>
          <w:rFonts w:ascii="Garamond" w:eastAsia="Times New Roman" w:hAnsi="Garamond"/>
          <w:sz w:val="24"/>
          <w:szCs w:val="24"/>
        </w:rPr>
        <w:t xml:space="preserve"> si</w:t>
      </w:r>
      <w:r w:rsidR="0067034B">
        <w:rPr>
          <w:rFonts w:ascii="Garamond" w:eastAsia="Times New Roman" w:hAnsi="Garamond"/>
          <w:sz w:val="24"/>
          <w:szCs w:val="24"/>
        </w:rPr>
        <w:t>:</w:t>
      </w:r>
      <w:r w:rsidRPr="00E266CD">
        <w:rPr>
          <w:rFonts w:ascii="Garamond" w:eastAsia="Times New Roman" w:hAnsi="Garamond"/>
          <w:sz w:val="24"/>
          <w:szCs w:val="24"/>
        </w:rPr>
        <w:t xml:space="preserve"> PubMed, Scopus, </w:t>
      </w:r>
      <w:r w:rsidRPr="00E266CD">
        <w:rPr>
          <w:rFonts w:ascii="Garamond" w:hAnsi="Garamond"/>
          <w:i/>
          <w:sz w:val="24"/>
        </w:rPr>
        <w:t>Web of Knowledge</w:t>
      </w:r>
      <w:r w:rsidR="00430904" w:rsidRPr="00E266CD">
        <w:rPr>
          <w:rFonts w:ascii="Garamond" w:eastAsia="Times New Roman" w:hAnsi="Garamond"/>
          <w:i/>
          <w:sz w:val="24"/>
          <w:szCs w:val="24"/>
        </w:rPr>
        <w:t xml:space="preserve"> </w:t>
      </w:r>
      <w:r w:rsidRPr="00E266CD">
        <w:rPr>
          <w:rFonts w:ascii="Garamond" w:eastAsia="Times New Roman" w:hAnsi="Garamond"/>
          <w:sz w:val="24"/>
          <w:szCs w:val="24"/>
        </w:rPr>
        <w:t xml:space="preserve">(WoS), </w:t>
      </w:r>
      <w:r w:rsidRPr="00E266CD">
        <w:rPr>
          <w:rFonts w:ascii="Garamond" w:hAnsi="Garamond"/>
          <w:sz w:val="24"/>
        </w:rPr>
        <w:t>Google Scholar</w:t>
      </w:r>
      <w:r w:rsidRPr="00E266CD">
        <w:rPr>
          <w:rFonts w:ascii="Garamond" w:eastAsia="Times New Roman" w:hAnsi="Garamond"/>
          <w:sz w:val="24"/>
          <w:szCs w:val="24"/>
        </w:rPr>
        <w:t xml:space="preserve"> dhe ORCID</w:t>
      </w:r>
      <w:r w:rsidR="0067034B">
        <w:rPr>
          <w:rFonts w:ascii="Garamond" w:eastAsia="Times New Roman" w:hAnsi="Garamond"/>
          <w:sz w:val="24"/>
          <w:szCs w:val="24"/>
        </w:rPr>
        <w:t>,</w:t>
      </w:r>
      <w:r w:rsidRPr="00E266CD">
        <w:rPr>
          <w:rFonts w:ascii="Garamond" w:eastAsia="Times New Roman" w:hAnsi="Garamond"/>
          <w:sz w:val="24"/>
          <w:szCs w:val="24"/>
        </w:rPr>
        <w:t xml:space="preserve"> dhe mundëson edhe lidhjen me databazat evropiane të kërkimit </w:t>
      </w:r>
      <w:r w:rsidRPr="00E266CD">
        <w:rPr>
          <w:rFonts w:ascii="Garamond" w:hAnsi="Garamond"/>
          <w:i/>
          <w:sz w:val="24"/>
        </w:rPr>
        <w:t>Open Air</w:t>
      </w:r>
      <w:r w:rsidRPr="00E266CD">
        <w:rPr>
          <w:rFonts w:ascii="Garamond" w:eastAsia="Times New Roman" w:hAnsi="Garamond"/>
          <w:sz w:val="24"/>
          <w:szCs w:val="24"/>
        </w:rPr>
        <w:t>. Platforma U-CRIS do të lidhet edhe me platformën kombëtare ACRIS</w:t>
      </w:r>
      <w:r w:rsidR="0067034B">
        <w:rPr>
          <w:rFonts w:ascii="Garamond" w:eastAsia="Times New Roman" w:hAnsi="Garamond"/>
          <w:sz w:val="24"/>
          <w:szCs w:val="24"/>
        </w:rPr>
        <w:t>,</w:t>
      </w:r>
      <w:r w:rsidRPr="00E266CD">
        <w:rPr>
          <w:rFonts w:ascii="Garamond" w:eastAsia="Times New Roman" w:hAnsi="Garamond"/>
          <w:sz w:val="24"/>
          <w:szCs w:val="24"/>
        </w:rPr>
        <w:t xml:space="preserve"> e parashikuar për rankimin e IAL-ve në bazë të performancës në fushën e kërkimit shkencor.</w:t>
      </w:r>
    </w:p>
    <w:p w14:paraId="313E428B" w14:textId="4E3335AF"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Në fushën e nxitjes së inovacionit dhe mbështetjes së biznesit, Rrjeti Evropian i Ndërmarrjeve (</w:t>
      </w:r>
      <w:r w:rsidRPr="00E266CD">
        <w:rPr>
          <w:rFonts w:ascii="Garamond" w:hAnsi="Garamond"/>
          <w:i/>
          <w:sz w:val="24"/>
        </w:rPr>
        <w:t>Enterprise Europe Network</w:t>
      </w:r>
      <w:r w:rsidRPr="00E266CD">
        <w:rPr>
          <w:rFonts w:ascii="Garamond" w:eastAsia="Times New Roman" w:hAnsi="Garamond"/>
          <w:sz w:val="24"/>
          <w:szCs w:val="24"/>
        </w:rPr>
        <w:t>, EEN) është rrjeti më i madh në botë për mbështetjen e NVM-ve me fokus ndërkombëtarizimin. Ai nxit rritjen e bizneseve dhe punësimin duke ofruar shërbime për NMV-të</w:t>
      </w:r>
      <w:r w:rsidR="0067034B">
        <w:rPr>
          <w:rFonts w:ascii="Garamond" w:eastAsia="Times New Roman" w:hAnsi="Garamond"/>
          <w:sz w:val="24"/>
          <w:szCs w:val="24"/>
        </w:rPr>
        <w:t>,</w:t>
      </w:r>
      <w:r w:rsidRPr="00E266CD">
        <w:rPr>
          <w:rFonts w:ascii="Garamond" w:eastAsia="Times New Roman" w:hAnsi="Garamond"/>
          <w:sz w:val="24"/>
          <w:szCs w:val="24"/>
        </w:rPr>
        <w:t xml:space="preserve"> si dhe burime për biznese të tjera, universitete dhe qendra kërkimore, ofron shërbime mbështetëse për të ndihmuar NVM-të të bëjnë biznes në Tregun Unik të BE-së, si dhe të përmirësojnë konkurrencën e NVM-ve </w:t>
      </w:r>
      <w:r w:rsidR="0067034B">
        <w:rPr>
          <w:rFonts w:ascii="Garamond" w:eastAsia="Times New Roman" w:hAnsi="Garamond"/>
          <w:sz w:val="24"/>
          <w:szCs w:val="24"/>
        </w:rPr>
        <w:t>e</w:t>
      </w:r>
      <w:r w:rsidRPr="00E266CD">
        <w:rPr>
          <w:rFonts w:ascii="Garamond" w:eastAsia="Times New Roman" w:hAnsi="Garamond"/>
          <w:sz w:val="24"/>
          <w:szCs w:val="24"/>
        </w:rPr>
        <w:t>vropiane. Rrjeti operon në Shqipëri me bashkëfinancim nga BE</w:t>
      </w:r>
      <w:r w:rsidR="0067034B">
        <w:rPr>
          <w:rFonts w:ascii="Garamond" w:eastAsia="Times New Roman" w:hAnsi="Garamond"/>
          <w:sz w:val="24"/>
          <w:szCs w:val="24"/>
        </w:rPr>
        <w:t>-ja</w:t>
      </w:r>
      <w:r w:rsidRPr="00E266CD">
        <w:rPr>
          <w:rFonts w:ascii="Garamond" w:eastAsia="Times New Roman" w:hAnsi="Garamond"/>
          <w:sz w:val="24"/>
          <w:szCs w:val="24"/>
        </w:rPr>
        <w:t xml:space="preserve">, nën programin COSME që prej 2015. AIDA është koordinatori i këtij programi në Shqipëri, duke bashkëpunuar me 3 organizata të tjera brenda </w:t>
      </w:r>
      <w:r w:rsidR="0067034B">
        <w:rPr>
          <w:rFonts w:ascii="Garamond" w:eastAsia="Times New Roman" w:hAnsi="Garamond"/>
          <w:sz w:val="24"/>
          <w:szCs w:val="24"/>
        </w:rPr>
        <w:t>k</w:t>
      </w:r>
      <w:r w:rsidRPr="00E266CD">
        <w:rPr>
          <w:rFonts w:ascii="Garamond" w:eastAsia="Times New Roman" w:hAnsi="Garamond"/>
          <w:sz w:val="24"/>
          <w:szCs w:val="24"/>
        </w:rPr>
        <w:t>onsorciumit shqiptar</w:t>
      </w:r>
      <w:r w:rsidR="0067034B">
        <w:rPr>
          <w:rFonts w:ascii="Garamond" w:eastAsia="Times New Roman" w:hAnsi="Garamond"/>
          <w:sz w:val="24"/>
          <w:szCs w:val="24"/>
        </w:rPr>
        <w:t>,</w:t>
      </w:r>
      <w:r w:rsidRPr="00E266CD">
        <w:rPr>
          <w:rFonts w:ascii="Garamond" w:eastAsia="Times New Roman" w:hAnsi="Garamond"/>
          <w:sz w:val="24"/>
          <w:szCs w:val="24"/>
        </w:rPr>
        <w:t xml:space="preserve"> si</w:t>
      </w:r>
      <w:r w:rsidR="0067034B">
        <w:rPr>
          <w:rFonts w:ascii="Garamond" w:eastAsia="Times New Roman" w:hAnsi="Garamond"/>
          <w:sz w:val="24"/>
          <w:szCs w:val="24"/>
        </w:rPr>
        <w:t>:</w:t>
      </w:r>
      <w:r w:rsidRPr="00E266CD">
        <w:rPr>
          <w:rFonts w:ascii="Garamond" w:eastAsia="Times New Roman" w:hAnsi="Garamond"/>
          <w:sz w:val="24"/>
          <w:szCs w:val="24"/>
        </w:rPr>
        <w:t xml:space="preserve"> Dhoma e Tregtisë dhe Industrisë Tiranë, Bashkimi i Dhomave të Tregtisë dhe Industrisë së Shqipërisë dhe Instituti për Politikat Publike dhe Mirëqeverisje. Deri në 2021</w:t>
      </w:r>
      <w:r w:rsidR="0067034B">
        <w:rPr>
          <w:rFonts w:ascii="Garamond" w:eastAsia="Times New Roman" w:hAnsi="Garamond"/>
          <w:sz w:val="24"/>
          <w:szCs w:val="24"/>
        </w:rPr>
        <w:t>-shin</w:t>
      </w:r>
      <w:r w:rsidRPr="00E266CD">
        <w:rPr>
          <w:rFonts w:ascii="Garamond" w:eastAsia="Times New Roman" w:hAnsi="Garamond"/>
          <w:sz w:val="24"/>
          <w:szCs w:val="24"/>
        </w:rPr>
        <w:t>, nëpërmjet shërbimeve të ofruara nga ky rrjet janë nënshkruar 32 marrëveshje partneriteti midis ndërmarrjeve shqiptare dhe atyre evropiane (</w:t>
      </w:r>
      <w:hyperlink r:id="rId13">
        <w:r w:rsidRPr="00E266CD">
          <w:rPr>
            <w:rFonts w:ascii="Garamond" w:eastAsia="Times New Roman" w:hAnsi="Garamond"/>
            <w:color w:val="1155CC"/>
            <w:sz w:val="24"/>
            <w:szCs w:val="24"/>
          </w:rPr>
          <w:t>www.een.al</w:t>
        </w:r>
      </w:hyperlink>
      <w:r w:rsidRPr="00E266CD">
        <w:rPr>
          <w:rFonts w:ascii="Garamond" w:eastAsia="Times New Roman" w:hAnsi="Garamond"/>
          <w:sz w:val="24"/>
          <w:szCs w:val="24"/>
        </w:rPr>
        <w:t>).</w:t>
      </w:r>
    </w:p>
    <w:p w14:paraId="3C8BAC3B" w14:textId="71D3F396"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Cs/>
          <w:sz w:val="24"/>
          <w:szCs w:val="24"/>
        </w:rPr>
        <w:t>Gjithashtu, për nxitjen e biznesit për krijimin e sipërmarrjeve të reja (</w:t>
      </w:r>
      <w:r w:rsidR="00E33EE1" w:rsidRPr="00E266CD">
        <w:rPr>
          <w:rFonts w:ascii="Garamond" w:eastAsia="Times New Roman" w:hAnsi="Garamond"/>
          <w:bCs/>
          <w:i/>
          <w:sz w:val="24"/>
          <w:szCs w:val="24"/>
        </w:rPr>
        <w:t>startup</w:t>
      </w:r>
      <w:r w:rsidRPr="00E266CD">
        <w:rPr>
          <w:rFonts w:ascii="Garamond" w:eastAsia="Times New Roman" w:hAnsi="Garamond"/>
          <w:bCs/>
          <w:sz w:val="24"/>
          <w:szCs w:val="24"/>
        </w:rPr>
        <w:t>) në inovacion dhe teknologji, është miratuar</w:t>
      </w:r>
      <w:r w:rsidRPr="00E266CD">
        <w:rPr>
          <w:rFonts w:ascii="Garamond" w:eastAsia="Times New Roman" w:hAnsi="Garamond"/>
          <w:b/>
          <w:sz w:val="24"/>
          <w:szCs w:val="24"/>
        </w:rPr>
        <w:t xml:space="preserve"> </w:t>
      </w:r>
      <w:r w:rsidR="0067034B" w:rsidRPr="00E266CD">
        <w:rPr>
          <w:rFonts w:ascii="Garamond" w:eastAsia="Times New Roman" w:hAnsi="Garamond"/>
          <w:sz w:val="24"/>
          <w:szCs w:val="24"/>
        </w:rPr>
        <w:t>fondi në mbështetjeve të sipërmarrjeve të reja “</w:t>
      </w:r>
      <w:r w:rsidR="0067034B" w:rsidRPr="00E266CD">
        <w:rPr>
          <w:rFonts w:ascii="Garamond" w:eastAsia="Times New Roman" w:hAnsi="Garamond"/>
          <w:i/>
          <w:sz w:val="24"/>
          <w:szCs w:val="24"/>
        </w:rPr>
        <w:t>startup</w:t>
      </w:r>
      <w:r w:rsidRPr="00E266CD">
        <w:rPr>
          <w:rFonts w:ascii="Garamond" w:eastAsia="Times New Roman" w:hAnsi="Garamond"/>
          <w:sz w:val="24"/>
          <w:szCs w:val="24"/>
        </w:rPr>
        <w:t>” me VKM</w:t>
      </w:r>
      <w:r w:rsidR="0067034B">
        <w:rPr>
          <w:rFonts w:ascii="Garamond" w:eastAsia="Times New Roman" w:hAnsi="Garamond"/>
          <w:sz w:val="24"/>
          <w:szCs w:val="24"/>
        </w:rPr>
        <w:t>-n</w:t>
      </w:r>
      <w:r w:rsidR="0067034B" w:rsidRPr="00E266CD">
        <w:rPr>
          <w:rFonts w:ascii="Garamond" w:eastAsia="Times New Roman" w:hAnsi="Garamond"/>
          <w:sz w:val="24"/>
          <w:szCs w:val="24"/>
        </w:rPr>
        <w:t>ë</w:t>
      </w:r>
      <w:r w:rsidRPr="00E266CD">
        <w:rPr>
          <w:rFonts w:ascii="Garamond" w:eastAsia="Times New Roman" w:hAnsi="Garamond"/>
          <w:sz w:val="24"/>
          <w:szCs w:val="24"/>
        </w:rPr>
        <w:t xml:space="preserve"> nr. 593, datë 10.9.2014, “Për krijimin e </w:t>
      </w:r>
      <w:r w:rsidR="0067034B" w:rsidRPr="00E266CD">
        <w:rPr>
          <w:rFonts w:ascii="Garamond" w:eastAsia="Times New Roman" w:hAnsi="Garamond"/>
          <w:sz w:val="24"/>
          <w:szCs w:val="24"/>
        </w:rPr>
        <w:t xml:space="preserve">fondit në mbështetje të sipërmarrjeve </w:t>
      </w:r>
      <w:r w:rsidRPr="00E266CD">
        <w:rPr>
          <w:rFonts w:ascii="Garamond" w:eastAsia="Times New Roman" w:hAnsi="Garamond"/>
          <w:sz w:val="24"/>
          <w:szCs w:val="24"/>
        </w:rPr>
        <w:t xml:space="preserve">të reja </w:t>
      </w:r>
      <w:r w:rsidR="0067034B">
        <w:rPr>
          <w:rFonts w:ascii="Garamond" w:eastAsia="Times New Roman" w:hAnsi="Garamond"/>
          <w:i/>
          <w:sz w:val="24"/>
          <w:szCs w:val="24"/>
        </w:rPr>
        <w:t>s</w:t>
      </w:r>
      <w:r w:rsidRPr="00E266CD">
        <w:rPr>
          <w:rFonts w:ascii="Garamond" w:eastAsia="Times New Roman" w:hAnsi="Garamond"/>
          <w:i/>
          <w:sz w:val="24"/>
          <w:szCs w:val="24"/>
        </w:rPr>
        <w:t>tart</w:t>
      </w:r>
      <w:r w:rsidR="00663201" w:rsidRPr="00E266CD">
        <w:rPr>
          <w:rFonts w:ascii="Garamond" w:eastAsia="Times New Roman" w:hAnsi="Garamond"/>
          <w:i/>
          <w:sz w:val="24"/>
          <w:szCs w:val="24"/>
        </w:rPr>
        <w:t>u</w:t>
      </w:r>
      <w:r w:rsidRPr="00E266CD">
        <w:rPr>
          <w:rFonts w:ascii="Garamond" w:eastAsia="Times New Roman" w:hAnsi="Garamond"/>
          <w:i/>
          <w:sz w:val="24"/>
          <w:szCs w:val="24"/>
        </w:rPr>
        <w:t>p</w:t>
      </w:r>
      <w:r w:rsidRPr="00E266CD">
        <w:rPr>
          <w:rFonts w:ascii="Garamond" w:eastAsia="Times New Roman" w:hAnsi="Garamond"/>
          <w:sz w:val="24"/>
          <w:szCs w:val="24"/>
        </w:rPr>
        <w:t xml:space="preserve">”, </w:t>
      </w:r>
      <w:r w:rsidR="0067034B">
        <w:rPr>
          <w:rFonts w:ascii="Garamond" w:eastAsia="Times New Roman" w:hAnsi="Garamond"/>
          <w:sz w:val="24"/>
          <w:szCs w:val="24"/>
        </w:rPr>
        <w:t>të</w:t>
      </w:r>
      <w:r w:rsidRPr="00E266CD">
        <w:rPr>
          <w:rFonts w:ascii="Garamond" w:eastAsia="Times New Roman" w:hAnsi="Garamond"/>
          <w:sz w:val="24"/>
          <w:szCs w:val="24"/>
        </w:rPr>
        <w:t xml:space="preserve"> ndryshuar. Ky fond është menaxhuar nga AIDA për periudhën 2014</w:t>
      </w:r>
      <w:r w:rsidR="007243A9" w:rsidRPr="00E266CD">
        <w:rPr>
          <w:rFonts w:ascii="Garamond" w:eastAsia="Times New Roman" w:hAnsi="Garamond"/>
          <w:sz w:val="24"/>
          <w:szCs w:val="24"/>
        </w:rPr>
        <w:t>–</w:t>
      </w:r>
      <w:r w:rsidRPr="00E266CD">
        <w:rPr>
          <w:rFonts w:ascii="Garamond" w:eastAsia="Times New Roman" w:hAnsi="Garamond"/>
          <w:sz w:val="24"/>
          <w:szCs w:val="24"/>
        </w:rPr>
        <w:t>2019.</w:t>
      </w:r>
    </w:p>
    <w:p w14:paraId="555B3630"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Sektorët kryesorë që ka mbështetur fondi, janë:</w:t>
      </w:r>
    </w:p>
    <w:p w14:paraId="273AB8B7" w14:textId="2A3177A3"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Sektorin prodhues dhe të shërbimit</w:t>
      </w:r>
      <w:r w:rsidR="0067034B">
        <w:rPr>
          <w:rFonts w:ascii="Garamond" w:eastAsia="Times New Roman" w:hAnsi="Garamond"/>
          <w:sz w:val="24"/>
          <w:szCs w:val="24"/>
        </w:rPr>
        <w:t>;</w:t>
      </w:r>
    </w:p>
    <w:p w14:paraId="12CCFFD4" w14:textId="6AD8B2AB"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Sektorin e industrisë së lehtë</w:t>
      </w:r>
      <w:r w:rsidR="0067034B">
        <w:rPr>
          <w:rFonts w:ascii="Garamond" w:eastAsia="Times New Roman" w:hAnsi="Garamond"/>
          <w:sz w:val="24"/>
          <w:szCs w:val="24"/>
        </w:rPr>
        <w:t>;</w:t>
      </w:r>
    </w:p>
    <w:p w14:paraId="5D7F1618" w14:textId="5C647E0A"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Sektorin e turizmit</w:t>
      </w:r>
      <w:r w:rsidR="0067034B">
        <w:rPr>
          <w:rFonts w:ascii="Garamond" w:eastAsia="Times New Roman" w:hAnsi="Garamond"/>
          <w:sz w:val="24"/>
          <w:szCs w:val="24"/>
        </w:rPr>
        <w:t>;</w:t>
      </w:r>
    </w:p>
    <w:p w14:paraId="6F7F8BC1" w14:textId="2E381934"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Fushën e kërkimit dhe zhvillimit</w:t>
      </w:r>
      <w:r w:rsidR="0067034B">
        <w:rPr>
          <w:rFonts w:ascii="Garamond" w:eastAsia="Times New Roman" w:hAnsi="Garamond"/>
          <w:sz w:val="24"/>
          <w:szCs w:val="24"/>
        </w:rPr>
        <w:t>;</w:t>
      </w:r>
    </w:p>
    <w:p w14:paraId="0B2160AE" w14:textId="589BC4FE"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Procesin e agropërpunimit</w:t>
      </w:r>
      <w:r w:rsidR="0067034B">
        <w:rPr>
          <w:rFonts w:ascii="Garamond" w:eastAsia="Times New Roman" w:hAnsi="Garamond"/>
          <w:sz w:val="24"/>
          <w:szCs w:val="24"/>
        </w:rPr>
        <w:t>;</w:t>
      </w:r>
    </w:p>
    <w:p w14:paraId="1A86A68A" w14:textId="20EDD4A8"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Fushën e dizenjimit, modelimit, artizanatit.</w:t>
      </w:r>
    </w:p>
    <w:p w14:paraId="3AAFBFDE" w14:textId="54634E64"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Për periudhën 2017</w:t>
      </w:r>
      <w:r w:rsidR="007243A9" w:rsidRPr="00E266CD">
        <w:rPr>
          <w:rFonts w:ascii="Garamond" w:eastAsia="Times New Roman" w:hAnsi="Garamond"/>
          <w:sz w:val="24"/>
          <w:szCs w:val="24"/>
        </w:rPr>
        <w:t>–</w:t>
      </w:r>
      <w:r w:rsidRPr="00E266CD">
        <w:rPr>
          <w:rFonts w:ascii="Garamond" w:eastAsia="Times New Roman" w:hAnsi="Garamond"/>
          <w:sz w:val="24"/>
          <w:szCs w:val="24"/>
        </w:rPr>
        <w:t>2019, nga ky fond kanë përfituar 51 kompani të reja nga 89 kompani aplikuese dhe janë disbursuar në total 21 551 378 lekë.</w:t>
      </w:r>
    </w:p>
    <w:p w14:paraId="03608949" w14:textId="02A49C4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Gjithashtu, në 2022</w:t>
      </w:r>
      <w:r w:rsidR="0067034B">
        <w:rPr>
          <w:rFonts w:ascii="Garamond" w:eastAsia="Times New Roman" w:hAnsi="Garamond"/>
          <w:sz w:val="24"/>
          <w:szCs w:val="24"/>
        </w:rPr>
        <w:t>-shin</w:t>
      </w:r>
      <w:r w:rsidRPr="00E266CD">
        <w:rPr>
          <w:rFonts w:ascii="Garamond" w:eastAsia="Times New Roman" w:hAnsi="Garamond"/>
          <w:sz w:val="24"/>
          <w:szCs w:val="24"/>
        </w:rPr>
        <w:t xml:space="preserve"> janë miratuar edhe ligje dhe akte nënligjore</w:t>
      </w:r>
      <w:r w:rsidR="0067034B">
        <w:rPr>
          <w:rFonts w:ascii="Garamond" w:eastAsia="Times New Roman" w:hAnsi="Garamond"/>
          <w:sz w:val="24"/>
          <w:szCs w:val="24"/>
        </w:rPr>
        <w:t>,</w:t>
      </w:r>
      <w:r w:rsidRPr="00E266CD">
        <w:rPr>
          <w:rFonts w:ascii="Garamond" w:eastAsia="Times New Roman" w:hAnsi="Garamond"/>
          <w:sz w:val="24"/>
          <w:szCs w:val="24"/>
        </w:rPr>
        <w:t xml:space="preserve"> të tjera si:</w:t>
      </w:r>
    </w:p>
    <w:p w14:paraId="297F5CA2" w14:textId="66AFCDB5" w:rsidR="00F91888" w:rsidRPr="00E266CD" w:rsidRDefault="00DD1EAB" w:rsidP="00DD1EAB">
      <w:pPr>
        <w:pStyle w:val="TEKSTIIII"/>
      </w:pPr>
      <w:r w:rsidRPr="00E266CD">
        <w:t xml:space="preserve">1. </w:t>
      </w:r>
      <w:r w:rsidR="00F91888" w:rsidRPr="00E266CD">
        <w:t xml:space="preserve">Ligji </w:t>
      </w:r>
      <w:r w:rsidR="007243A9" w:rsidRPr="00E266CD">
        <w:t xml:space="preserve">nr. </w:t>
      </w:r>
      <w:r w:rsidR="00F91888" w:rsidRPr="00E266CD">
        <w:t>25/2022</w:t>
      </w:r>
      <w:r w:rsidR="007243A9" w:rsidRPr="00E266CD">
        <w:t>,</w:t>
      </w:r>
      <w:r w:rsidR="00F91888" w:rsidRPr="00E266CD">
        <w:t xml:space="preserve"> </w:t>
      </w:r>
      <w:r w:rsidR="007243A9" w:rsidRPr="00E266CD">
        <w:t>“</w:t>
      </w:r>
      <w:r w:rsidR="00F91888" w:rsidRPr="00E266CD">
        <w:t xml:space="preserve">Për </w:t>
      </w:r>
      <w:r w:rsidR="007243A9" w:rsidRPr="00E266CD">
        <w:t xml:space="preserve">mbështetjen dhe zhvillimin </w:t>
      </w:r>
      <w:r w:rsidR="00F91888" w:rsidRPr="00E266CD">
        <w:t xml:space="preserve">e </w:t>
      </w:r>
      <w:r w:rsidR="0067034B">
        <w:rPr>
          <w:i/>
        </w:rPr>
        <w:t>s</w:t>
      </w:r>
      <w:r w:rsidR="00F91888" w:rsidRPr="00E266CD">
        <w:rPr>
          <w:i/>
        </w:rPr>
        <w:t>tart</w:t>
      </w:r>
      <w:r w:rsidR="007243A9" w:rsidRPr="00E266CD">
        <w:rPr>
          <w:i/>
        </w:rPr>
        <w:t>u</w:t>
      </w:r>
      <w:r w:rsidR="00F91888" w:rsidRPr="00E266CD">
        <w:rPr>
          <w:i/>
        </w:rPr>
        <w:t>p</w:t>
      </w:r>
      <w:r w:rsidR="00F91888" w:rsidRPr="00E266CD">
        <w:t>-eve</w:t>
      </w:r>
      <w:r w:rsidR="007243A9" w:rsidRPr="00E266CD">
        <w:t>”</w:t>
      </w:r>
      <w:r w:rsidR="00F91888" w:rsidRPr="00E266CD">
        <w:t>;</w:t>
      </w:r>
    </w:p>
    <w:p w14:paraId="161185A6" w14:textId="6CE07D0E" w:rsidR="00F91888" w:rsidRPr="00E266CD" w:rsidRDefault="00DD1EAB" w:rsidP="00DD1EAB">
      <w:pPr>
        <w:pStyle w:val="TEKSTIIII"/>
      </w:pPr>
      <w:r w:rsidRPr="00E266CD">
        <w:t xml:space="preserve">2. </w:t>
      </w:r>
      <w:r w:rsidR="00F91888" w:rsidRPr="00E266CD">
        <w:t>VKM</w:t>
      </w:r>
      <w:r w:rsidR="0067034B">
        <w:t>-ja</w:t>
      </w:r>
      <w:r w:rsidR="00F91888" w:rsidRPr="00E266CD">
        <w:t xml:space="preserve"> nr. 311, datë 11.5.2022</w:t>
      </w:r>
      <w:r w:rsidR="007243A9" w:rsidRPr="00E266CD">
        <w:t>,</w:t>
      </w:r>
      <w:r w:rsidR="00F91888" w:rsidRPr="00E266CD">
        <w:t xml:space="preserve"> “Për përcaktimin e rregullave të hollësishme për veprimtarinë dhe mënyrën e ofrimit të shërbimit </w:t>
      </w:r>
      <w:r w:rsidR="00F91888" w:rsidRPr="00E266CD">
        <w:rPr>
          <w:i/>
        </w:rPr>
        <w:t>startup</w:t>
      </w:r>
      <w:r w:rsidR="00F91888" w:rsidRPr="00E266CD">
        <w:t xml:space="preserve"> </w:t>
      </w:r>
      <w:r w:rsidR="00F91888" w:rsidRPr="00E266CD">
        <w:rPr>
          <w:i/>
        </w:rPr>
        <w:t>one-stop-shop</w:t>
      </w:r>
      <w:r w:rsidR="007243A9" w:rsidRPr="00E266CD">
        <w:rPr>
          <w:i/>
        </w:rPr>
        <w:t>,</w:t>
      </w:r>
      <w:r w:rsidR="00F91888" w:rsidRPr="00E266CD">
        <w:t xml:space="preserve"> si dhe shërbimeve për të cilat aplikohet tarifa zero për mbështetjen e </w:t>
      </w:r>
      <w:r w:rsidR="00F91888" w:rsidRPr="00E266CD">
        <w:rPr>
          <w:i/>
        </w:rPr>
        <w:t>startup</w:t>
      </w:r>
      <w:r w:rsidR="00F91888" w:rsidRPr="00E266CD">
        <w:t>-eve</w:t>
      </w:r>
      <w:r w:rsidR="007243A9" w:rsidRPr="00E266CD">
        <w:t>”</w:t>
      </w:r>
      <w:r w:rsidR="00F91888" w:rsidRPr="00E266CD">
        <w:t>;</w:t>
      </w:r>
    </w:p>
    <w:p w14:paraId="39410021" w14:textId="2ADB7604" w:rsidR="00F91888" w:rsidRPr="00E266CD" w:rsidRDefault="00DD1EAB" w:rsidP="00DD1EAB">
      <w:pPr>
        <w:pStyle w:val="TEKSTIIII"/>
      </w:pPr>
      <w:r w:rsidRPr="00E266CD">
        <w:t xml:space="preserve">3. </w:t>
      </w:r>
      <w:r w:rsidR="00F91888" w:rsidRPr="00E266CD">
        <w:t>VKM</w:t>
      </w:r>
      <w:r w:rsidR="0067034B">
        <w:t>-ja</w:t>
      </w:r>
      <w:r w:rsidR="00F91888" w:rsidRPr="00E266CD">
        <w:t xml:space="preserve"> nr. 312, datë 11.5.2022</w:t>
      </w:r>
      <w:r w:rsidR="007243A9" w:rsidRPr="00E266CD">
        <w:t>,</w:t>
      </w:r>
      <w:r w:rsidR="00F91888" w:rsidRPr="00E266CD">
        <w:t xml:space="preserve"> “Për përcaktimin e rregullave të hollësishme për përmbajtjen e regjistrit të </w:t>
      </w:r>
      <w:r w:rsidR="00F91888" w:rsidRPr="00E266CD">
        <w:rPr>
          <w:i/>
        </w:rPr>
        <w:t>startup</w:t>
      </w:r>
      <w:r w:rsidR="00F91888" w:rsidRPr="00E266CD">
        <w:t>-eve dhe lehtësuesve, mënyrën e funksionimit dhe ndërlidhjen e tij me portalin qeveritar “</w:t>
      </w:r>
      <w:r w:rsidR="00F91888" w:rsidRPr="00E266CD">
        <w:rPr>
          <w:i/>
        </w:rPr>
        <w:t>e-Albania</w:t>
      </w:r>
      <w:r w:rsidR="007243A9" w:rsidRPr="00E266CD">
        <w:t>”</w:t>
      </w:r>
      <w:r w:rsidR="00F91888" w:rsidRPr="00E266CD">
        <w:t>, si dhe për dokumentet elektronike -</w:t>
      </w:r>
      <w:r w:rsidR="0067034B">
        <w:t xml:space="preserve"> </w:t>
      </w:r>
      <w:r w:rsidR="00F91888" w:rsidRPr="00E266CD">
        <w:t xml:space="preserve">pasaporta e </w:t>
      </w:r>
      <w:r w:rsidR="00F91888" w:rsidRPr="00E266CD">
        <w:rPr>
          <w:i/>
        </w:rPr>
        <w:t>startup</w:t>
      </w:r>
      <w:r w:rsidR="00F91888" w:rsidRPr="00E266CD">
        <w:t>-eve dhe pasaporta e lehtësuesve</w:t>
      </w:r>
    </w:p>
    <w:p w14:paraId="0DAECF21" w14:textId="05B9BBCA" w:rsidR="00F91888" w:rsidRPr="00E266CD" w:rsidRDefault="00DD1EAB" w:rsidP="00DD1EAB">
      <w:pPr>
        <w:pStyle w:val="TEKSTIIII"/>
      </w:pPr>
      <w:r w:rsidRPr="00E266CD">
        <w:t xml:space="preserve">4. </w:t>
      </w:r>
      <w:r w:rsidR="00F91888" w:rsidRPr="00E266CD">
        <w:t>VKM</w:t>
      </w:r>
      <w:r w:rsidR="0067034B">
        <w:t>-ja</w:t>
      </w:r>
      <w:r w:rsidR="00F91888" w:rsidRPr="00E266CD">
        <w:t xml:space="preserve"> nr. 315, datë 11.5.2022</w:t>
      </w:r>
      <w:r w:rsidR="007243A9" w:rsidRPr="00E266CD">
        <w:t>,</w:t>
      </w:r>
      <w:r w:rsidR="00F91888" w:rsidRPr="00E266CD">
        <w:t xml:space="preserve"> “Për përcaktimin e kërkesave dhe kritereve që duhet të plotësojnë </w:t>
      </w:r>
      <w:r w:rsidR="00F91888" w:rsidRPr="00E266CD">
        <w:rPr>
          <w:i/>
        </w:rPr>
        <w:t>startup</w:t>
      </w:r>
      <w:r w:rsidR="00F91888" w:rsidRPr="00E266CD">
        <w:t xml:space="preserve">-et dhe lehtësuesit e </w:t>
      </w:r>
      <w:r w:rsidR="00F91888" w:rsidRPr="00E266CD">
        <w:rPr>
          <w:i/>
        </w:rPr>
        <w:t>startup</w:t>
      </w:r>
      <w:r w:rsidR="00F91888" w:rsidRPr="00E266CD">
        <w:t>-eve, si dhe miratimin e procedurave dhe afateve të thirrjes për përfitimin e granteve dhe masave mbështetëse”.</w:t>
      </w:r>
    </w:p>
    <w:p w14:paraId="064CD000" w14:textId="6894C116"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
          <w:sz w:val="24"/>
          <w:szCs w:val="24"/>
        </w:rPr>
        <w:t xml:space="preserve">Referuar projekteve të bashkëpunimit ndërkufitar e ndërkombëtar në fushën e kërkimit shkencor, </w:t>
      </w:r>
      <w:r w:rsidRPr="00E266CD">
        <w:rPr>
          <w:rFonts w:ascii="Garamond" w:eastAsia="Times New Roman" w:hAnsi="Garamond"/>
          <w:sz w:val="24"/>
          <w:szCs w:val="24"/>
        </w:rPr>
        <w:t xml:space="preserve">bazuar në Marrëveshjen e Bashkëpunimit Shkencor e Teknologjik midis Republikës së Shqipërisë dhe Republikës së Austrisë, nënshkruar në 2 </w:t>
      </w:r>
      <w:r w:rsidR="007243A9" w:rsidRPr="00E266CD">
        <w:rPr>
          <w:rFonts w:ascii="Garamond" w:eastAsia="Times New Roman" w:hAnsi="Garamond"/>
          <w:sz w:val="24"/>
          <w:szCs w:val="24"/>
        </w:rPr>
        <w:t>m</w:t>
      </w:r>
      <w:r w:rsidRPr="00E266CD">
        <w:rPr>
          <w:rFonts w:ascii="Garamond" w:eastAsia="Times New Roman" w:hAnsi="Garamond"/>
          <w:sz w:val="24"/>
          <w:szCs w:val="24"/>
        </w:rPr>
        <w:t>aj 2012 dhe Protokollit të Përbashkët të mbajtur në 5.12.2014, gjatë 2018</w:t>
      </w:r>
      <w:r w:rsidR="0067034B">
        <w:rPr>
          <w:rFonts w:ascii="Garamond" w:eastAsia="Times New Roman" w:hAnsi="Garamond"/>
          <w:sz w:val="24"/>
          <w:szCs w:val="24"/>
        </w:rPr>
        <w:t>-s</w:t>
      </w:r>
      <w:r w:rsidRPr="00E266CD">
        <w:rPr>
          <w:rFonts w:ascii="Garamond" w:eastAsia="Times New Roman" w:hAnsi="Garamond"/>
          <w:sz w:val="24"/>
          <w:szCs w:val="24"/>
        </w:rPr>
        <w:t xml:space="preserve"> u çel thirrja për projekte bilaterale Shqipëri</w:t>
      </w:r>
      <w:r w:rsidR="0067034B">
        <w:rPr>
          <w:rFonts w:ascii="Garamond" w:eastAsia="Times New Roman" w:hAnsi="Garamond"/>
          <w:sz w:val="24"/>
          <w:szCs w:val="24"/>
        </w:rPr>
        <w:t>–</w:t>
      </w:r>
      <w:r w:rsidRPr="00E266CD">
        <w:rPr>
          <w:rFonts w:ascii="Garamond" w:eastAsia="Times New Roman" w:hAnsi="Garamond"/>
          <w:sz w:val="24"/>
          <w:szCs w:val="24"/>
        </w:rPr>
        <w:t>Austri, në të cilin u përzgjodhën 10 projekte fituese dhe u financuan 7 projekte bilaterale me Austrinë. Gjatë vitit 2021, AKKSHI çeli thirrjen e dytë për paraqitjen e projektpropozimeve dypalëshe.</w:t>
      </w:r>
    </w:p>
    <w:p w14:paraId="4BD44D84" w14:textId="1DB2C896"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Bazuar në “Programin e </w:t>
      </w:r>
      <w:r w:rsidR="0067034B" w:rsidRPr="00E266CD">
        <w:rPr>
          <w:rFonts w:ascii="Garamond" w:eastAsia="Times New Roman" w:hAnsi="Garamond"/>
          <w:sz w:val="24"/>
          <w:szCs w:val="24"/>
        </w:rPr>
        <w:t xml:space="preserve">bashkëpunimit në kuadër të marrëveshjes për bashkëpunimin </w:t>
      </w:r>
      <w:r w:rsidRPr="00E266CD">
        <w:rPr>
          <w:rFonts w:ascii="Garamond" w:eastAsia="Times New Roman" w:hAnsi="Garamond"/>
          <w:sz w:val="24"/>
          <w:szCs w:val="24"/>
        </w:rPr>
        <w:t>mes Ministrisë së Arsimit e Sportit (MAS) të Republikës së Shqipërisë dhe Qendrës Kombëtare të Kërkimeve (</w:t>
      </w:r>
      <w:r w:rsidRPr="0067034B">
        <w:rPr>
          <w:rFonts w:ascii="Garamond" w:eastAsia="Times New Roman" w:hAnsi="Garamond"/>
          <w:i/>
          <w:sz w:val="24"/>
          <w:szCs w:val="24"/>
        </w:rPr>
        <w:t>Centro Nazionale di Ricerca</w:t>
      </w:r>
      <w:r w:rsidRPr="00E266CD">
        <w:rPr>
          <w:rFonts w:ascii="Garamond" w:eastAsia="Times New Roman" w:hAnsi="Garamond"/>
          <w:sz w:val="24"/>
          <w:szCs w:val="24"/>
        </w:rPr>
        <w:t xml:space="preserve"> - CNR)”, nr. 5295 prot., datë 19.5.2017</w:t>
      </w:r>
      <w:r w:rsidR="0067034B">
        <w:rPr>
          <w:rFonts w:ascii="Garamond" w:eastAsia="Times New Roman" w:hAnsi="Garamond"/>
          <w:sz w:val="24"/>
          <w:szCs w:val="24"/>
        </w:rPr>
        <w:t>,</w:t>
      </w:r>
      <w:r w:rsidRPr="00E266CD">
        <w:rPr>
          <w:rFonts w:ascii="Garamond" w:eastAsia="Times New Roman" w:hAnsi="Garamond"/>
          <w:sz w:val="24"/>
          <w:szCs w:val="24"/>
        </w:rPr>
        <w:t xml:space="preserve"> dhe në zbatim të udhëzimit nr. 13 prot., datë 12.7.2012</w:t>
      </w:r>
      <w:r w:rsidR="007243A9" w:rsidRPr="00E266CD">
        <w:rPr>
          <w:rFonts w:ascii="Garamond" w:eastAsia="Times New Roman" w:hAnsi="Garamond"/>
          <w:sz w:val="24"/>
          <w:szCs w:val="24"/>
        </w:rPr>
        <w:t>,</w:t>
      </w:r>
      <w:r w:rsidRPr="00E266CD">
        <w:rPr>
          <w:rFonts w:ascii="Garamond" w:eastAsia="Times New Roman" w:hAnsi="Garamond"/>
          <w:sz w:val="24"/>
          <w:szCs w:val="24"/>
        </w:rPr>
        <w:t xml:space="preserve"> “Për procedurën e paraqitjes, shqyrtimit, miratimit dhe raportimit të projekteve që financohen në kuadrin e programeve të bashkëpunimit shkencor dhe teknologjik ndërmjet dy vendeve”, gjatë 2018</w:t>
      </w:r>
      <w:r w:rsidR="0067034B">
        <w:rPr>
          <w:rFonts w:ascii="Garamond" w:eastAsia="Times New Roman" w:hAnsi="Garamond"/>
          <w:sz w:val="24"/>
          <w:szCs w:val="24"/>
        </w:rPr>
        <w:t>-s</w:t>
      </w:r>
      <w:r w:rsidRPr="00E266CD">
        <w:rPr>
          <w:rFonts w:ascii="Garamond" w:eastAsia="Times New Roman" w:hAnsi="Garamond"/>
          <w:sz w:val="24"/>
          <w:szCs w:val="24"/>
        </w:rPr>
        <w:t>, u financuan 2 projekte të paraqitura nga IAL</w:t>
      </w:r>
      <w:r w:rsidR="0067034B">
        <w:rPr>
          <w:rFonts w:ascii="Garamond" w:eastAsia="Times New Roman" w:hAnsi="Garamond"/>
          <w:sz w:val="24"/>
          <w:szCs w:val="24"/>
        </w:rPr>
        <w:t>-të</w:t>
      </w:r>
      <w:r w:rsidRPr="00E266CD">
        <w:rPr>
          <w:rFonts w:ascii="Garamond" w:eastAsia="Times New Roman" w:hAnsi="Garamond"/>
          <w:sz w:val="24"/>
          <w:szCs w:val="24"/>
        </w:rPr>
        <w:t xml:space="preserve"> private dhe 8 projekte të paraqitura nga IAL-të publike. Gjatë 2021</w:t>
      </w:r>
      <w:r w:rsidR="0067034B">
        <w:rPr>
          <w:rFonts w:ascii="Garamond" w:eastAsia="Times New Roman" w:hAnsi="Garamond"/>
          <w:sz w:val="24"/>
          <w:szCs w:val="24"/>
        </w:rPr>
        <w:t>-shit</w:t>
      </w:r>
      <w:r w:rsidRPr="00E266CD">
        <w:rPr>
          <w:rFonts w:ascii="Garamond" w:eastAsia="Times New Roman" w:hAnsi="Garamond"/>
          <w:sz w:val="24"/>
          <w:szCs w:val="24"/>
        </w:rPr>
        <w:t>, pas hapjes së thirrjes së dytë tekniko-shkencore mes Shqipërisë dhe Italisë u përzgjodhën fitues 10 projektpropozime.</w:t>
      </w:r>
    </w:p>
    <w:p w14:paraId="2AAE9FAA" w14:textId="0FB5DBE5"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Në zbatim të </w:t>
      </w:r>
      <w:r w:rsidR="0067034B">
        <w:rPr>
          <w:rFonts w:ascii="Garamond" w:eastAsia="Times New Roman" w:hAnsi="Garamond"/>
          <w:sz w:val="24"/>
          <w:szCs w:val="24"/>
        </w:rPr>
        <w:t>m</w:t>
      </w:r>
      <w:r w:rsidRPr="00E266CD">
        <w:rPr>
          <w:rFonts w:ascii="Garamond" w:eastAsia="Times New Roman" w:hAnsi="Garamond"/>
          <w:sz w:val="24"/>
          <w:szCs w:val="24"/>
        </w:rPr>
        <w:t xml:space="preserve">arrëveshjes ndërmjet Këshillit të Ministrave të Republikës së Shqipërisë dhe </w:t>
      </w:r>
      <w:r w:rsidR="0067034B">
        <w:rPr>
          <w:rFonts w:ascii="Garamond" w:eastAsia="Times New Roman" w:hAnsi="Garamond"/>
          <w:sz w:val="24"/>
          <w:szCs w:val="24"/>
        </w:rPr>
        <w:t>q</w:t>
      </w:r>
      <w:r w:rsidRPr="00E266CD">
        <w:rPr>
          <w:rFonts w:ascii="Garamond" w:eastAsia="Times New Roman" w:hAnsi="Garamond"/>
          <w:sz w:val="24"/>
          <w:szCs w:val="24"/>
        </w:rPr>
        <w:t>everisë së Republikës së Kosovës</w:t>
      </w:r>
      <w:r w:rsidR="0067034B">
        <w:rPr>
          <w:rFonts w:ascii="Garamond" w:eastAsia="Times New Roman" w:hAnsi="Garamond"/>
          <w:sz w:val="24"/>
          <w:szCs w:val="24"/>
        </w:rPr>
        <w:t>,</w:t>
      </w:r>
      <w:r w:rsidRPr="00E266CD">
        <w:rPr>
          <w:rFonts w:ascii="Garamond" w:eastAsia="Times New Roman" w:hAnsi="Garamond"/>
          <w:sz w:val="24"/>
          <w:szCs w:val="24"/>
        </w:rPr>
        <w:t xml:space="preserve"> për bashkëpunimin në fushën e arsimit dhe shkencës, nënshkruar më 8.3.2010, hyrë në fuqi më datë 1.12.2011, miratuar me VKM</w:t>
      </w:r>
      <w:r w:rsidR="007243A9" w:rsidRPr="00E266CD">
        <w:rPr>
          <w:rFonts w:ascii="Garamond" w:eastAsia="Times New Roman" w:hAnsi="Garamond"/>
          <w:sz w:val="24"/>
          <w:szCs w:val="24"/>
        </w:rPr>
        <w:t>-në</w:t>
      </w:r>
      <w:r w:rsidRPr="00E266CD">
        <w:rPr>
          <w:rFonts w:ascii="Garamond" w:eastAsia="Times New Roman" w:hAnsi="Garamond"/>
          <w:sz w:val="24"/>
          <w:szCs w:val="24"/>
        </w:rPr>
        <w:t xml:space="preserve"> nr. 265</w:t>
      </w:r>
      <w:r w:rsidR="007243A9" w:rsidRPr="00E266CD">
        <w:rPr>
          <w:rFonts w:ascii="Garamond" w:eastAsia="Times New Roman" w:hAnsi="Garamond"/>
          <w:sz w:val="24"/>
          <w:szCs w:val="24"/>
        </w:rPr>
        <w:t>,</w:t>
      </w:r>
      <w:r w:rsidRPr="00E266CD">
        <w:rPr>
          <w:rFonts w:ascii="Garamond" w:eastAsia="Times New Roman" w:hAnsi="Garamond"/>
          <w:sz w:val="24"/>
          <w:szCs w:val="24"/>
        </w:rPr>
        <w:t xml:space="preserve"> datë 21.4.2010, “Për miratimin e marrëveshjes, ndërmjet Këshillit të Ministrave të Republikës së Shqipërisë dhe </w:t>
      </w:r>
      <w:r w:rsidR="00663201" w:rsidRPr="00E266CD">
        <w:rPr>
          <w:rFonts w:ascii="Garamond" w:eastAsia="Times New Roman" w:hAnsi="Garamond"/>
          <w:sz w:val="24"/>
          <w:szCs w:val="24"/>
        </w:rPr>
        <w:t>q</w:t>
      </w:r>
      <w:r w:rsidRPr="00E266CD">
        <w:rPr>
          <w:rFonts w:ascii="Garamond" w:eastAsia="Times New Roman" w:hAnsi="Garamond"/>
          <w:sz w:val="24"/>
          <w:szCs w:val="24"/>
        </w:rPr>
        <w:t>everisë së Republikës së Kosovës, për bashkëpunimin në fushat e arsimit dhe të shkencës” dhe në zbatim të udhëzimit nr. 1 prot., datë 30.11.2017</w:t>
      </w:r>
      <w:r w:rsidR="007243A9" w:rsidRPr="00E266CD">
        <w:rPr>
          <w:rFonts w:ascii="Garamond" w:eastAsia="Times New Roman" w:hAnsi="Garamond"/>
          <w:sz w:val="24"/>
          <w:szCs w:val="24"/>
        </w:rPr>
        <w:t>,</w:t>
      </w:r>
      <w:r w:rsidRPr="00E266CD">
        <w:rPr>
          <w:rFonts w:ascii="Garamond" w:eastAsia="Times New Roman" w:hAnsi="Garamond"/>
          <w:sz w:val="24"/>
          <w:szCs w:val="24"/>
        </w:rPr>
        <w:t xml:space="preserve"> “Për </w:t>
      </w:r>
      <w:r w:rsidR="0067034B" w:rsidRPr="00E266CD">
        <w:rPr>
          <w:rFonts w:ascii="Garamond" w:eastAsia="Times New Roman" w:hAnsi="Garamond"/>
          <w:sz w:val="24"/>
          <w:szCs w:val="24"/>
        </w:rPr>
        <w:t>procedurën e paraqitjes, shqyrtimit, miratimit dhe raportimit të projekteve që financohen në kuadrin e programeve të bashkëpunimit shkencor dhe teknologjik ndërmjet dy v</w:t>
      </w:r>
      <w:r w:rsidRPr="00E266CD">
        <w:rPr>
          <w:rFonts w:ascii="Garamond" w:eastAsia="Times New Roman" w:hAnsi="Garamond"/>
          <w:sz w:val="24"/>
          <w:szCs w:val="24"/>
        </w:rPr>
        <w:t>endeve”, gjatë 2020</w:t>
      </w:r>
      <w:r w:rsidR="0067034B">
        <w:rPr>
          <w:rFonts w:ascii="Garamond" w:eastAsia="Times New Roman" w:hAnsi="Garamond"/>
          <w:sz w:val="24"/>
          <w:szCs w:val="24"/>
        </w:rPr>
        <w:t>-s</w:t>
      </w:r>
      <w:r w:rsidRPr="00E266CD">
        <w:rPr>
          <w:rFonts w:ascii="Garamond" w:eastAsia="Times New Roman" w:hAnsi="Garamond"/>
          <w:sz w:val="24"/>
          <w:szCs w:val="24"/>
        </w:rPr>
        <w:t xml:space="preserve"> janë financuar 17 (shtatëmbëdhjetë) projektpropozime.</w:t>
      </w:r>
    </w:p>
    <w:p w14:paraId="08300704" w14:textId="2BC34299" w:rsidR="00F91888" w:rsidRPr="00E266CD" w:rsidRDefault="00F91888" w:rsidP="00F91888">
      <w:pPr>
        <w:ind w:firstLine="284"/>
        <w:rPr>
          <w:rFonts w:ascii="Garamond" w:eastAsia="Times New Roman" w:hAnsi="Garamond"/>
          <w:b/>
          <w:sz w:val="24"/>
          <w:szCs w:val="24"/>
        </w:rPr>
      </w:pPr>
      <w:r w:rsidRPr="00E266CD">
        <w:rPr>
          <w:rFonts w:ascii="Garamond" w:eastAsia="Times New Roman" w:hAnsi="Garamond"/>
          <w:sz w:val="24"/>
          <w:szCs w:val="24"/>
        </w:rPr>
        <w:t>Gjithashtu, në kuadër të rritjes së bashkëpunimit rajonal, në fushën e shkencës dhe teknologjisë AKKSHI</w:t>
      </w:r>
      <w:r w:rsidR="0067034B">
        <w:rPr>
          <w:rFonts w:ascii="Garamond" w:eastAsia="Times New Roman" w:hAnsi="Garamond"/>
          <w:sz w:val="24"/>
          <w:szCs w:val="24"/>
        </w:rPr>
        <w:t>,</w:t>
      </w:r>
      <w:r w:rsidRPr="00E266CD">
        <w:rPr>
          <w:rFonts w:ascii="Garamond" w:eastAsia="Times New Roman" w:hAnsi="Garamond"/>
          <w:sz w:val="24"/>
          <w:szCs w:val="24"/>
        </w:rPr>
        <w:t xml:space="preserve"> gjatë 2021</w:t>
      </w:r>
      <w:r w:rsidR="0067034B">
        <w:rPr>
          <w:rFonts w:ascii="Garamond" w:eastAsia="Times New Roman" w:hAnsi="Garamond"/>
          <w:sz w:val="24"/>
          <w:szCs w:val="24"/>
        </w:rPr>
        <w:t>-shit,</w:t>
      </w:r>
      <w:r w:rsidRPr="00E266CD">
        <w:rPr>
          <w:rFonts w:ascii="Garamond" w:eastAsia="Times New Roman" w:hAnsi="Garamond"/>
          <w:sz w:val="24"/>
          <w:szCs w:val="24"/>
        </w:rPr>
        <w:t xml:space="preserve"> ka filluar procesin për bashkëpunim dhe programe të përbashkëta me Kroacinë, Maltën, Serbinë dhe Slloveninë.</w:t>
      </w:r>
    </w:p>
    <w:p w14:paraId="3589D828" w14:textId="0CEF9B1B"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Gjatë periudhës </w:t>
      </w:r>
      <w:r w:rsidR="0067034B">
        <w:rPr>
          <w:rFonts w:ascii="Garamond" w:eastAsia="Times New Roman" w:hAnsi="Garamond"/>
          <w:sz w:val="24"/>
          <w:szCs w:val="24"/>
        </w:rPr>
        <w:t>s</w:t>
      </w:r>
      <w:r w:rsidRPr="00E266CD">
        <w:rPr>
          <w:rFonts w:ascii="Garamond" w:eastAsia="Times New Roman" w:hAnsi="Garamond"/>
          <w:sz w:val="24"/>
          <w:szCs w:val="24"/>
        </w:rPr>
        <w:t xml:space="preserve">ë zbatimit të </w:t>
      </w:r>
      <w:r w:rsidR="009A203C" w:rsidRPr="00E266CD">
        <w:rPr>
          <w:rFonts w:ascii="Garamond" w:eastAsia="Times New Roman" w:hAnsi="Garamond"/>
          <w:sz w:val="24"/>
          <w:szCs w:val="24"/>
        </w:rPr>
        <w:t>programit k</w:t>
      </w:r>
      <w:r w:rsidRPr="00E266CD">
        <w:rPr>
          <w:rFonts w:ascii="Garamond" w:eastAsia="Times New Roman" w:hAnsi="Garamond"/>
          <w:sz w:val="24"/>
          <w:szCs w:val="24"/>
        </w:rPr>
        <w:t xml:space="preserve">uadër të BE-së për </w:t>
      </w:r>
      <w:r w:rsidR="009A203C" w:rsidRPr="00E266CD">
        <w:rPr>
          <w:rFonts w:ascii="Garamond" w:eastAsia="Times New Roman" w:hAnsi="Garamond"/>
          <w:sz w:val="24"/>
          <w:szCs w:val="24"/>
        </w:rPr>
        <w:t xml:space="preserve">kërkim shkencor dhe inovacion </w:t>
      </w:r>
      <w:r w:rsidRPr="00E266CD">
        <w:rPr>
          <w:rFonts w:ascii="Garamond" w:eastAsia="Times New Roman" w:hAnsi="Garamond"/>
          <w:sz w:val="24"/>
          <w:szCs w:val="24"/>
        </w:rPr>
        <w:t>H2020, Agjencia Kombëtare e Kërkimit Shkencor dhe Inovacionit (AKKSHI), në rolin e Koordinatorit Kombëtar për H2020 dhe Rrjetin e Pikave Kombëtare të Kontaktit, ka ndërmarrë një sërë veprimtarish për promovimin, informimin dhe ngritjen e kapaciteteve të komunitetit kërkimor në vendin tonë.</w:t>
      </w:r>
    </w:p>
    <w:p w14:paraId="043636C0" w14:textId="4BD9518D"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Nga ana e AKKSHI-it u hartua databaza me adresat elektronike të listës së kërkuesve shkencorë të universiteteve publike, jopublike</w:t>
      </w:r>
      <w:r w:rsidR="0067034B">
        <w:rPr>
          <w:rFonts w:ascii="Garamond" w:eastAsia="Times New Roman" w:hAnsi="Garamond"/>
          <w:sz w:val="24"/>
          <w:szCs w:val="24"/>
        </w:rPr>
        <w:t>,</w:t>
      </w:r>
      <w:r w:rsidRPr="00E266CD">
        <w:rPr>
          <w:rFonts w:ascii="Garamond" w:eastAsia="Times New Roman" w:hAnsi="Garamond"/>
          <w:sz w:val="24"/>
          <w:szCs w:val="24"/>
        </w:rPr>
        <w:t xml:space="preserve"> si dhe instituteve kërkimore. Në këtë databazë janë regjistruar mbi 3800 adresa elektronike</w:t>
      </w:r>
      <w:r w:rsidR="0067034B">
        <w:rPr>
          <w:rFonts w:ascii="Garamond" w:eastAsia="Times New Roman" w:hAnsi="Garamond"/>
          <w:sz w:val="24"/>
          <w:szCs w:val="24"/>
        </w:rPr>
        <w:t>,</w:t>
      </w:r>
      <w:r w:rsidRPr="00E266CD">
        <w:rPr>
          <w:rFonts w:ascii="Garamond" w:eastAsia="Times New Roman" w:hAnsi="Garamond"/>
          <w:sz w:val="24"/>
          <w:szCs w:val="24"/>
        </w:rPr>
        <w:t xml:space="preserve"> të cilat shërbejnë si platformë </w:t>
      </w:r>
      <w:r w:rsidRPr="00E266CD">
        <w:rPr>
          <w:rFonts w:ascii="Garamond" w:eastAsia="Times New Roman" w:hAnsi="Garamond"/>
          <w:i/>
          <w:sz w:val="24"/>
          <w:szCs w:val="24"/>
        </w:rPr>
        <w:t>online</w:t>
      </w:r>
      <w:r w:rsidRPr="00E266CD">
        <w:rPr>
          <w:rFonts w:ascii="Garamond" w:eastAsia="Times New Roman" w:hAnsi="Garamond"/>
          <w:sz w:val="24"/>
          <w:szCs w:val="24"/>
        </w:rPr>
        <w:t xml:space="preserve"> e shpërndarjes së informacionit mbi aplikimet </w:t>
      </w:r>
      <w:r w:rsidR="0067034B">
        <w:rPr>
          <w:rFonts w:ascii="Garamond" w:eastAsia="Times New Roman" w:hAnsi="Garamond"/>
          <w:sz w:val="24"/>
          <w:szCs w:val="24"/>
        </w:rPr>
        <w:t>n</w:t>
      </w:r>
      <w:r w:rsidRPr="00E266CD">
        <w:rPr>
          <w:rFonts w:ascii="Garamond" w:eastAsia="Times New Roman" w:hAnsi="Garamond"/>
          <w:sz w:val="24"/>
          <w:szCs w:val="24"/>
        </w:rPr>
        <w:t xml:space="preserve">ë </w:t>
      </w:r>
      <w:r w:rsidRPr="009A203C">
        <w:rPr>
          <w:rFonts w:ascii="Garamond" w:eastAsia="Times New Roman" w:hAnsi="Garamond"/>
          <w:i/>
          <w:sz w:val="24"/>
          <w:szCs w:val="24"/>
        </w:rPr>
        <w:t>Horizon</w:t>
      </w:r>
      <w:r w:rsidRPr="00E266CD">
        <w:rPr>
          <w:rFonts w:ascii="Garamond" w:eastAsia="Times New Roman" w:hAnsi="Garamond"/>
          <w:sz w:val="24"/>
          <w:szCs w:val="24"/>
        </w:rPr>
        <w:t xml:space="preserve"> 2020 në kohë reale.</w:t>
      </w:r>
    </w:p>
    <w:p w14:paraId="2EDF0A6A" w14:textId="4AAE9AA3"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 xml:space="preserve">Gjithashtu, AKKSHI ka përgatitur dhe botuar në shqip udhërrëfyes e prezantimet informuese mbi Programin </w:t>
      </w:r>
      <w:r w:rsidRPr="009A203C">
        <w:rPr>
          <w:rFonts w:ascii="Garamond" w:eastAsia="Times New Roman" w:hAnsi="Garamond"/>
          <w:i/>
          <w:sz w:val="24"/>
          <w:szCs w:val="24"/>
        </w:rPr>
        <w:t>Horizon</w:t>
      </w:r>
      <w:r w:rsidRPr="00E266CD">
        <w:rPr>
          <w:rFonts w:ascii="Garamond" w:eastAsia="Times New Roman" w:hAnsi="Garamond"/>
          <w:sz w:val="24"/>
          <w:szCs w:val="24"/>
        </w:rPr>
        <w:t xml:space="preserve"> 2020 (H2020)</w:t>
      </w:r>
      <w:r w:rsidR="0067034B">
        <w:rPr>
          <w:rFonts w:ascii="Garamond" w:eastAsia="Times New Roman" w:hAnsi="Garamond"/>
          <w:sz w:val="24"/>
          <w:szCs w:val="24"/>
        </w:rPr>
        <w:t>,</w:t>
      </w:r>
      <w:r w:rsidRPr="00E266CD">
        <w:rPr>
          <w:rFonts w:ascii="Garamond" w:eastAsia="Times New Roman" w:hAnsi="Garamond"/>
          <w:sz w:val="24"/>
          <w:szCs w:val="24"/>
        </w:rPr>
        <w:t xml:space="preserve"> ku çdo studiues mund të marrë çdo të dhënë mbi përmbajtjen e programit dhe mënyrën e aplikimit. Stafi i AKKSHI-t ka asistuar grupet e kërkuesve shkencor, stafet akademike mbi aplikimin në </w:t>
      </w:r>
      <w:r w:rsidR="0067034B">
        <w:rPr>
          <w:rFonts w:ascii="Garamond" w:eastAsia="Times New Roman" w:hAnsi="Garamond"/>
          <w:sz w:val="24"/>
          <w:szCs w:val="24"/>
        </w:rPr>
        <w:t>t</w:t>
      </w:r>
      <w:r w:rsidRPr="00E266CD">
        <w:rPr>
          <w:rFonts w:ascii="Garamond" w:eastAsia="Times New Roman" w:hAnsi="Garamond"/>
          <w:sz w:val="24"/>
          <w:szCs w:val="24"/>
        </w:rPr>
        <w:t xml:space="preserve">hirrjet tematike të </w:t>
      </w:r>
      <w:r w:rsidR="0067034B" w:rsidRPr="00E266CD">
        <w:rPr>
          <w:rFonts w:ascii="Garamond" w:eastAsia="Times New Roman" w:hAnsi="Garamond"/>
          <w:sz w:val="24"/>
          <w:szCs w:val="24"/>
        </w:rPr>
        <w:t xml:space="preserve">hapura dhe në ardhje </w:t>
      </w:r>
      <w:r w:rsidRPr="00E266CD">
        <w:rPr>
          <w:rFonts w:ascii="Garamond" w:eastAsia="Times New Roman" w:hAnsi="Garamond"/>
          <w:sz w:val="24"/>
          <w:szCs w:val="24"/>
        </w:rPr>
        <w:t xml:space="preserve">H2020, </w:t>
      </w:r>
      <w:r w:rsidR="0067034B" w:rsidRPr="00E266CD">
        <w:rPr>
          <w:rFonts w:ascii="Garamond" w:eastAsia="Times New Roman" w:hAnsi="Garamond"/>
          <w:sz w:val="24"/>
          <w:szCs w:val="24"/>
        </w:rPr>
        <w:t xml:space="preserve">partneritetet, rrjetet, trajnime </w:t>
      </w:r>
      <w:r w:rsidRPr="00E266CD">
        <w:rPr>
          <w:rFonts w:ascii="Garamond" w:eastAsia="Times New Roman" w:hAnsi="Garamond"/>
          <w:sz w:val="24"/>
          <w:szCs w:val="24"/>
        </w:rPr>
        <w:t>etj.</w:t>
      </w:r>
    </w:p>
    <w:p w14:paraId="3D9F53DB" w14:textId="287FBAF0"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Gjatë periudhës së zbatimit të programit</w:t>
      </w:r>
      <w:r w:rsidR="005E43C0">
        <w:rPr>
          <w:rFonts w:ascii="Garamond" w:eastAsia="Times New Roman" w:hAnsi="Garamond"/>
          <w:sz w:val="24"/>
          <w:szCs w:val="24"/>
        </w:rPr>
        <w:t>,</w:t>
      </w:r>
      <w:r w:rsidRPr="00E266CD">
        <w:rPr>
          <w:rFonts w:ascii="Garamond" w:eastAsia="Times New Roman" w:hAnsi="Garamond"/>
          <w:sz w:val="24"/>
          <w:szCs w:val="24"/>
        </w:rPr>
        <w:t xml:space="preserve"> AKKSHI ka organizuar 190 ditë informuese dhe trajnuese në kuadër të programit H2020 në universitete publike, universitete jopublike, aktivitete në bashkëpunim me Komisionin Evropian DG </w:t>
      </w:r>
      <w:r w:rsidRPr="00E266CD">
        <w:rPr>
          <w:rFonts w:ascii="Garamond" w:eastAsia="Times New Roman" w:hAnsi="Garamond"/>
          <w:i/>
          <w:sz w:val="24"/>
          <w:szCs w:val="24"/>
        </w:rPr>
        <w:t>Research and Innovation</w:t>
      </w:r>
      <w:r w:rsidRPr="00E266CD">
        <w:rPr>
          <w:rFonts w:ascii="Garamond" w:eastAsia="Times New Roman" w:hAnsi="Garamond"/>
          <w:sz w:val="24"/>
          <w:szCs w:val="24"/>
        </w:rPr>
        <w:t xml:space="preserve">, APRE, </w:t>
      </w:r>
      <w:r w:rsidRPr="00E266CD">
        <w:rPr>
          <w:rFonts w:ascii="Garamond" w:eastAsia="Times New Roman" w:hAnsi="Garamond"/>
          <w:i/>
          <w:sz w:val="24"/>
          <w:szCs w:val="24"/>
        </w:rPr>
        <w:t>Research Executive Agency</w:t>
      </w:r>
      <w:r w:rsidRPr="00E266CD">
        <w:rPr>
          <w:rFonts w:ascii="Garamond" w:eastAsia="Times New Roman" w:hAnsi="Garamond"/>
          <w:sz w:val="24"/>
          <w:szCs w:val="24"/>
        </w:rPr>
        <w:t xml:space="preserve"> (REA), RCC, Instituti Italian i Kulturës, NCP </w:t>
      </w:r>
      <w:r w:rsidRPr="009A203C">
        <w:rPr>
          <w:rFonts w:ascii="Garamond" w:eastAsia="Times New Roman" w:hAnsi="Garamond"/>
          <w:i/>
          <w:sz w:val="24"/>
          <w:szCs w:val="24"/>
        </w:rPr>
        <w:t>Academy</w:t>
      </w:r>
      <w:r w:rsidRPr="00E266CD">
        <w:rPr>
          <w:rFonts w:ascii="Garamond" w:eastAsia="Times New Roman" w:hAnsi="Garamond"/>
          <w:sz w:val="24"/>
          <w:szCs w:val="24"/>
        </w:rPr>
        <w:t xml:space="preserve">, Projekti i Asistencës Teknike për Programet EU, aktivitetet të përbashkëta me kërkues shkencorë, SME dhe </w:t>
      </w:r>
      <w:r w:rsidR="005E43C0" w:rsidRPr="00E266CD">
        <w:rPr>
          <w:rFonts w:ascii="Garamond" w:eastAsia="Times New Roman" w:hAnsi="Garamond"/>
          <w:sz w:val="24"/>
          <w:szCs w:val="24"/>
        </w:rPr>
        <w:t>ekspertë vlerësues</w:t>
      </w:r>
      <w:r w:rsidRPr="00E266CD">
        <w:rPr>
          <w:rFonts w:ascii="Garamond" w:eastAsia="Times New Roman" w:hAnsi="Garamond"/>
          <w:sz w:val="24"/>
          <w:szCs w:val="24"/>
        </w:rPr>
        <w:t>.</w:t>
      </w:r>
    </w:p>
    <w:p w14:paraId="2460E01D" w14:textId="21AE9F16" w:rsidR="00F91888" w:rsidRPr="00E266CD" w:rsidRDefault="00F91888" w:rsidP="00F91888">
      <w:pPr>
        <w:ind w:firstLine="284"/>
        <w:rPr>
          <w:rFonts w:ascii="Garamond" w:eastAsia="Times New Roman" w:hAnsi="Garamond"/>
          <w:color w:val="FF0000"/>
          <w:sz w:val="24"/>
          <w:szCs w:val="24"/>
        </w:rPr>
      </w:pPr>
      <w:r w:rsidRPr="00E266CD">
        <w:rPr>
          <w:rFonts w:ascii="Garamond" w:eastAsia="Times New Roman" w:hAnsi="Garamond"/>
          <w:sz w:val="24"/>
          <w:szCs w:val="24"/>
        </w:rPr>
        <w:t>Lidhur me angazhimi</w:t>
      </w:r>
      <w:r w:rsidR="005E43C0">
        <w:rPr>
          <w:rFonts w:ascii="Garamond" w:eastAsia="Times New Roman" w:hAnsi="Garamond"/>
          <w:sz w:val="24"/>
          <w:szCs w:val="24"/>
        </w:rPr>
        <w:t>n</w:t>
      </w:r>
      <w:r w:rsidRPr="00E266CD">
        <w:rPr>
          <w:rFonts w:ascii="Garamond" w:eastAsia="Times New Roman" w:hAnsi="Garamond"/>
          <w:sz w:val="24"/>
          <w:szCs w:val="24"/>
        </w:rPr>
        <w:t xml:space="preserve"> institucional në iniciativat </w:t>
      </w:r>
      <w:r w:rsidRPr="00E266CD">
        <w:rPr>
          <w:rFonts w:ascii="Garamond" w:eastAsia="Times New Roman" w:hAnsi="Garamond"/>
          <w:i/>
          <w:sz w:val="24"/>
          <w:szCs w:val="24"/>
        </w:rPr>
        <w:t>Open Science</w:t>
      </w:r>
      <w:r w:rsidRPr="00E266CD">
        <w:rPr>
          <w:rFonts w:ascii="Garamond" w:eastAsia="Times New Roman" w:hAnsi="Garamond"/>
          <w:sz w:val="24"/>
          <w:szCs w:val="24"/>
        </w:rPr>
        <w:t xml:space="preserve"> të Komisionit Evropian dhe Grupin e Punës </w:t>
      </w:r>
      <w:r w:rsidRPr="00E266CD">
        <w:rPr>
          <w:rFonts w:ascii="Garamond" w:eastAsia="Times New Roman" w:hAnsi="Garamond"/>
          <w:i/>
          <w:sz w:val="24"/>
          <w:szCs w:val="24"/>
        </w:rPr>
        <w:t>Open Science</w:t>
      </w:r>
      <w:r w:rsidRPr="00E266CD">
        <w:rPr>
          <w:rFonts w:ascii="Garamond" w:eastAsia="Times New Roman" w:hAnsi="Garamond"/>
          <w:sz w:val="24"/>
          <w:szCs w:val="24"/>
        </w:rPr>
        <w:t xml:space="preserve"> të Këshillit të Bashkëpunimit Rajonal, RASH</w:t>
      </w:r>
      <w:r w:rsidR="005E43C0">
        <w:rPr>
          <w:rFonts w:ascii="Garamond" w:eastAsia="Times New Roman" w:hAnsi="Garamond"/>
          <w:sz w:val="24"/>
          <w:szCs w:val="24"/>
        </w:rPr>
        <w:t>-i,</w:t>
      </w:r>
      <w:r w:rsidRPr="00E266CD">
        <w:rPr>
          <w:rFonts w:ascii="Garamond" w:eastAsia="Times New Roman" w:hAnsi="Garamond"/>
          <w:sz w:val="24"/>
          <w:szCs w:val="24"/>
        </w:rPr>
        <w:t xml:space="preserve"> në bashkëpunim me partnere të tjerë të GÈANT </w:t>
      </w:r>
      <w:r w:rsidRPr="009A203C">
        <w:rPr>
          <w:rFonts w:ascii="Garamond" w:eastAsia="Times New Roman" w:hAnsi="Garamond"/>
          <w:i/>
          <w:sz w:val="24"/>
          <w:szCs w:val="24"/>
        </w:rPr>
        <w:t>Assocation</w:t>
      </w:r>
      <w:r w:rsidRPr="00E266CD">
        <w:rPr>
          <w:rFonts w:ascii="Garamond" w:eastAsia="Times New Roman" w:hAnsi="Garamond"/>
          <w:sz w:val="24"/>
          <w:szCs w:val="24"/>
        </w:rPr>
        <w:t xml:space="preserve"> ka filluar implementimin e iniciativës kombëtare për </w:t>
      </w:r>
      <w:r w:rsidRPr="00E266CD">
        <w:rPr>
          <w:rFonts w:ascii="Garamond" w:eastAsia="Times New Roman" w:hAnsi="Garamond"/>
          <w:i/>
          <w:sz w:val="24"/>
          <w:szCs w:val="24"/>
        </w:rPr>
        <w:t>Open Science</w:t>
      </w:r>
      <w:r w:rsidRPr="00E266CD">
        <w:rPr>
          <w:rFonts w:ascii="Garamond" w:eastAsia="Times New Roman" w:hAnsi="Garamond"/>
          <w:sz w:val="24"/>
          <w:szCs w:val="24"/>
        </w:rPr>
        <w:t xml:space="preserve"> në rajonin e Evropës Jugperëndimore përfshirë Shqipërinë përmes projektit NI4OS: </w:t>
      </w:r>
      <w:r w:rsidRPr="00E266CD">
        <w:rPr>
          <w:rFonts w:ascii="Garamond" w:eastAsia="Times New Roman" w:hAnsi="Garamond"/>
          <w:i/>
          <w:sz w:val="24"/>
          <w:szCs w:val="24"/>
        </w:rPr>
        <w:t xml:space="preserve">National Initiative for </w:t>
      </w:r>
      <w:r w:rsidR="005E43C0" w:rsidRPr="00E266CD">
        <w:rPr>
          <w:rFonts w:ascii="Garamond" w:eastAsia="Times New Roman" w:hAnsi="Garamond"/>
          <w:i/>
          <w:sz w:val="24"/>
          <w:szCs w:val="24"/>
        </w:rPr>
        <w:t>Open Science</w:t>
      </w:r>
      <w:r w:rsidRPr="00E266CD">
        <w:rPr>
          <w:rFonts w:ascii="Garamond" w:eastAsia="Times New Roman" w:hAnsi="Garamond"/>
          <w:sz w:val="24"/>
          <w:szCs w:val="24"/>
        </w:rPr>
        <w:t>. RAS</w:t>
      </w:r>
      <w:r w:rsidR="005E43C0" w:rsidRPr="00E266CD">
        <w:rPr>
          <w:rFonts w:ascii="Garamond" w:eastAsia="Times New Roman" w:hAnsi="Garamond"/>
          <w:sz w:val="24"/>
          <w:szCs w:val="24"/>
        </w:rPr>
        <w:t>H</w:t>
      </w:r>
      <w:r w:rsidR="005E43C0">
        <w:rPr>
          <w:rFonts w:ascii="Garamond" w:eastAsia="Times New Roman" w:hAnsi="Garamond"/>
          <w:sz w:val="24"/>
          <w:szCs w:val="24"/>
        </w:rPr>
        <w:t>-i</w:t>
      </w:r>
      <w:r w:rsidRPr="00E266CD">
        <w:rPr>
          <w:rFonts w:ascii="Garamond" w:eastAsia="Times New Roman" w:hAnsi="Garamond"/>
          <w:sz w:val="24"/>
          <w:szCs w:val="24"/>
        </w:rPr>
        <w:t xml:space="preserve"> ka krijuar iniciativën shqiptare për </w:t>
      </w:r>
      <w:r w:rsidRPr="00E266CD">
        <w:rPr>
          <w:rFonts w:ascii="Garamond" w:eastAsia="Times New Roman" w:hAnsi="Garamond"/>
          <w:i/>
          <w:sz w:val="24"/>
          <w:szCs w:val="24"/>
        </w:rPr>
        <w:t>Open Science</w:t>
      </w:r>
      <w:r w:rsidRPr="00E266CD">
        <w:rPr>
          <w:rFonts w:ascii="Garamond" w:eastAsia="Times New Roman" w:hAnsi="Garamond"/>
          <w:sz w:val="24"/>
          <w:szCs w:val="24"/>
        </w:rPr>
        <w:t xml:space="preserve"> në bashkëpunim me AKKSHI</w:t>
      </w:r>
      <w:r w:rsidR="005E43C0">
        <w:rPr>
          <w:rFonts w:ascii="Garamond" w:eastAsia="Times New Roman" w:hAnsi="Garamond"/>
          <w:sz w:val="24"/>
          <w:szCs w:val="24"/>
        </w:rPr>
        <w:t>-n</w:t>
      </w:r>
      <w:r w:rsidRPr="00E266CD">
        <w:rPr>
          <w:rFonts w:ascii="Garamond" w:eastAsia="Times New Roman" w:hAnsi="Garamond"/>
          <w:sz w:val="24"/>
          <w:szCs w:val="24"/>
        </w:rPr>
        <w:t>. Janë bërë trajnime me të gjithë universitet publike shqiptare për platformën UCRIS</w:t>
      </w:r>
      <w:r w:rsidR="005E43C0">
        <w:rPr>
          <w:rFonts w:ascii="Garamond" w:eastAsia="Times New Roman" w:hAnsi="Garamond"/>
          <w:sz w:val="24"/>
          <w:szCs w:val="24"/>
        </w:rPr>
        <w:t>,</w:t>
      </w:r>
      <w:r w:rsidRPr="00E266CD">
        <w:rPr>
          <w:rFonts w:ascii="Garamond" w:eastAsia="Times New Roman" w:hAnsi="Garamond"/>
          <w:sz w:val="24"/>
          <w:szCs w:val="24"/>
        </w:rPr>
        <w:t xml:space="preserve"> e cila mbledh të dhëna për kërkimin shkencor dhe i bën ato “</w:t>
      </w:r>
      <w:r w:rsidRPr="00E266CD">
        <w:rPr>
          <w:rFonts w:ascii="Garamond" w:eastAsia="Times New Roman" w:hAnsi="Garamond"/>
          <w:i/>
          <w:sz w:val="24"/>
          <w:szCs w:val="24"/>
        </w:rPr>
        <w:t>FAIR ready</w:t>
      </w:r>
      <w:r w:rsidRPr="00E266CD">
        <w:rPr>
          <w:rFonts w:ascii="Garamond" w:eastAsia="Times New Roman" w:hAnsi="Garamond"/>
          <w:sz w:val="24"/>
          <w:szCs w:val="24"/>
        </w:rPr>
        <w:t xml:space="preserve">” për </w:t>
      </w:r>
      <w:r w:rsidRPr="00E266CD">
        <w:rPr>
          <w:rFonts w:ascii="Garamond" w:eastAsia="Times New Roman" w:hAnsi="Garamond"/>
          <w:i/>
          <w:sz w:val="24"/>
          <w:szCs w:val="24"/>
        </w:rPr>
        <w:t>Open Science</w:t>
      </w:r>
      <w:r w:rsidRPr="00E266CD">
        <w:rPr>
          <w:rFonts w:ascii="Garamond" w:eastAsia="Times New Roman" w:hAnsi="Garamond"/>
          <w:sz w:val="24"/>
          <w:szCs w:val="24"/>
        </w:rPr>
        <w:t xml:space="preserve"> dhe ka filluar regjistrimi </w:t>
      </w:r>
      <w:r w:rsidR="005E43C0">
        <w:rPr>
          <w:rFonts w:ascii="Garamond" w:eastAsia="Times New Roman" w:hAnsi="Garamond"/>
          <w:sz w:val="24"/>
          <w:szCs w:val="24"/>
        </w:rPr>
        <w:t xml:space="preserve">i </w:t>
      </w:r>
      <w:r w:rsidRPr="00E266CD">
        <w:rPr>
          <w:rFonts w:ascii="Garamond" w:eastAsia="Times New Roman" w:hAnsi="Garamond"/>
          <w:sz w:val="24"/>
          <w:szCs w:val="24"/>
        </w:rPr>
        <w:t xml:space="preserve">të dhënave në platformën AGORA të NI4OS për </w:t>
      </w:r>
      <w:r w:rsidRPr="00E266CD">
        <w:rPr>
          <w:rFonts w:ascii="Garamond" w:eastAsia="Times New Roman" w:hAnsi="Garamond"/>
          <w:i/>
          <w:sz w:val="24"/>
          <w:szCs w:val="24"/>
        </w:rPr>
        <w:t>Open Science</w:t>
      </w:r>
      <w:r w:rsidRPr="00E266CD">
        <w:rPr>
          <w:rFonts w:ascii="Garamond" w:eastAsia="Times New Roman" w:hAnsi="Garamond"/>
          <w:sz w:val="24"/>
          <w:szCs w:val="24"/>
        </w:rPr>
        <w:t>.</w:t>
      </w:r>
    </w:p>
    <w:p w14:paraId="33826D10" w14:textId="78238E14" w:rsidR="00F91888" w:rsidRPr="00E266CD" w:rsidRDefault="00F91888" w:rsidP="00F91888">
      <w:pPr>
        <w:ind w:firstLine="284"/>
        <w:rPr>
          <w:rFonts w:ascii="Garamond" w:eastAsia="Times New Roman" w:hAnsi="Garamond"/>
          <w:sz w:val="24"/>
          <w:szCs w:val="24"/>
        </w:rPr>
      </w:pPr>
      <w:bookmarkStart w:id="16" w:name="_heading=h.1ksv4uv" w:colFirst="0" w:colLast="0"/>
      <w:bookmarkEnd w:id="16"/>
      <w:r w:rsidRPr="00E266CD">
        <w:rPr>
          <w:rFonts w:ascii="Garamond" w:eastAsia="Times New Roman" w:hAnsi="Garamond"/>
          <w:sz w:val="24"/>
          <w:szCs w:val="24"/>
        </w:rPr>
        <w:t>Raporti i vlerësimit evidentoi disa mësime të nxjerra nga zbatimi i SKKSHTI 2017</w:t>
      </w:r>
      <w:r w:rsidR="007243A9" w:rsidRPr="00E266CD">
        <w:rPr>
          <w:rFonts w:ascii="Garamond" w:eastAsia="Times New Roman" w:hAnsi="Garamond"/>
          <w:sz w:val="24"/>
          <w:szCs w:val="24"/>
        </w:rPr>
        <w:t>–</w:t>
      </w:r>
      <w:r w:rsidRPr="00E266CD">
        <w:rPr>
          <w:rFonts w:ascii="Garamond" w:eastAsia="Times New Roman" w:hAnsi="Garamond"/>
          <w:sz w:val="24"/>
          <w:szCs w:val="24"/>
        </w:rPr>
        <w:t>2022, përmes të cilave u hartuan disa rekomandime për çështje të cilat duhet t’i adresojë SKKSHTI 2023</w:t>
      </w:r>
      <w:r w:rsidR="007243A9" w:rsidRPr="00E266CD">
        <w:rPr>
          <w:rFonts w:ascii="Garamond" w:eastAsia="Times New Roman" w:hAnsi="Garamond"/>
          <w:sz w:val="24"/>
          <w:szCs w:val="24"/>
        </w:rPr>
        <w:t>–</w:t>
      </w:r>
      <w:r w:rsidRPr="00E266CD">
        <w:rPr>
          <w:rFonts w:ascii="Garamond" w:eastAsia="Times New Roman" w:hAnsi="Garamond"/>
          <w:sz w:val="24"/>
          <w:szCs w:val="24"/>
        </w:rPr>
        <w:t>2030:</w:t>
      </w:r>
    </w:p>
    <w:p w14:paraId="2D9EBEF4" w14:textId="46B9938C" w:rsidR="00F91888" w:rsidRPr="00E266CD" w:rsidRDefault="0097490C" w:rsidP="0097490C">
      <w:pPr>
        <w:pStyle w:val="TEKSTIIII"/>
      </w:pPr>
      <w:r w:rsidRPr="00E266CD">
        <w:t xml:space="preserve">- </w:t>
      </w:r>
      <w:r w:rsidR="00F91888" w:rsidRPr="00E266CD">
        <w:t xml:space="preserve">Përfshirja në planet vjetore të njësive që mbulojnë fushën e </w:t>
      </w:r>
      <w:r w:rsidR="005E43C0" w:rsidRPr="00E266CD">
        <w:t xml:space="preserve">kërkimit shkencor </w:t>
      </w:r>
      <w:r w:rsidR="00F91888" w:rsidRPr="00E266CD">
        <w:t>në MAS</w:t>
      </w:r>
      <w:r w:rsidRPr="00E266CD">
        <w:t xml:space="preserve"> </w:t>
      </w:r>
      <w:r w:rsidR="00F91888" w:rsidRPr="00E266CD">
        <w:t>dhe institucionet e varësisë si AKKSHI</w:t>
      </w:r>
      <w:r w:rsidR="005E43C0">
        <w:t>,</w:t>
      </w:r>
      <w:r w:rsidR="00F91888" w:rsidRPr="00E266CD">
        <w:t xml:space="preserve"> të masave të planifikuar në SKKSHTI</w:t>
      </w:r>
      <w:r w:rsidR="005E43C0">
        <w:t>;</w:t>
      </w:r>
    </w:p>
    <w:p w14:paraId="3E105CB3" w14:textId="78D529CC" w:rsidR="00F91888" w:rsidRPr="00E266CD" w:rsidRDefault="005E43C0" w:rsidP="0097490C">
      <w:pPr>
        <w:pStyle w:val="TEKSTIIII"/>
      </w:pPr>
      <w:r>
        <w:t xml:space="preserve">- </w:t>
      </w:r>
      <w:r w:rsidR="00F91888" w:rsidRPr="00E266CD">
        <w:t>Rritja e bashkëpunimit dhe ndarja e informacionit midis njësive që mbulojnë sektorin e kërkimit shkencor në MAS dhe institucioneve të varësisë</w:t>
      </w:r>
      <w:r>
        <w:t>;</w:t>
      </w:r>
    </w:p>
    <w:p w14:paraId="14C11280" w14:textId="4799E577" w:rsidR="00F91888" w:rsidRPr="00E266CD" w:rsidRDefault="0097490C" w:rsidP="0097490C">
      <w:pPr>
        <w:pStyle w:val="TEKSTIIII"/>
      </w:pPr>
      <w:r w:rsidRPr="00E266CD">
        <w:t xml:space="preserve">- </w:t>
      </w:r>
      <w:r w:rsidR="00F91888" w:rsidRPr="00E266CD">
        <w:t xml:space="preserve">Integrimi i qëllimeve, objektivave strategjikë dhe produkteve në PBA e programit buxhetor “Kërkimi </w:t>
      </w:r>
      <w:r w:rsidR="005E43C0">
        <w:t>s</w:t>
      </w:r>
      <w:r w:rsidR="00F91888" w:rsidRPr="00E266CD">
        <w:t>hkencor”</w:t>
      </w:r>
      <w:r w:rsidR="005E43C0">
        <w:t>;</w:t>
      </w:r>
    </w:p>
    <w:p w14:paraId="4DEF7950" w14:textId="36A166DB" w:rsidR="00F91888" w:rsidRPr="00E266CD" w:rsidRDefault="0097490C" w:rsidP="0097490C">
      <w:pPr>
        <w:pStyle w:val="TEKSTIIII"/>
      </w:pPr>
      <w:r w:rsidRPr="00E266CD">
        <w:t xml:space="preserve">- </w:t>
      </w:r>
      <w:r w:rsidR="00F91888" w:rsidRPr="00E266CD">
        <w:t>Rishikimi i fondit buxhetor</w:t>
      </w:r>
      <w:r w:rsidR="005E43C0">
        <w:t>,</w:t>
      </w:r>
      <w:r w:rsidR="00F91888" w:rsidRPr="00E266CD">
        <w:t xml:space="preserve"> i planifikuar në draft PBA 2020</w:t>
      </w:r>
      <w:r w:rsidR="007243A9" w:rsidRPr="00E266CD">
        <w:rPr>
          <w:rFonts w:eastAsia="Times New Roman"/>
        </w:rPr>
        <w:t>–</w:t>
      </w:r>
      <w:r w:rsidR="00F91888" w:rsidRPr="00E266CD">
        <w:t>2022</w:t>
      </w:r>
      <w:r w:rsidR="005E43C0">
        <w:t>,</w:t>
      </w:r>
      <w:r w:rsidR="00F91888" w:rsidRPr="00E266CD">
        <w:t xml:space="preserve"> në përputhje me planifikimin në strategji për arritjen e fondeve publike për kërkimin shkencor deri në 1 % të GDP-së</w:t>
      </w:r>
      <w:r w:rsidR="005E43C0">
        <w:t>;</w:t>
      </w:r>
    </w:p>
    <w:p w14:paraId="770DD078" w14:textId="66D7A9D9" w:rsidR="00F91888" w:rsidRPr="00E266CD" w:rsidRDefault="0097490C" w:rsidP="0097490C">
      <w:pPr>
        <w:pStyle w:val="TEKSTIIII"/>
      </w:pPr>
      <w:r w:rsidRPr="00E266CD">
        <w:t xml:space="preserve">- </w:t>
      </w:r>
      <w:r w:rsidR="00F91888" w:rsidRPr="00E266CD">
        <w:t>Plotësimi i kuadrit ligjor</w:t>
      </w:r>
      <w:r w:rsidR="005E43C0">
        <w:t>,</w:t>
      </w:r>
      <w:r w:rsidR="00F91888" w:rsidRPr="00E266CD">
        <w:t xml:space="preserve"> i planifikuar në SKKSHTI ku theksohen: miratimi i ligjit për shkencën, draftudhëzimi mbi përcaktimin e kritereve që duhet të plotësojnë revistat dhe periodikët shkencorë për </w:t>
      </w:r>
      <w:r w:rsidR="00417E27" w:rsidRPr="00E266CD">
        <w:t>t’u</w:t>
      </w:r>
      <w:r w:rsidR="00F91888" w:rsidRPr="00E266CD">
        <w:t xml:space="preserve"> regjistruar në Regjistrin Kombëtar të Republikës së Shqipërisë; plotësimi i akteve nënligjore në kuadër të metodologjisë së vlerësimit të kërkimit shkencor; kuadrit rregullator për lëvrimin e granteve të përbashkëta midis komunitetit të kërkuesve shkencor–bizneseve përmes Fondit të Teknologjisë e Inovacionit</w:t>
      </w:r>
      <w:r w:rsidR="005E43C0">
        <w:t>;</w:t>
      </w:r>
    </w:p>
    <w:p w14:paraId="680386B3" w14:textId="48A241A2" w:rsidR="00F91888" w:rsidRPr="00E266CD" w:rsidRDefault="0097490C" w:rsidP="0097490C">
      <w:pPr>
        <w:pStyle w:val="TEKSTIIII"/>
      </w:pPr>
      <w:r w:rsidRPr="00E266CD">
        <w:t xml:space="preserve">- </w:t>
      </w:r>
      <w:r w:rsidR="00F91888" w:rsidRPr="00E266CD">
        <w:t xml:space="preserve">Ngritja/konsolidimi i strukturës institucionale, </w:t>
      </w:r>
      <w:r w:rsidR="005E43C0">
        <w:t>k</w:t>
      </w:r>
      <w:r w:rsidR="00F91888" w:rsidRPr="00E266CD">
        <w:t xml:space="preserve">rijimi i Këshillit Ndërministror të Politikave të Shkencës, Teknologjisë e Inovacionit; </w:t>
      </w:r>
      <w:r w:rsidR="005E43C0">
        <w:t>k</w:t>
      </w:r>
      <w:r w:rsidR="00F91888" w:rsidRPr="00E266CD">
        <w:t xml:space="preserve">rijimi i një Strukture Koordinuese Kombëtare për politikat SHTI; </w:t>
      </w:r>
      <w:r w:rsidR="005E43C0">
        <w:t>k</w:t>
      </w:r>
      <w:r w:rsidR="00F91888" w:rsidRPr="00E266CD">
        <w:t xml:space="preserve">rijimi i Nënkomisionit të Përhershëm Parlamentar për Shkencën, Teknologjinë e Inovacionin pranë komisionit të </w:t>
      </w:r>
      <w:r w:rsidR="005E43C0">
        <w:t>a</w:t>
      </w:r>
      <w:r w:rsidR="00F91888" w:rsidRPr="00E266CD">
        <w:t>rsimit</w:t>
      </w:r>
      <w:r w:rsidR="005E43C0">
        <w:t>;</w:t>
      </w:r>
    </w:p>
    <w:p w14:paraId="6A536BA6" w14:textId="4BCE7513" w:rsidR="00F91888" w:rsidRPr="00E266CD" w:rsidRDefault="0097490C" w:rsidP="0097490C">
      <w:pPr>
        <w:pStyle w:val="TEKSTIIII"/>
      </w:pPr>
      <w:r w:rsidRPr="00E266CD">
        <w:t xml:space="preserve">- </w:t>
      </w:r>
      <w:r w:rsidR="00F91888" w:rsidRPr="00E266CD">
        <w:t xml:space="preserve">Realizimi i vlerësimit dhe përmirësimit të infrastrukturës kombëtare të kërkimit shkencor duke krijuar Hartën Kombëtare të </w:t>
      </w:r>
      <w:r w:rsidR="005E43C0" w:rsidRPr="00E266CD">
        <w:t xml:space="preserve">Infrastrukturës </w:t>
      </w:r>
      <w:r w:rsidR="00F91888" w:rsidRPr="00E266CD">
        <w:t>së Kërkimit Shkencor</w:t>
      </w:r>
      <w:r w:rsidR="005E43C0">
        <w:t>,</w:t>
      </w:r>
      <w:r w:rsidR="00F91888" w:rsidRPr="00E266CD">
        <w:t xml:space="preserve"> si dhe planin kombëtar të investimeve për infrastrukturën e kërkimit</w:t>
      </w:r>
      <w:r w:rsidR="005E43C0">
        <w:t>;</w:t>
      </w:r>
    </w:p>
    <w:p w14:paraId="1D55AB5B" w14:textId="015F0AB7" w:rsidR="00F91888" w:rsidRPr="00E266CD" w:rsidRDefault="0097490C" w:rsidP="0097490C">
      <w:pPr>
        <w:pStyle w:val="TEKSTIIII"/>
      </w:pPr>
      <w:r w:rsidRPr="00E266CD">
        <w:t xml:space="preserve">- </w:t>
      </w:r>
      <w:r w:rsidR="00F91888" w:rsidRPr="00E266CD">
        <w:t xml:space="preserve">Vijimi i masave për sigurimin e aksesit të hapur </w:t>
      </w:r>
      <w:r w:rsidR="00F91888" w:rsidRPr="00E266CD">
        <w:rPr>
          <w:i/>
        </w:rPr>
        <w:t>online</w:t>
      </w:r>
      <w:r w:rsidR="00F91888" w:rsidRPr="00E266CD">
        <w:t xml:space="preserve"> për të gjitha botimet shkencore të financuara me fondet publike</w:t>
      </w:r>
      <w:r w:rsidR="005E43C0">
        <w:t>;</w:t>
      </w:r>
    </w:p>
    <w:p w14:paraId="7A9B72AF" w14:textId="22739944" w:rsidR="00F91888" w:rsidRPr="00E266CD" w:rsidRDefault="0097490C" w:rsidP="0097490C">
      <w:pPr>
        <w:pStyle w:val="TEKSTIIII"/>
      </w:pPr>
      <w:r w:rsidRPr="00E266CD">
        <w:t xml:space="preserve">- </w:t>
      </w:r>
      <w:r w:rsidR="00F91888" w:rsidRPr="00E266CD">
        <w:t>Rishikimi i akteve nënligjore për krijimin e mekanizmave nxitës ligjorë dhe fiskalë për financimin e kërkimit shkencor nga biznesi</w:t>
      </w:r>
      <w:r w:rsidR="005E43C0">
        <w:t>;</w:t>
      </w:r>
    </w:p>
    <w:p w14:paraId="388B9F5B" w14:textId="238258BF" w:rsidR="00F91888" w:rsidRPr="00E266CD" w:rsidRDefault="0097490C" w:rsidP="0097490C">
      <w:pPr>
        <w:pStyle w:val="TEKSTIIII"/>
      </w:pPr>
      <w:r w:rsidRPr="00E266CD">
        <w:t xml:space="preserve">- </w:t>
      </w:r>
      <w:r w:rsidR="00F91888" w:rsidRPr="00E266CD">
        <w:t xml:space="preserve">Marrja e masave në kuadër të përmirësimit të përfshirjes së Shqipërisë në programin </w:t>
      </w:r>
      <w:r w:rsidR="00F91888" w:rsidRPr="00E266CD">
        <w:rPr>
          <w:i/>
        </w:rPr>
        <w:t>Horizon Europe</w:t>
      </w:r>
      <w:r w:rsidR="00F91888" w:rsidRPr="00E266CD">
        <w:t xml:space="preserve"> dhe bashkëpunimit me partnerë evropianë për </w:t>
      </w:r>
      <w:r w:rsidR="00417E27" w:rsidRPr="00E266CD">
        <w:t>t’u</w:t>
      </w:r>
      <w:r w:rsidR="00F91888" w:rsidRPr="00E266CD">
        <w:t xml:space="preserve"> angazhuar në kërkim ndërkombëtar të përbashkët.</w:t>
      </w:r>
    </w:p>
    <w:p w14:paraId="5F6D4298" w14:textId="5CAE8993" w:rsidR="00F91888" w:rsidRPr="00E266CD" w:rsidRDefault="00F91888" w:rsidP="0097490C">
      <w:pPr>
        <w:pStyle w:val="TEKSTIIII"/>
        <w:rPr>
          <w:b/>
        </w:rPr>
      </w:pPr>
      <w:bookmarkStart w:id="17" w:name="_heading=h.44sinio" w:colFirst="0" w:colLast="0"/>
      <w:bookmarkEnd w:id="17"/>
      <w:r w:rsidRPr="00E266CD">
        <w:rPr>
          <w:b/>
        </w:rPr>
        <w:t xml:space="preserve">3. Deklarata e </w:t>
      </w:r>
      <w:r w:rsidR="00654162">
        <w:rPr>
          <w:b/>
        </w:rPr>
        <w:t>v</w:t>
      </w:r>
      <w:r w:rsidRPr="00E266CD">
        <w:rPr>
          <w:b/>
        </w:rPr>
        <w:t>izionit</w:t>
      </w:r>
    </w:p>
    <w:p w14:paraId="7DA0A791" w14:textId="77777777" w:rsidR="00F91888" w:rsidRPr="00E266CD" w:rsidRDefault="00F91888" w:rsidP="0097490C">
      <w:pPr>
        <w:pStyle w:val="TEKSTIIII"/>
        <w:rPr>
          <w:b/>
        </w:rPr>
      </w:pPr>
      <w:r w:rsidRPr="00E266CD">
        <w:rPr>
          <w:b/>
        </w:rPr>
        <w:t>3.1 Vizioni</w:t>
      </w:r>
    </w:p>
    <w:p w14:paraId="17496A87" w14:textId="6E99ED79" w:rsidR="00F91888" w:rsidRPr="00E266CD" w:rsidRDefault="00F91888" w:rsidP="00F91888">
      <w:pPr>
        <w:pBdr>
          <w:top w:val="nil"/>
          <w:left w:val="nil"/>
          <w:bottom w:val="nil"/>
          <w:right w:val="nil"/>
          <w:between w:val="nil"/>
        </w:pBdr>
        <w:ind w:firstLine="284"/>
        <w:rPr>
          <w:rFonts w:ascii="Garamond" w:eastAsia="Times New Roman" w:hAnsi="Garamond"/>
          <w:i/>
          <w:color w:val="000000"/>
          <w:sz w:val="24"/>
          <w:szCs w:val="24"/>
        </w:rPr>
      </w:pPr>
      <w:r w:rsidRPr="00E266CD">
        <w:rPr>
          <w:rFonts w:ascii="Garamond" w:eastAsia="Times New Roman" w:hAnsi="Garamond"/>
          <w:color w:val="000000"/>
          <w:sz w:val="24"/>
          <w:szCs w:val="24"/>
        </w:rPr>
        <w:t>Duke marrë në konsideratë zhvillimet e deritanishme, vizioni për zbatimin e Strategjisë Kombëtare për Shkencën, Teknologjinë dhe Informacionin 2023</w:t>
      </w:r>
      <w:r w:rsidR="007243A9" w:rsidRPr="00E266CD">
        <w:rPr>
          <w:rFonts w:ascii="Garamond" w:eastAsia="Times New Roman" w:hAnsi="Garamond"/>
          <w:sz w:val="24"/>
          <w:szCs w:val="24"/>
        </w:rPr>
        <w:t>–</w:t>
      </w:r>
      <w:r w:rsidRPr="00E266CD">
        <w:rPr>
          <w:rFonts w:ascii="Garamond" w:eastAsia="Times New Roman" w:hAnsi="Garamond"/>
          <w:color w:val="000000"/>
          <w:sz w:val="24"/>
          <w:szCs w:val="24"/>
        </w:rPr>
        <w:t>2030 është: “</w:t>
      </w:r>
      <w:r w:rsidRPr="00654162">
        <w:rPr>
          <w:rFonts w:ascii="Garamond" w:eastAsia="Times New Roman" w:hAnsi="Garamond"/>
          <w:i/>
          <w:color w:val="000000"/>
          <w:sz w:val="24"/>
          <w:szCs w:val="24"/>
        </w:rPr>
        <w:t>Deri në vitin 2030, Shqipëria do të sigurojë kërkim shkencor cilësor për një zhvillim socio-ekonomik të qëndrueshëm gjithëpërfshirës dhe në përputhje me standardet ndërkombëtare dhe evropiane, bazuar në njohuritë e reja shkencore dhe risitë në teknologji dhe inovacion”..</w:t>
      </w:r>
    </w:p>
    <w:p w14:paraId="76887277" w14:textId="77777777" w:rsidR="00F91888" w:rsidRPr="00E266CD" w:rsidRDefault="00F91888" w:rsidP="00F91888">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Kjo strategji bazohet në parimet e mëposhtme:</w:t>
      </w:r>
    </w:p>
    <w:p w14:paraId="6B9C2CA0" w14:textId="77777777" w:rsidR="00F91888" w:rsidRPr="00E266CD" w:rsidRDefault="0097490C" w:rsidP="0097490C">
      <w:pPr>
        <w:pStyle w:val="TEKSTIIII"/>
      </w:pPr>
      <w:r w:rsidRPr="00E266CD">
        <w:t xml:space="preserve">- </w:t>
      </w:r>
      <w:r w:rsidR="00F91888" w:rsidRPr="00E266CD">
        <w:t>Cilësi, risi dhe origjinalitet në fushën e kërkimit shkencor, teknologjisë dhe inovacionit;</w:t>
      </w:r>
    </w:p>
    <w:p w14:paraId="6168D775" w14:textId="77777777" w:rsidR="00F91888" w:rsidRPr="00E266CD" w:rsidRDefault="0097490C" w:rsidP="0097490C">
      <w:pPr>
        <w:pStyle w:val="TEKSTIIII"/>
      </w:pPr>
      <w:r w:rsidRPr="00E266CD">
        <w:t xml:space="preserve">- </w:t>
      </w:r>
      <w:r w:rsidR="00F91888" w:rsidRPr="00E266CD">
        <w:t>Efektiviteti i kostos për rezultatet e dëshiruara;</w:t>
      </w:r>
    </w:p>
    <w:p w14:paraId="0E1E7B8C" w14:textId="77777777" w:rsidR="00F91888" w:rsidRPr="00E266CD" w:rsidRDefault="0097490C" w:rsidP="0097490C">
      <w:pPr>
        <w:pStyle w:val="TEKSTIIII"/>
      </w:pPr>
      <w:r w:rsidRPr="00E266CD">
        <w:t xml:space="preserve">- </w:t>
      </w:r>
      <w:r w:rsidR="00F91888" w:rsidRPr="00E266CD">
        <w:t>Qasje shumë disiplinore dhe ndërsektoriale për adresimin e sfidave në fushën e kërkimit shkencor, teknologjisë dhe inovacionit;</w:t>
      </w:r>
    </w:p>
    <w:p w14:paraId="42766DBF" w14:textId="77777777" w:rsidR="00F91888" w:rsidRPr="00E266CD" w:rsidRDefault="0097490C" w:rsidP="0097490C">
      <w:pPr>
        <w:pStyle w:val="TEKSTIIII"/>
      </w:pPr>
      <w:r w:rsidRPr="00E266CD">
        <w:t xml:space="preserve">- </w:t>
      </w:r>
      <w:r w:rsidR="00F91888" w:rsidRPr="00E266CD">
        <w:t>Bashkëpunimi dhe partneriteti evropian dhe ndërkombëtar;</w:t>
      </w:r>
    </w:p>
    <w:p w14:paraId="545D0197" w14:textId="77777777" w:rsidR="00F91888" w:rsidRPr="00E266CD" w:rsidRDefault="0097490C" w:rsidP="0097490C">
      <w:pPr>
        <w:pStyle w:val="TEKSTIIII"/>
      </w:pPr>
      <w:r w:rsidRPr="00E266CD">
        <w:t xml:space="preserve">- </w:t>
      </w:r>
      <w:r w:rsidR="00F91888" w:rsidRPr="00E266CD">
        <w:t>Fuqizimi dhe rritja e pjesëmarrjes së grave, vajzave dhe të rinjve në procesin e kërkimit shkencor dhe hartimit të projekteve kombëtare dhe ndërkombëtare në këtë fushë.</w:t>
      </w:r>
    </w:p>
    <w:p w14:paraId="0F12E975" w14:textId="77777777" w:rsidR="00F91888" w:rsidRPr="00E266CD" w:rsidRDefault="00F91888" w:rsidP="0097490C">
      <w:pPr>
        <w:pStyle w:val="TEKSTIIII"/>
        <w:rPr>
          <w:b/>
        </w:rPr>
      </w:pPr>
      <w:r w:rsidRPr="00E266CD">
        <w:rPr>
          <w:b/>
        </w:rPr>
        <w:t>3.2 Qëllimet e politikave SKKSHTI</w:t>
      </w:r>
    </w:p>
    <w:p w14:paraId="6392DAAF" w14:textId="15DA0D0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Vizioni i Strategjisë Kombëtare për Shkencën, Teknologjinë dhe Informacionin 2023</w:t>
      </w:r>
      <w:r w:rsidR="00663201" w:rsidRPr="00E266CD">
        <w:rPr>
          <w:rFonts w:ascii="Garamond" w:eastAsia="Times New Roman" w:hAnsi="Garamond"/>
          <w:sz w:val="24"/>
          <w:szCs w:val="24"/>
        </w:rPr>
        <w:t>–</w:t>
      </w:r>
      <w:r w:rsidRPr="00E266CD">
        <w:rPr>
          <w:rFonts w:ascii="Garamond" w:eastAsia="Times New Roman" w:hAnsi="Garamond"/>
          <w:sz w:val="24"/>
          <w:szCs w:val="24"/>
        </w:rPr>
        <w:t>2030 synohet të arrihet përmes këtyre qëllimeve të politikës:</w:t>
      </w:r>
    </w:p>
    <w:p w14:paraId="13DC59B9" w14:textId="7E3928F4"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
          <w:sz w:val="24"/>
          <w:szCs w:val="24"/>
        </w:rPr>
        <w:t xml:space="preserve">Qëllimi i </w:t>
      </w:r>
      <w:r w:rsidR="00654162">
        <w:rPr>
          <w:rFonts w:ascii="Garamond" w:eastAsia="Times New Roman" w:hAnsi="Garamond"/>
          <w:b/>
          <w:sz w:val="24"/>
          <w:szCs w:val="24"/>
        </w:rPr>
        <w:t>p</w:t>
      </w:r>
      <w:r w:rsidRPr="00E266CD">
        <w:rPr>
          <w:rFonts w:ascii="Garamond" w:eastAsia="Times New Roman" w:hAnsi="Garamond"/>
          <w:b/>
          <w:sz w:val="24"/>
          <w:szCs w:val="24"/>
        </w:rPr>
        <w:t>olitikës 1:</w:t>
      </w:r>
      <w:r w:rsidRPr="00E266CD">
        <w:rPr>
          <w:rFonts w:ascii="Garamond" w:eastAsia="Times New Roman" w:hAnsi="Garamond"/>
          <w:sz w:val="24"/>
          <w:szCs w:val="24"/>
        </w:rPr>
        <w:t xml:space="preserve"> Rritja e efikasitetit dhe qëndrueshmërisë së sistemit për mbështetjen e kërkimit shkencor, të integruar në nivel ndërkombëtar, në të gjithë spektrin e fushave të shkencave natyrore, inxhinierike dhe teknologjike, mjekësore, bujqësore, sociale</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dhe humane;</w:t>
      </w:r>
    </w:p>
    <w:p w14:paraId="076AC223" w14:textId="6C3BF48F"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
          <w:sz w:val="24"/>
          <w:szCs w:val="24"/>
        </w:rPr>
        <w:t xml:space="preserve">Qëllimi i </w:t>
      </w:r>
      <w:r w:rsidR="00654162">
        <w:rPr>
          <w:rFonts w:ascii="Garamond" w:eastAsia="Times New Roman" w:hAnsi="Garamond"/>
          <w:b/>
          <w:sz w:val="24"/>
          <w:szCs w:val="24"/>
        </w:rPr>
        <w:t>p</w:t>
      </w:r>
      <w:r w:rsidRPr="00E266CD">
        <w:rPr>
          <w:rFonts w:ascii="Garamond" w:eastAsia="Times New Roman" w:hAnsi="Garamond"/>
          <w:b/>
          <w:sz w:val="24"/>
          <w:szCs w:val="24"/>
        </w:rPr>
        <w:t>olitikës 2</w:t>
      </w:r>
      <w:r w:rsidRPr="00E266CD">
        <w:rPr>
          <w:rFonts w:ascii="Garamond" w:eastAsia="Times New Roman" w:hAnsi="Garamond"/>
          <w:sz w:val="24"/>
          <w:szCs w:val="24"/>
        </w:rPr>
        <w:t>: Krijimi i një mjedisi që lehtëson dhe inkurajon mekanizmat e ndërveprimit dhe transferimit të teknologjive për bashkëpunim midis komunitetit të kërkimit, ekonomisë, inovacionit dhe institucioneve publike</w:t>
      </w:r>
      <w:r w:rsidR="00654162">
        <w:rPr>
          <w:rFonts w:ascii="Garamond" w:eastAsia="Times New Roman" w:hAnsi="Garamond"/>
          <w:sz w:val="24"/>
          <w:szCs w:val="24"/>
        </w:rPr>
        <w:t>;</w:t>
      </w:r>
    </w:p>
    <w:p w14:paraId="25A66779" w14:textId="04C8431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b/>
          <w:sz w:val="24"/>
          <w:szCs w:val="24"/>
        </w:rPr>
        <w:t xml:space="preserve">Qëllimi i </w:t>
      </w:r>
      <w:r w:rsidR="00654162">
        <w:rPr>
          <w:rFonts w:ascii="Garamond" w:eastAsia="Times New Roman" w:hAnsi="Garamond"/>
          <w:b/>
          <w:sz w:val="24"/>
          <w:szCs w:val="24"/>
        </w:rPr>
        <w:t>p</w:t>
      </w:r>
      <w:r w:rsidRPr="00E266CD">
        <w:rPr>
          <w:rFonts w:ascii="Garamond" w:eastAsia="Times New Roman" w:hAnsi="Garamond"/>
          <w:b/>
          <w:sz w:val="24"/>
          <w:szCs w:val="24"/>
        </w:rPr>
        <w:t>olitikës 3</w:t>
      </w:r>
      <w:r w:rsidRPr="00E266CD">
        <w:rPr>
          <w:rFonts w:ascii="Garamond" w:eastAsia="Times New Roman" w:hAnsi="Garamond"/>
          <w:sz w:val="24"/>
          <w:szCs w:val="24"/>
        </w:rPr>
        <w:t>: Promovimi i kulturës së shkencës dhe inovacionit në edukim për të siguruar një qasje didaktike me theksin në praktikat kërkimore dhe projektet.</w:t>
      </w:r>
    </w:p>
    <w:p w14:paraId="7BDC4D9E" w14:textId="77777777" w:rsidR="0097490C" w:rsidRPr="00E266CD" w:rsidRDefault="0097490C" w:rsidP="00F91888">
      <w:pPr>
        <w:ind w:firstLine="284"/>
        <w:rPr>
          <w:rFonts w:ascii="Garamond" w:eastAsia="Times New Roman" w:hAnsi="Garamond"/>
          <w:sz w:val="24"/>
          <w:szCs w:val="24"/>
        </w:rPr>
      </w:pPr>
    </w:p>
    <w:p w14:paraId="4D9A9D3C" w14:textId="77777777" w:rsidR="00F91888" w:rsidRPr="00E266CD" w:rsidRDefault="00F91888" w:rsidP="00F91888">
      <w:pPr>
        <w:ind w:firstLine="284"/>
        <w:rPr>
          <w:rFonts w:ascii="Garamond" w:eastAsia="Times New Roman" w:hAnsi="Garamond"/>
          <w:sz w:val="24"/>
          <w:szCs w:val="24"/>
        </w:rPr>
      </w:pPr>
      <w:r w:rsidRPr="00E266CD">
        <w:rPr>
          <w:rFonts w:ascii="Garamond" w:eastAsia="Times New Roman" w:hAnsi="Garamond"/>
          <w:sz w:val="24"/>
          <w:szCs w:val="24"/>
        </w:rPr>
        <w:t>Lidhja midis vizionit dhe qëllimeve të politikës, paraqitet në figurën më poshtë:</w:t>
      </w:r>
    </w:p>
    <w:p w14:paraId="3F8EE3EF" w14:textId="77777777" w:rsidR="00D507D9" w:rsidRPr="00E266CD" w:rsidRDefault="00D507D9" w:rsidP="00F91888">
      <w:pPr>
        <w:ind w:firstLine="284"/>
        <w:rPr>
          <w:rFonts w:ascii="Garamond" w:eastAsia="Times New Roman" w:hAnsi="Garamond"/>
          <w:sz w:val="24"/>
          <w:szCs w:val="24"/>
        </w:rPr>
      </w:pPr>
    </w:p>
    <w:p w14:paraId="7592770A" w14:textId="532200D8" w:rsidR="00E609AA" w:rsidRPr="00E266CD" w:rsidRDefault="00D507D9" w:rsidP="00654162">
      <w:pPr>
        <w:pStyle w:val="TEKSTIIII"/>
        <w:ind w:firstLine="0"/>
        <w:jc w:val="center"/>
      </w:pPr>
      <w:r w:rsidRPr="00E266CD">
        <w:rPr>
          <w:noProof/>
          <w:lang w:val="en-US"/>
        </w:rPr>
        <w:drawing>
          <wp:inline distT="0" distB="0" distL="0" distR="0" wp14:anchorId="4E2479B9" wp14:editId="685E96A8">
            <wp:extent cx="5759437" cy="32205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519"/>
                    <a:stretch/>
                  </pic:blipFill>
                  <pic:spPr bwMode="auto">
                    <a:xfrm>
                      <a:off x="0" y="0"/>
                      <a:ext cx="5760085" cy="3220879"/>
                    </a:xfrm>
                    <a:prstGeom prst="rect">
                      <a:avLst/>
                    </a:prstGeom>
                    <a:noFill/>
                    <a:ln>
                      <a:noFill/>
                    </a:ln>
                    <a:extLst>
                      <a:ext uri="{53640926-AAD7-44D8-BBD7-CCE9431645EC}">
                        <a14:shadowObscured xmlns:a14="http://schemas.microsoft.com/office/drawing/2010/main"/>
                      </a:ext>
                    </a:extLst>
                  </pic:spPr>
                </pic:pic>
              </a:graphicData>
            </a:graphic>
          </wp:inline>
        </w:drawing>
      </w:r>
    </w:p>
    <w:p w14:paraId="0EEDBFB5" w14:textId="15DD82E4" w:rsidR="007959B4" w:rsidRPr="00E266CD" w:rsidRDefault="007959B4" w:rsidP="007959B4">
      <w:pPr>
        <w:pStyle w:val="TEKSTIIII"/>
      </w:pPr>
      <w:bookmarkStart w:id="18" w:name="_Toc135703136"/>
      <w:r w:rsidRPr="00E266CD">
        <w:t>PJESA II – QËLLIMET E POLITIKAVE DHE OBJEKTIVAT SPECIFIKË TË SKKSHTI 2023</w:t>
      </w:r>
      <w:r w:rsidR="00B65BFD" w:rsidRPr="00E266CD">
        <w:rPr>
          <w:rFonts w:eastAsia="Times New Roman"/>
        </w:rPr>
        <w:t>–</w:t>
      </w:r>
      <w:r w:rsidRPr="00E266CD">
        <w:t>2030</w:t>
      </w:r>
      <w:bookmarkEnd w:id="18"/>
    </w:p>
    <w:p w14:paraId="51E04D02" w14:textId="0F8B0BC1" w:rsidR="007959B4" w:rsidRPr="00E266CD" w:rsidRDefault="007959B4" w:rsidP="007959B4">
      <w:pPr>
        <w:pStyle w:val="TEKSTIIII"/>
        <w:rPr>
          <w:rFonts w:eastAsia="Times New Roman"/>
          <w:b/>
        </w:rPr>
      </w:pPr>
      <w:r w:rsidRPr="00E266CD">
        <w:rPr>
          <w:rFonts w:eastAsia="Times New Roman"/>
          <w:b/>
        </w:rPr>
        <w:t xml:space="preserve">Qëllimi i </w:t>
      </w:r>
      <w:r w:rsidR="00654162">
        <w:rPr>
          <w:rFonts w:eastAsia="Times New Roman"/>
          <w:b/>
        </w:rPr>
        <w:t>p</w:t>
      </w:r>
      <w:r w:rsidRPr="00E266CD">
        <w:rPr>
          <w:rFonts w:eastAsia="Times New Roman"/>
          <w:b/>
        </w:rPr>
        <w:t>olitikës 1</w:t>
      </w:r>
    </w:p>
    <w:p w14:paraId="24F71FCB" w14:textId="5AFC1D6E" w:rsidR="007959B4" w:rsidRPr="00E266CD" w:rsidRDefault="007959B4" w:rsidP="007959B4">
      <w:pPr>
        <w:pStyle w:val="TEKSTIIII"/>
      </w:pPr>
      <w:r w:rsidRPr="00E266CD">
        <w:t>Krijimi i një sistem</w:t>
      </w:r>
      <w:r w:rsidR="005124CC">
        <w:t>i</w:t>
      </w:r>
      <w:r w:rsidRPr="00E266CD">
        <w:t xml:space="preserve"> efikas dhe të qëndrueshëm për mbështetjen e kërkimit shkencor, të integruar në nivel ndërkombëtar, në të gjithë spektrin e fushave të shkencave natyrore, inxhinierike dhe teknologjike, mjekësore, bujqësore, sociale dhe humane.</w:t>
      </w:r>
    </w:p>
    <w:p w14:paraId="378B6EF6" w14:textId="73828B49" w:rsidR="007959B4" w:rsidRPr="00E266CD" w:rsidRDefault="007959B4" w:rsidP="007959B4">
      <w:pPr>
        <w:pStyle w:val="TEKSTIIII"/>
        <w:rPr>
          <w:b/>
          <w:color w:val="000000"/>
        </w:rPr>
      </w:pPr>
      <w:bookmarkStart w:id="19" w:name="_Toc135703137"/>
      <w:r w:rsidRPr="00E266CD">
        <w:rPr>
          <w:b/>
          <w:color w:val="000000"/>
        </w:rPr>
        <w:t>Objektivat specifik</w:t>
      </w:r>
      <w:r w:rsidR="00EB1BF5">
        <w:rPr>
          <w:b/>
          <w:color w:val="000000"/>
        </w:rPr>
        <w:t>ë</w:t>
      </w:r>
      <w:r w:rsidRPr="00E266CD">
        <w:rPr>
          <w:b/>
          <w:color w:val="000000"/>
        </w:rPr>
        <w:t>:</w:t>
      </w:r>
      <w:bookmarkEnd w:id="19"/>
    </w:p>
    <w:p w14:paraId="7B2CA064" w14:textId="44E4BC48" w:rsidR="007959B4" w:rsidRPr="00E266CD" w:rsidRDefault="007959B4" w:rsidP="007959B4">
      <w:pPr>
        <w:pStyle w:val="TEKSTIIII"/>
      </w:pPr>
      <w:r w:rsidRPr="00E266CD">
        <w:rPr>
          <w:b/>
        </w:rPr>
        <w:t xml:space="preserve">Objektivi </w:t>
      </w:r>
      <w:r w:rsidR="00654162" w:rsidRPr="00E266CD">
        <w:rPr>
          <w:b/>
        </w:rPr>
        <w:t xml:space="preserve">specifik </w:t>
      </w:r>
      <w:r w:rsidRPr="00E266CD">
        <w:rPr>
          <w:b/>
        </w:rPr>
        <w:t>1.1</w:t>
      </w:r>
      <w:r w:rsidRPr="00E266CD">
        <w:t>: Plotësimi dhe zbatimi i kuadrit ligjor dhe rregullator për të garantuar cilësinë, etikën dhe efektivitetin në zhvillimin dhe aplikimin e kërkimit në përputhje me fushat prioritare.</w:t>
      </w:r>
    </w:p>
    <w:p w14:paraId="7A12120A" w14:textId="69863F83" w:rsidR="007959B4" w:rsidRPr="00E266CD" w:rsidRDefault="007959B4" w:rsidP="007959B4">
      <w:pPr>
        <w:pStyle w:val="TEKSTIIII"/>
      </w:pPr>
      <w:r w:rsidRPr="00E266CD">
        <w:rPr>
          <w:b/>
        </w:rPr>
        <w:t xml:space="preserve">Objektivi </w:t>
      </w:r>
      <w:r w:rsidR="00654162" w:rsidRPr="00E266CD">
        <w:rPr>
          <w:b/>
        </w:rPr>
        <w:t xml:space="preserve">specifik </w:t>
      </w:r>
      <w:r w:rsidRPr="00E266CD">
        <w:rPr>
          <w:b/>
        </w:rPr>
        <w:t xml:space="preserve">1.2: </w:t>
      </w:r>
      <w:r w:rsidRPr="00E266CD">
        <w:t>Zhvillimi i kapaciteteve njerëzore dhe infrastrukturës mbështetëse të kërkimit shkencor (infrastrukturës akademike) për rritjen e performancës në programet kombëtare dhe ndërkombëtare.</w:t>
      </w:r>
      <w:r w:rsidRPr="00E266CD">
        <w:rPr>
          <w:b/>
        </w:rPr>
        <w:t xml:space="preserve"> </w:t>
      </w:r>
    </w:p>
    <w:p w14:paraId="224AF143" w14:textId="03F0DB50" w:rsidR="007959B4" w:rsidRPr="00E266CD" w:rsidRDefault="007959B4" w:rsidP="007959B4">
      <w:pPr>
        <w:ind w:firstLine="284"/>
        <w:rPr>
          <w:rFonts w:ascii="Garamond" w:eastAsia="Times New Roman" w:hAnsi="Garamond"/>
          <w:sz w:val="24"/>
          <w:szCs w:val="24"/>
        </w:rPr>
      </w:pPr>
      <w:r w:rsidRPr="00E266CD">
        <w:rPr>
          <w:rFonts w:ascii="Garamond" w:eastAsia="Times New Roman" w:hAnsi="Garamond"/>
          <w:b/>
          <w:sz w:val="24"/>
          <w:szCs w:val="24"/>
        </w:rPr>
        <w:t xml:space="preserve">Objektivi </w:t>
      </w:r>
      <w:r w:rsidR="00654162" w:rsidRPr="00E266CD">
        <w:rPr>
          <w:rFonts w:ascii="Garamond" w:eastAsia="Times New Roman" w:hAnsi="Garamond"/>
          <w:b/>
          <w:sz w:val="24"/>
          <w:szCs w:val="24"/>
        </w:rPr>
        <w:t xml:space="preserve">specifik </w:t>
      </w:r>
      <w:r w:rsidRPr="00E266CD">
        <w:rPr>
          <w:rFonts w:ascii="Garamond" w:eastAsia="Times New Roman" w:hAnsi="Garamond"/>
          <w:b/>
          <w:sz w:val="24"/>
          <w:szCs w:val="24"/>
        </w:rPr>
        <w:t xml:space="preserve">1.3: </w:t>
      </w:r>
      <w:r w:rsidRPr="00E266CD">
        <w:rPr>
          <w:rFonts w:ascii="Garamond" w:eastAsia="Times New Roman" w:hAnsi="Garamond"/>
          <w:sz w:val="24"/>
          <w:szCs w:val="24"/>
        </w:rPr>
        <w:t>Përmirësimi i mbledhjes, përpunimit, interpretimit dhe publikimi i treguesve statistikorë dhe të tjerë të kërkimit, zhvillimit të teknologjisë dhe inovacionit.</w:t>
      </w:r>
    </w:p>
    <w:p w14:paraId="301652E9" w14:textId="39B07B4D" w:rsidR="007959B4" w:rsidRPr="00D52E02" w:rsidRDefault="007959B4" w:rsidP="007959B4">
      <w:pPr>
        <w:pStyle w:val="Heading2"/>
        <w:spacing w:before="0"/>
        <w:ind w:firstLine="284"/>
        <w:rPr>
          <w:rFonts w:ascii="Garamond" w:eastAsia="Times New Roman" w:hAnsi="Garamond" w:cs="Times New Roman"/>
          <w:b w:val="0"/>
          <w:color w:val="000000"/>
          <w:sz w:val="24"/>
          <w:szCs w:val="24"/>
        </w:rPr>
      </w:pPr>
      <w:bookmarkStart w:id="20" w:name="_Toc135703138"/>
      <w:r w:rsidRPr="00D52E02">
        <w:rPr>
          <w:rFonts w:ascii="Garamond" w:hAnsi="Garamond"/>
          <w:b w:val="0"/>
          <w:color w:val="000000"/>
          <w:sz w:val="24"/>
          <w:szCs w:val="24"/>
        </w:rPr>
        <w:t xml:space="preserve">Institucionet </w:t>
      </w:r>
      <w:r w:rsidR="00654162" w:rsidRPr="00D52E02">
        <w:rPr>
          <w:rFonts w:ascii="Garamond" w:hAnsi="Garamond"/>
          <w:b w:val="0"/>
          <w:color w:val="000000"/>
          <w:sz w:val="24"/>
          <w:szCs w:val="24"/>
        </w:rPr>
        <w:t>drejtuese</w:t>
      </w:r>
      <w:r w:rsidRPr="00D52E02">
        <w:rPr>
          <w:rFonts w:ascii="Garamond" w:hAnsi="Garamond"/>
          <w:b w:val="0"/>
          <w:color w:val="000000"/>
          <w:sz w:val="24"/>
          <w:szCs w:val="24"/>
        </w:rPr>
        <w:t>:</w:t>
      </w:r>
      <w:bookmarkEnd w:id="20"/>
    </w:p>
    <w:p w14:paraId="637777A1" w14:textId="368DA638" w:rsidR="007959B4" w:rsidRPr="00E266CD" w:rsidRDefault="007959B4" w:rsidP="007959B4">
      <w:pPr>
        <w:ind w:firstLine="284"/>
        <w:rPr>
          <w:rFonts w:ascii="Garamond" w:eastAsia="Times New Roman" w:hAnsi="Garamond"/>
          <w:sz w:val="24"/>
          <w:szCs w:val="24"/>
        </w:rPr>
      </w:pPr>
      <w:r w:rsidRPr="00E266CD">
        <w:rPr>
          <w:rFonts w:ascii="Garamond" w:eastAsia="Times New Roman" w:hAnsi="Garamond"/>
          <w:sz w:val="24"/>
          <w:szCs w:val="24"/>
        </w:rPr>
        <w:t>Ministria e Arsimit dhe Sportit dhe AKKSHI</w:t>
      </w:r>
      <w:r w:rsidR="005124CC">
        <w:rPr>
          <w:rFonts w:ascii="Garamond" w:eastAsia="Times New Roman" w:hAnsi="Garamond"/>
          <w:sz w:val="24"/>
          <w:szCs w:val="24"/>
        </w:rPr>
        <w:t>,</w:t>
      </w:r>
      <w:r w:rsidRPr="00E266CD">
        <w:rPr>
          <w:rFonts w:ascii="Garamond" w:eastAsia="Times New Roman" w:hAnsi="Garamond"/>
          <w:sz w:val="24"/>
          <w:szCs w:val="24"/>
        </w:rPr>
        <w:t xml:space="preserve"> që është një institucion në varësi të MAS</w:t>
      </w:r>
      <w:r w:rsidR="005124CC">
        <w:rPr>
          <w:rFonts w:ascii="Garamond" w:eastAsia="Times New Roman" w:hAnsi="Garamond"/>
          <w:sz w:val="24"/>
          <w:szCs w:val="24"/>
        </w:rPr>
        <w:t>-it</w:t>
      </w:r>
      <w:r w:rsidRPr="00E266CD">
        <w:rPr>
          <w:rFonts w:ascii="Garamond" w:eastAsia="Times New Roman" w:hAnsi="Garamond"/>
          <w:sz w:val="24"/>
          <w:szCs w:val="24"/>
        </w:rPr>
        <w:t xml:space="preserve"> me programet buxhetore 09450, Arsimi </w:t>
      </w:r>
      <w:r w:rsidR="009A203C" w:rsidRPr="00E266CD">
        <w:rPr>
          <w:rFonts w:ascii="Garamond" w:eastAsia="Times New Roman" w:hAnsi="Garamond"/>
          <w:sz w:val="24"/>
          <w:szCs w:val="24"/>
        </w:rPr>
        <w:t>universitar</w:t>
      </w:r>
      <w:r w:rsidRPr="00E266CD">
        <w:rPr>
          <w:rFonts w:ascii="Garamond" w:eastAsia="Times New Roman" w:hAnsi="Garamond"/>
          <w:sz w:val="24"/>
          <w:szCs w:val="24"/>
        </w:rPr>
        <w:t xml:space="preserve">, 09770, Fonde për </w:t>
      </w:r>
      <w:r w:rsidR="009A203C" w:rsidRPr="00E266CD">
        <w:rPr>
          <w:rFonts w:ascii="Garamond" w:eastAsia="Times New Roman" w:hAnsi="Garamond"/>
          <w:sz w:val="24"/>
          <w:szCs w:val="24"/>
        </w:rPr>
        <w:t xml:space="preserve">shkencën </w:t>
      </w:r>
      <w:r w:rsidRPr="00E266CD">
        <w:rPr>
          <w:rFonts w:ascii="Garamond" w:eastAsia="Times New Roman" w:hAnsi="Garamond"/>
          <w:sz w:val="24"/>
          <w:szCs w:val="24"/>
        </w:rPr>
        <w:t xml:space="preserve">dhe 0110, </w:t>
      </w:r>
      <w:r w:rsidR="009A203C" w:rsidRPr="00E266CD">
        <w:rPr>
          <w:rFonts w:ascii="Garamond" w:eastAsia="Times New Roman" w:hAnsi="Garamond"/>
          <w:sz w:val="24"/>
          <w:szCs w:val="24"/>
        </w:rPr>
        <w:t>planifikim</w:t>
      </w:r>
      <w:r w:rsidRPr="00E266CD">
        <w:rPr>
          <w:rFonts w:ascii="Garamond" w:eastAsia="Times New Roman" w:hAnsi="Garamond"/>
          <w:sz w:val="24"/>
          <w:szCs w:val="24"/>
        </w:rPr>
        <w:t xml:space="preserve">, </w:t>
      </w:r>
      <w:r w:rsidR="009A203C" w:rsidRPr="00E266CD">
        <w:rPr>
          <w:rFonts w:ascii="Garamond" w:eastAsia="Times New Roman" w:hAnsi="Garamond"/>
          <w:sz w:val="24"/>
          <w:szCs w:val="24"/>
        </w:rPr>
        <w:t>menaxhim dhe administrim</w:t>
      </w:r>
    </w:p>
    <w:p w14:paraId="79354429" w14:textId="21513CEB" w:rsidR="007959B4" w:rsidRPr="00E266CD" w:rsidRDefault="007959B4" w:rsidP="007959B4">
      <w:pPr>
        <w:ind w:firstLine="284"/>
        <w:rPr>
          <w:rFonts w:ascii="Garamond" w:eastAsia="Times New Roman" w:hAnsi="Garamond"/>
          <w:sz w:val="24"/>
          <w:szCs w:val="24"/>
        </w:rPr>
      </w:pPr>
      <w:r w:rsidRPr="00E266CD">
        <w:rPr>
          <w:rFonts w:ascii="Garamond" w:eastAsia="Times New Roman" w:hAnsi="Garamond"/>
          <w:sz w:val="24"/>
          <w:szCs w:val="24"/>
        </w:rPr>
        <w:t xml:space="preserve">AKSHI, RASH, ASPA dhe INSTAT me programin buxhetor 01320 ‘Veprimtari </w:t>
      </w:r>
      <w:r w:rsidR="009A203C" w:rsidRPr="00E266CD">
        <w:rPr>
          <w:rFonts w:ascii="Garamond" w:eastAsia="Times New Roman" w:hAnsi="Garamond"/>
          <w:sz w:val="24"/>
          <w:szCs w:val="24"/>
        </w:rPr>
        <w:t>statistikore’</w:t>
      </w:r>
    </w:p>
    <w:p w14:paraId="0B84CF96" w14:textId="38B5CA28" w:rsidR="007959B4" w:rsidRPr="00D52E02" w:rsidRDefault="007959B4" w:rsidP="007959B4">
      <w:pPr>
        <w:pStyle w:val="Heading2"/>
        <w:spacing w:before="0"/>
        <w:ind w:firstLine="284"/>
        <w:rPr>
          <w:rFonts w:ascii="Garamond" w:eastAsia="Times New Roman" w:hAnsi="Garamond" w:cs="Times New Roman"/>
          <w:b w:val="0"/>
          <w:color w:val="000000"/>
          <w:sz w:val="24"/>
          <w:szCs w:val="24"/>
        </w:rPr>
      </w:pPr>
      <w:bookmarkStart w:id="21" w:name="_Toc135703139"/>
      <w:r w:rsidRPr="00D52E02">
        <w:rPr>
          <w:rFonts w:ascii="Garamond" w:hAnsi="Garamond"/>
          <w:b w:val="0"/>
          <w:color w:val="000000"/>
          <w:sz w:val="24"/>
          <w:szCs w:val="24"/>
        </w:rPr>
        <w:t xml:space="preserve">Institucionet </w:t>
      </w:r>
      <w:r w:rsidR="005124CC" w:rsidRPr="00D52E02">
        <w:rPr>
          <w:rFonts w:ascii="Garamond" w:hAnsi="Garamond"/>
          <w:b w:val="0"/>
          <w:color w:val="000000"/>
          <w:sz w:val="24"/>
          <w:szCs w:val="24"/>
        </w:rPr>
        <w:t>p</w:t>
      </w:r>
      <w:r w:rsidRPr="00D52E02">
        <w:rPr>
          <w:rFonts w:ascii="Garamond" w:hAnsi="Garamond"/>
          <w:b w:val="0"/>
          <w:color w:val="000000"/>
          <w:sz w:val="24"/>
          <w:szCs w:val="24"/>
        </w:rPr>
        <w:t>jesëmarrëse:</w:t>
      </w:r>
      <w:bookmarkEnd w:id="21"/>
    </w:p>
    <w:p w14:paraId="011C562F" w14:textId="5D4BD5FB" w:rsidR="007959B4" w:rsidRPr="00E266CD" w:rsidRDefault="007959B4" w:rsidP="007959B4">
      <w:pPr>
        <w:ind w:firstLine="284"/>
        <w:rPr>
          <w:rFonts w:ascii="Garamond" w:eastAsia="Times New Roman" w:hAnsi="Garamond"/>
          <w:sz w:val="24"/>
          <w:szCs w:val="24"/>
        </w:rPr>
      </w:pPr>
      <w:r w:rsidRPr="00E266CD">
        <w:rPr>
          <w:rFonts w:ascii="Garamond" w:eastAsia="Times New Roman" w:hAnsi="Garamond"/>
          <w:sz w:val="24"/>
          <w:szCs w:val="24"/>
        </w:rPr>
        <w:t>RASH, IAL, AKKSHI,</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AKFAL, ML</w:t>
      </w:r>
      <w:r w:rsidR="009A203C">
        <w:rPr>
          <w:rFonts w:ascii="Garamond" w:eastAsia="Times New Roman" w:hAnsi="Garamond"/>
          <w:sz w:val="24"/>
          <w:szCs w:val="24"/>
        </w:rPr>
        <w:t>,</w:t>
      </w:r>
      <w:r w:rsidRPr="00E266CD">
        <w:rPr>
          <w:rFonts w:ascii="Garamond" w:eastAsia="Times New Roman" w:hAnsi="Garamond"/>
          <w:sz w:val="24"/>
          <w:szCs w:val="24"/>
        </w:rPr>
        <w:t xml:space="preserve"> ASCAL, ASHSH,</w:t>
      </w:r>
      <w:r w:rsidR="00BF1D3E">
        <w:rPr>
          <w:rFonts w:ascii="Garamond" w:eastAsia="Times New Roman" w:hAnsi="Garamond"/>
          <w:sz w:val="24"/>
          <w:szCs w:val="24"/>
        </w:rPr>
        <w:t xml:space="preserve"> </w:t>
      </w:r>
      <w:r w:rsidRPr="00E266CD">
        <w:rPr>
          <w:rFonts w:ascii="Garamond" w:eastAsia="Times New Roman" w:hAnsi="Garamond"/>
          <w:sz w:val="24"/>
          <w:szCs w:val="24"/>
        </w:rPr>
        <w:t>AKSHI</w:t>
      </w:r>
      <w:r w:rsidR="00BF1D3E">
        <w:rPr>
          <w:rFonts w:ascii="Garamond" w:eastAsia="Times New Roman" w:hAnsi="Garamond"/>
          <w:sz w:val="24"/>
          <w:szCs w:val="24"/>
        </w:rPr>
        <w:t>,</w:t>
      </w:r>
      <w:r w:rsidRPr="00E266CD">
        <w:rPr>
          <w:rFonts w:ascii="Garamond" w:eastAsia="Times New Roman" w:hAnsi="Garamond"/>
          <w:sz w:val="24"/>
          <w:szCs w:val="24"/>
        </w:rPr>
        <w:t xml:space="preserve"> AKD, </w:t>
      </w:r>
      <w:r w:rsidR="00BF1D3E">
        <w:rPr>
          <w:rFonts w:ascii="Garamond" w:eastAsia="Times New Roman" w:hAnsi="Garamond"/>
          <w:sz w:val="24"/>
          <w:szCs w:val="24"/>
        </w:rPr>
        <w:t>i</w:t>
      </w:r>
      <w:r w:rsidRPr="00E266CD">
        <w:rPr>
          <w:rFonts w:ascii="Garamond" w:eastAsia="Times New Roman" w:hAnsi="Garamond"/>
          <w:sz w:val="24"/>
          <w:szCs w:val="24"/>
        </w:rPr>
        <w:t xml:space="preserve">nstitutet kërkimore pranë </w:t>
      </w:r>
      <w:r w:rsidR="00BF1D3E" w:rsidRPr="00E266CD">
        <w:rPr>
          <w:rFonts w:ascii="Garamond" w:eastAsia="Times New Roman" w:hAnsi="Garamond"/>
          <w:sz w:val="24"/>
          <w:szCs w:val="24"/>
        </w:rPr>
        <w:t>ministrive të linjës</w:t>
      </w:r>
      <w:r w:rsidRPr="00E266CD">
        <w:rPr>
          <w:rFonts w:ascii="Garamond" w:eastAsia="Times New Roman" w:hAnsi="Garamond"/>
          <w:sz w:val="24"/>
          <w:szCs w:val="24"/>
        </w:rPr>
        <w:t>, AMSHC</w:t>
      </w:r>
      <w:r w:rsidR="00BF1D3E">
        <w:rPr>
          <w:rFonts w:ascii="Garamond" w:eastAsia="Times New Roman" w:hAnsi="Garamond"/>
          <w:sz w:val="24"/>
          <w:szCs w:val="24"/>
        </w:rPr>
        <w:t>-ja</w:t>
      </w:r>
      <w:r w:rsidRPr="00E266CD">
        <w:rPr>
          <w:rFonts w:ascii="Garamond" w:eastAsia="Times New Roman" w:hAnsi="Garamond"/>
          <w:sz w:val="24"/>
          <w:szCs w:val="24"/>
        </w:rPr>
        <w:t>, MAS</w:t>
      </w:r>
      <w:r w:rsidR="00BF1D3E">
        <w:rPr>
          <w:rFonts w:ascii="Garamond" w:eastAsia="Times New Roman" w:hAnsi="Garamond"/>
          <w:sz w:val="24"/>
          <w:szCs w:val="24"/>
        </w:rPr>
        <w:t>-i</w:t>
      </w:r>
      <w:r w:rsidRPr="00E266CD">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institucionet e kërkimit shkencor</w:t>
      </w:r>
      <w:r w:rsidR="00BF1D3E">
        <w:rPr>
          <w:rFonts w:ascii="Garamond" w:eastAsia="Times New Roman" w:hAnsi="Garamond"/>
          <w:sz w:val="24"/>
          <w:szCs w:val="24"/>
        </w:rPr>
        <w:t>.</w:t>
      </w:r>
    </w:p>
    <w:p w14:paraId="3722EE64" w14:textId="77777777" w:rsidR="007959B4" w:rsidRPr="00E266CD" w:rsidRDefault="007959B4" w:rsidP="007959B4">
      <w:pPr>
        <w:ind w:firstLine="284"/>
        <w:rPr>
          <w:rFonts w:ascii="Garamond" w:eastAsia="Times New Roman" w:hAnsi="Garamond"/>
          <w:sz w:val="24"/>
          <w:szCs w:val="24"/>
        </w:rPr>
      </w:pPr>
      <w:r w:rsidRPr="00E266CD">
        <w:rPr>
          <w:rFonts w:ascii="Garamond" w:eastAsia="Times New Roman" w:hAnsi="Garamond"/>
          <w:sz w:val="24"/>
          <w:szCs w:val="24"/>
        </w:rPr>
        <w:t>Masat dhe buxhetet e ndërlidhura për të arritur rezultatet specifike janë përshkruar në planin e veprimit të dokumentit strategjik që do të ngarkohet në IPSIS.</w:t>
      </w:r>
    </w:p>
    <w:p w14:paraId="52203756" w14:textId="19F09436" w:rsidR="007959B4" w:rsidRPr="00E266CD" w:rsidRDefault="007959B4" w:rsidP="007959B4">
      <w:pPr>
        <w:pStyle w:val="Heading2"/>
        <w:spacing w:before="0"/>
        <w:ind w:firstLine="284"/>
        <w:rPr>
          <w:rFonts w:ascii="Garamond" w:hAnsi="Garamond"/>
          <w:color w:val="000000" w:themeColor="text1"/>
          <w:sz w:val="24"/>
          <w:szCs w:val="24"/>
        </w:rPr>
      </w:pPr>
      <w:bookmarkStart w:id="22" w:name="_Toc135703140"/>
      <w:r w:rsidRPr="00E266CD">
        <w:rPr>
          <w:rFonts w:ascii="Garamond" w:hAnsi="Garamond"/>
          <w:color w:val="000000" w:themeColor="text1"/>
          <w:sz w:val="24"/>
          <w:szCs w:val="24"/>
        </w:rPr>
        <w:t xml:space="preserve">Lidhja midis qëllimit të politikës dhe </w:t>
      </w:r>
      <w:r w:rsidR="00BF1D3E" w:rsidRPr="00E266CD">
        <w:rPr>
          <w:rFonts w:ascii="Garamond" w:hAnsi="Garamond"/>
          <w:color w:val="000000" w:themeColor="text1"/>
          <w:sz w:val="24"/>
          <w:szCs w:val="24"/>
        </w:rPr>
        <w:t xml:space="preserve">objektivave të zhvillimit të qëndrueshëm </w:t>
      </w:r>
      <w:r w:rsidRPr="00E266CD">
        <w:rPr>
          <w:rFonts w:ascii="Garamond" w:hAnsi="Garamond"/>
          <w:color w:val="000000" w:themeColor="text1"/>
          <w:sz w:val="24"/>
          <w:szCs w:val="24"/>
        </w:rPr>
        <w:t>(OZHQ)</w:t>
      </w:r>
      <w:bookmarkEnd w:id="22"/>
      <w:r w:rsidRPr="00E266CD">
        <w:rPr>
          <w:rFonts w:ascii="Garamond" w:hAnsi="Garamond"/>
          <w:color w:val="000000" w:themeColor="text1"/>
          <w:sz w:val="24"/>
          <w:szCs w:val="24"/>
        </w:rPr>
        <w:t>.</w:t>
      </w:r>
    </w:p>
    <w:p w14:paraId="38F7CEB6" w14:textId="612E8070" w:rsidR="007959B4" w:rsidRPr="00E266CD" w:rsidRDefault="007959B4" w:rsidP="007959B4">
      <w:pPr>
        <w:pBdr>
          <w:top w:val="nil"/>
          <w:left w:val="nil"/>
          <w:bottom w:val="nil"/>
          <w:right w:val="nil"/>
          <w:between w:val="nil"/>
        </w:pBdr>
        <w:ind w:firstLine="284"/>
        <w:rPr>
          <w:rFonts w:ascii="Garamond" w:eastAsia="Times New Roman" w:hAnsi="Garamond"/>
          <w:sz w:val="24"/>
          <w:szCs w:val="24"/>
        </w:rPr>
      </w:pPr>
      <w:r w:rsidRPr="00E266CD">
        <w:rPr>
          <w:rFonts w:ascii="Garamond" w:eastAsia="Times New Roman" w:hAnsi="Garamond"/>
          <w:sz w:val="24"/>
          <w:szCs w:val="24"/>
        </w:rPr>
        <w:t>Qëllimi i parë i politikës reflekton OZHQ 9 “</w:t>
      </w:r>
      <w:r w:rsidRPr="00E266CD">
        <w:rPr>
          <w:rFonts w:ascii="Garamond" w:eastAsia="Times New Roman" w:hAnsi="Garamond"/>
          <w:b/>
          <w:sz w:val="24"/>
          <w:szCs w:val="24"/>
        </w:rPr>
        <w:t xml:space="preserve">Industri, </w:t>
      </w:r>
      <w:r w:rsidR="00BF1D3E" w:rsidRPr="00E266CD">
        <w:rPr>
          <w:rFonts w:ascii="Garamond" w:eastAsia="Times New Roman" w:hAnsi="Garamond"/>
          <w:b/>
          <w:sz w:val="24"/>
          <w:szCs w:val="24"/>
        </w:rPr>
        <w:t>inovacion dhe infrastrukturë </w:t>
      </w:r>
      <w:r w:rsidRPr="00BF1D3E">
        <w:rPr>
          <w:rFonts w:ascii="Garamond" w:eastAsia="Times New Roman" w:hAnsi="Garamond"/>
          <w:sz w:val="24"/>
          <w:szCs w:val="24"/>
        </w:rPr>
        <w:t>-</w:t>
      </w:r>
      <w:r w:rsidRPr="00E266CD">
        <w:rPr>
          <w:rFonts w:ascii="Garamond" w:eastAsia="Times New Roman" w:hAnsi="Garamond"/>
          <w:sz w:val="24"/>
          <w:szCs w:val="24"/>
        </w:rPr>
        <w:t> sipas të cilit shtetet janë zotuar të ndërtojnë një infrastrukturë elastike, të promovojnë industrializimin e qëndrueshëm dhe gjithëpërfshirës dhe të nxisin inovacionin”.</w:t>
      </w:r>
    </w:p>
    <w:p w14:paraId="4AF78158" w14:textId="3FA30952" w:rsidR="007959B4" w:rsidRPr="00E266CD" w:rsidRDefault="007959B4" w:rsidP="00B65BFD">
      <w:pPr>
        <w:ind w:firstLine="284"/>
        <w:rPr>
          <w:rFonts w:ascii="Garamond" w:eastAsia="Times New Roman" w:hAnsi="Garamond"/>
          <w:sz w:val="24"/>
          <w:szCs w:val="24"/>
        </w:rPr>
      </w:pPr>
      <w:r w:rsidRPr="00E266CD">
        <w:rPr>
          <w:rFonts w:ascii="Garamond" w:eastAsia="Times New Roman" w:hAnsi="Garamond"/>
          <w:sz w:val="24"/>
          <w:szCs w:val="24"/>
        </w:rPr>
        <w:t xml:space="preserve">Në </w:t>
      </w:r>
      <w:r w:rsidR="00663201" w:rsidRPr="00E266CD">
        <w:rPr>
          <w:rFonts w:ascii="Garamond" w:eastAsia="Times New Roman" w:hAnsi="Garamond"/>
          <w:sz w:val="24"/>
          <w:szCs w:val="24"/>
        </w:rPr>
        <w:t>veçanti</w:t>
      </w:r>
      <w:r w:rsidRPr="00E266CD">
        <w:rPr>
          <w:rFonts w:ascii="Garamond" w:eastAsia="Times New Roman" w:hAnsi="Garamond"/>
          <w:sz w:val="24"/>
          <w:szCs w:val="24"/>
        </w:rPr>
        <w:t>, ky q</w:t>
      </w:r>
      <w:r w:rsidRPr="00E266CD">
        <w:rPr>
          <w:rFonts w:ascii="Garamond" w:eastAsia="Times New Roman" w:hAnsi="Garamond" w:cs="Garamond"/>
          <w:sz w:val="24"/>
          <w:szCs w:val="24"/>
        </w:rPr>
        <w:t>ë</w:t>
      </w:r>
      <w:r w:rsidRPr="00E266CD">
        <w:rPr>
          <w:rFonts w:ascii="Garamond" w:eastAsia="Times New Roman" w:hAnsi="Garamond"/>
          <w:sz w:val="24"/>
          <w:szCs w:val="24"/>
        </w:rPr>
        <w:t xml:space="preserve">llim reflekton </w:t>
      </w:r>
      <w:r w:rsidRPr="00E266CD">
        <w:rPr>
          <w:rFonts w:ascii="Garamond" w:eastAsia="Times New Roman" w:hAnsi="Garamond"/>
          <w:b/>
          <w:sz w:val="24"/>
          <w:szCs w:val="24"/>
        </w:rPr>
        <w:t>synimet 9.5 të OZHQ 9</w:t>
      </w:r>
      <w:r w:rsidRPr="00E266CD">
        <w:rPr>
          <w:rFonts w:ascii="Garamond" w:eastAsia="Times New Roman" w:hAnsi="Garamond"/>
          <w:sz w:val="24"/>
          <w:szCs w:val="24"/>
        </w:rPr>
        <w:t xml:space="preserve">, në kontekstin e </w:t>
      </w:r>
      <w:r w:rsidR="00BF1D3E" w:rsidRPr="00E266CD">
        <w:rPr>
          <w:rFonts w:ascii="Garamond" w:eastAsia="Times New Roman" w:hAnsi="Garamond"/>
          <w:sz w:val="24"/>
          <w:szCs w:val="24"/>
        </w:rPr>
        <w:t xml:space="preserve">objektivave të zhvillimit të qëndrueshëm </w:t>
      </w:r>
      <w:r w:rsidRPr="00E266CD">
        <w:rPr>
          <w:rFonts w:ascii="Garamond" w:eastAsia="Times New Roman" w:hAnsi="Garamond"/>
          <w:sz w:val="24"/>
          <w:szCs w:val="24"/>
        </w:rPr>
        <w:t>2015</w:t>
      </w:r>
      <w:r w:rsidR="00B65BFD" w:rsidRPr="00E266CD">
        <w:rPr>
          <w:rFonts w:ascii="Garamond" w:eastAsia="Times New Roman" w:hAnsi="Garamond"/>
          <w:sz w:val="24"/>
          <w:szCs w:val="24"/>
        </w:rPr>
        <w:t>–</w:t>
      </w:r>
      <w:r w:rsidRPr="00E266CD">
        <w:rPr>
          <w:rFonts w:ascii="Garamond" w:eastAsia="Times New Roman" w:hAnsi="Garamond"/>
          <w:sz w:val="24"/>
          <w:szCs w:val="24"/>
        </w:rPr>
        <w:t>2030</w:t>
      </w:r>
      <w:r w:rsidR="00BF1D3E">
        <w:rPr>
          <w:rFonts w:ascii="Garamond" w:eastAsia="Times New Roman" w:hAnsi="Garamond"/>
          <w:sz w:val="24"/>
          <w:szCs w:val="24"/>
        </w:rPr>
        <w:t>,</w:t>
      </w:r>
      <w:r w:rsidRPr="00E266CD">
        <w:rPr>
          <w:rFonts w:ascii="Garamond" w:eastAsia="Times New Roman" w:hAnsi="Garamond"/>
          <w:sz w:val="24"/>
          <w:szCs w:val="24"/>
        </w:rPr>
        <w:t xml:space="preserve"> për të inkurajuar maksimizimin e kërkimit shkencor, përmirësimin e aftësive teknologjike të sektorëve industrialë në të gjitha vendet, në veçanti vendet në zhvillim, duke përfshirë, deri në vitin 2030, inkurajimin e inovacionit dhe rritjen e konsiderueshme të numrit të kërkuesve shkencorë dhe shpenzimeve publike dhe private të kërkimit dhe zhvillimit.</w:t>
      </w:r>
    </w:p>
    <w:p w14:paraId="1429D940" w14:textId="38E0B3FB" w:rsidR="007959B4" w:rsidRPr="00E266CD" w:rsidRDefault="007959B4" w:rsidP="005D7D16">
      <w:pPr>
        <w:pStyle w:val="TEKSTIIII"/>
        <w:rPr>
          <w:b/>
          <w:color w:val="000000"/>
        </w:rPr>
      </w:pPr>
      <w:bookmarkStart w:id="23" w:name="_Toc135703141"/>
      <w:r w:rsidRPr="00E266CD">
        <w:rPr>
          <w:b/>
          <w:color w:val="000000"/>
        </w:rPr>
        <w:t xml:space="preserve">Objektivi </w:t>
      </w:r>
      <w:r w:rsidR="00BF1D3E">
        <w:rPr>
          <w:b/>
          <w:color w:val="000000"/>
        </w:rPr>
        <w:t>s</w:t>
      </w:r>
      <w:r w:rsidRPr="00E266CD">
        <w:rPr>
          <w:b/>
          <w:color w:val="000000"/>
        </w:rPr>
        <w:t>pecifik 1.1: Plotësimi dhe zbatimi i kuadrit ligjor dhe rregullator për të garantuar cilësinë, etikën dhe efektivitetin në zhvillimin dhe aplikimin e kërkimit në përputhje me fushat prioritare</w:t>
      </w:r>
      <w:bookmarkEnd w:id="23"/>
      <w:r w:rsidRPr="00E266CD">
        <w:rPr>
          <w:b/>
          <w:color w:val="000000"/>
        </w:rPr>
        <w:t>.</w:t>
      </w:r>
    </w:p>
    <w:p w14:paraId="24801C48" w14:textId="7C24BB81" w:rsidR="007959B4" w:rsidRPr="00E266CD" w:rsidRDefault="007959B4" w:rsidP="005D7D16">
      <w:pPr>
        <w:pStyle w:val="TEKSTIIII"/>
        <w:rPr>
          <w:b/>
          <w:color w:val="000000"/>
        </w:rPr>
      </w:pPr>
      <w:bookmarkStart w:id="24" w:name="_Toc135703142"/>
      <w:r w:rsidRPr="00E266CD">
        <w:rPr>
          <w:b/>
          <w:color w:val="000000"/>
        </w:rPr>
        <w:t xml:space="preserve">Analiza e </w:t>
      </w:r>
      <w:r w:rsidR="00BF1D3E" w:rsidRPr="00E266CD">
        <w:rPr>
          <w:b/>
          <w:color w:val="000000"/>
        </w:rPr>
        <w:t>situatës dhe sfidat</w:t>
      </w:r>
      <w:bookmarkEnd w:id="24"/>
    </w:p>
    <w:p w14:paraId="61C9BA30" w14:textId="68F28B65" w:rsidR="007959B4" w:rsidRPr="00E266CD" w:rsidRDefault="007959B4" w:rsidP="005D7D16">
      <w:pPr>
        <w:pStyle w:val="TEKSTIIII"/>
      </w:pPr>
      <w:r w:rsidRPr="00E266CD">
        <w:t>Periudha 2017</w:t>
      </w:r>
      <w:r w:rsidR="00B65BFD" w:rsidRPr="00E266CD">
        <w:rPr>
          <w:rFonts w:eastAsia="Times New Roman"/>
        </w:rPr>
        <w:t>–</w:t>
      </w:r>
      <w:r w:rsidRPr="00E266CD">
        <w:t>2022 ka shënuar disa arritje</w:t>
      </w:r>
      <w:r w:rsidR="00BF1D3E">
        <w:t>,</w:t>
      </w:r>
      <w:r w:rsidRPr="00E266CD">
        <w:t xml:space="preserve"> në kuadër të përmirësimit të kuadrit ligjor në fushën e shkencës, teknologjisë dhe inovacionit. Në këtë kuadër është hartuar </w:t>
      </w:r>
      <w:r w:rsidR="00BF1D3E" w:rsidRPr="00E266CD">
        <w:t>dokumenti reko</w:t>
      </w:r>
      <w:r w:rsidRPr="00E266CD">
        <w:t xml:space="preserve">mandues mbi reformimin e sistemit institucional të kërkimit shkencor në Shqipëri nga </w:t>
      </w:r>
      <w:r w:rsidR="00BF1D3E" w:rsidRPr="00E266CD">
        <w:t>grupi i p</w:t>
      </w:r>
      <w:r w:rsidRPr="00E266CD">
        <w:t>unës, ngritur me urdhrin nr. 276, datë 1.6.2016</w:t>
      </w:r>
      <w:r w:rsidR="00B65BFD" w:rsidRPr="00E266CD">
        <w:t>,</w:t>
      </w:r>
      <w:r w:rsidRPr="00E266CD">
        <w:t xml:space="preserve"> të </w:t>
      </w:r>
      <w:r w:rsidR="00B65BFD" w:rsidRPr="00E266CD">
        <w:t>m</w:t>
      </w:r>
      <w:r w:rsidRPr="00E266CD">
        <w:t>inistrit të Arsimit dhe Sportit</w:t>
      </w:r>
      <w:r w:rsidR="00BF1D3E">
        <w:t>,</w:t>
      </w:r>
      <w:r w:rsidRPr="00E266CD">
        <w:t xml:space="preserve"> “Për ngritjen e </w:t>
      </w:r>
      <w:r w:rsidR="00BF1D3E">
        <w:t>g</w:t>
      </w:r>
      <w:r w:rsidRPr="00E266CD">
        <w:t xml:space="preserve">rupit të </w:t>
      </w:r>
      <w:r w:rsidR="00BF1D3E">
        <w:t>p</w:t>
      </w:r>
      <w:r w:rsidRPr="00E266CD">
        <w:t xml:space="preserve">unës për </w:t>
      </w:r>
      <w:r w:rsidR="00BF1D3E" w:rsidRPr="00E266CD">
        <w:t>reformimin e sistemit institucional të kërkimit shke</w:t>
      </w:r>
      <w:r w:rsidRPr="00E266CD">
        <w:t>ncor</w:t>
      </w:r>
      <w:r w:rsidR="00BF1D3E">
        <w:t>”</w:t>
      </w:r>
      <w:r w:rsidRPr="00E266CD">
        <w:t xml:space="preserve">. Ky dokument përcakton </w:t>
      </w:r>
      <w:r w:rsidR="00BF1D3E" w:rsidRPr="00E266CD">
        <w:t>vizionin, misionin dhe parimet bazë të reformës së kërkimit shkencor.</w:t>
      </w:r>
    </w:p>
    <w:p w14:paraId="12F8C0F2" w14:textId="40DE1FBE" w:rsidR="007959B4" w:rsidRPr="00E266CD" w:rsidRDefault="007959B4" w:rsidP="005D7D16">
      <w:pPr>
        <w:pStyle w:val="TEKSTIIII"/>
      </w:pPr>
      <w:r w:rsidRPr="00E266CD">
        <w:t>Gjithashtu, me urdhrin nr. 57, datë 25.3.2022, të Kryeministrit</w:t>
      </w:r>
      <w:r w:rsidR="00BF1D3E">
        <w:t>,</w:t>
      </w:r>
      <w:r w:rsidRPr="00E266CD">
        <w:t xml:space="preserve"> “Për ngritjen e </w:t>
      </w:r>
      <w:r w:rsidR="00BF1D3E" w:rsidRPr="00E266CD">
        <w:t xml:space="preserve">grupit ndërinstitucional të punës për hartimin e projektligjit </w:t>
      </w:r>
      <w:r w:rsidRPr="00E266CD">
        <w:t>“</w:t>
      </w:r>
      <w:r w:rsidRPr="009A203C">
        <w:t xml:space="preserve">Për </w:t>
      </w:r>
      <w:r w:rsidR="00BF1D3E" w:rsidRPr="009A203C">
        <w:t xml:space="preserve">shkencën </w:t>
      </w:r>
      <w:r w:rsidRPr="009A203C">
        <w:t>në Republikën e Shqipërisë</w:t>
      </w:r>
      <w:r w:rsidRPr="00E266CD">
        <w:t>” është ngritur grupi i punës për hartimin e projektligjit të ri. Po kështu, me urdhrin nr. 212, datë 21.4.2022</w:t>
      </w:r>
      <w:r w:rsidR="00B65BFD" w:rsidRPr="00E266CD">
        <w:t>,</w:t>
      </w:r>
      <w:r w:rsidRPr="00E266CD">
        <w:t xml:space="preserve"> të </w:t>
      </w:r>
      <w:r w:rsidR="00B65BFD" w:rsidRPr="00E266CD">
        <w:t>m</w:t>
      </w:r>
      <w:r w:rsidRPr="00E266CD">
        <w:t>inistrit të Arsimit dhe Sportit</w:t>
      </w:r>
      <w:r w:rsidR="00237E11" w:rsidRPr="00E266CD">
        <w:t>,</w:t>
      </w:r>
      <w:r w:rsidRPr="00E266CD">
        <w:t xml:space="preserve"> “Për caktimin e përfaqësueseve të Ministrisë së Arsimit dhe Sportit dhe sekretariatit teknik të grupit ndërinstitucional të punës për hartimin e projektligjit “Për shkencën në Republikën e Shqipërisë” janë caktuar përfaqësuesit e MAS</w:t>
      </w:r>
      <w:r w:rsidR="00237E11" w:rsidRPr="00E266CD">
        <w:t>-it</w:t>
      </w:r>
      <w:r w:rsidRPr="00E266CD">
        <w:t xml:space="preserve"> dhe është ngritur sekretariati teknik. </w:t>
      </w:r>
    </w:p>
    <w:p w14:paraId="6C0EC0E7" w14:textId="78A4D1C9" w:rsidR="007959B4" w:rsidRPr="00E266CD" w:rsidRDefault="007959B4" w:rsidP="005D7D16">
      <w:pPr>
        <w:pStyle w:val="TEKSTIIII"/>
      </w:pPr>
      <w:r w:rsidRPr="00E266CD">
        <w:t>Megjithatë, pavarësisht ngritjes së grupeve të punës ende nuk është finalizuar hartimi i draftit përfundimtar të projektligjit</w:t>
      </w:r>
      <w:r w:rsidR="00BF1D3E">
        <w:t>,</w:t>
      </w:r>
      <w:r w:rsidRPr="00E266CD">
        <w:t xml:space="preserve"> me qëllim miratimin e tij në </w:t>
      </w:r>
      <w:r w:rsidR="00BF1D3E">
        <w:t>p</w:t>
      </w:r>
      <w:r w:rsidRPr="00E266CD">
        <w:t xml:space="preserve">arlament. Mbetet gjithashtu problematike ngritja e një strukture të posaçme koordinuese në nivel kombëtar për koordinimin e politikave në fushën e </w:t>
      </w:r>
      <w:r w:rsidR="00BF1D3E" w:rsidRPr="00E266CD">
        <w:t>shkencës, teknologjisë dhe inovacionit</w:t>
      </w:r>
      <w:r w:rsidRPr="00E266CD">
        <w:t xml:space="preserve">. Sfidë për </w:t>
      </w:r>
      <w:r w:rsidR="00417E27" w:rsidRPr="00E266CD">
        <w:t>t’u</w:t>
      </w:r>
      <w:r w:rsidRPr="00E266CD">
        <w:t xml:space="preserve"> kapërcyer gjatë periudhës që do të mbulojë strategjia e re mbetet edhe hartimi dhe miratimi i akteve nënligjore lidhur me statusin e kërkuesit shkencor dhe kritereve për vlerësimin e kërkimit shkencor që do t’i hapin rrugë rankimit të IAL</w:t>
      </w:r>
      <w:r w:rsidR="00BF1D3E">
        <w:t>-ve</w:t>
      </w:r>
      <w:r w:rsidRPr="00E266CD">
        <w:t xml:space="preserve"> sipas performancës në kërkimin shkencor. Në kuadër të garantimit të cilësisë dhe etikës në kërkimin shkencor mbetet gjithashtu i nevojshëm hartimi dhe miratimi i Kodit të Etikës në Kërkimin shkencor. Në drejtim të promovimit të barazisë gjinore në fushën e shkencës, teknologjisë dhe inovacionin vlen të përmendet se Shqipëria ka përqindjen më të lartë grave dhe vajzave që kanë fituar gradën shkencore “Doktor” (62.3%).</w:t>
      </w:r>
      <w:r w:rsidRPr="00E266CD">
        <w:rPr>
          <w:vertAlign w:val="superscript"/>
        </w:rPr>
        <w:footnoteReference w:id="34"/>
      </w:r>
      <w:r w:rsidRPr="00E266CD">
        <w:t xml:space="preserve"> Gjithashtu, nga viti 2021 është ngritur dhe funksionon Rrjeti i Grave Shqiptare në STEM</w:t>
      </w:r>
      <w:r w:rsidR="00BF1D3E">
        <w:t>,</w:t>
      </w:r>
      <w:r w:rsidRPr="00E266CD">
        <w:t xml:space="preserve"> që synon të kontribuojë në fuqizimin social dhe ekonomik të grave dhe vajzave duke rritur përfaqësimin e tyre në STEM</w:t>
      </w:r>
      <w:r w:rsidR="00BF1D3E">
        <w:t>,</w:t>
      </w:r>
      <w:r w:rsidRPr="00E266CD">
        <w:t xml:space="preserve"> si në fushën akademike ashtu edhe në kërkimin shkencor dhe inovacion.</w:t>
      </w:r>
      <w:r w:rsidRPr="00E266CD">
        <w:rPr>
          <w:vertAlign w:val="superscript"/>
        </w:rPr>
        <w:footnoteReference w:id="35"/>
      </w:r>
      <w:r w:rsidRPr="00E266CD">
        <w:t xml:space="preserve"> Për më tepër, referuar të dhënave të përpunuara nga AKKSHI, rezulton se numri i projekteve fituese kombëtare dhe ndërkombëtare të drejtuara nga gratë dhe vajzat është më i lartë se ai i projekteve të drejtuara nga meshkuj. Të dhënat e 2022</w:t>
      </w:r>
      <w:r w:rsidR="00BF1D3E">
        <w:t>-shit</w:t>
      </w:r>
      <w:r w:rsidRPr="00E266CD">
        <w:t xml:space="preserve"> tregojnë se nga 84 propozime të vlerësuara nga AKKSHI në të gjitha fushat prioritare</w:t>
      </w:r>
      <w:r w:rsidR="00BF1D3E">
        <w:t>,</w:t>
      </w:r>
      <w:r w:rsidRPr="00E266CD">
        <w:t xml:space="preserve"> u shpallën si fitues 46 projekte nga të cilat 31 projekte drejtoheshin nga gra dhe vajza dhe 15 nga meshkuj. Megjithatë, arritjet e përmendura reflektojnë iniciativat për promovimin e barazisë gjinore vetëm në aspekte të veçanta të kërkimit shkencor. Në këtë kuadër, me qëllim shtrirjen dhe promovimin e parimit të barazisë gjinore në të tre drejtimet që mbulon kjo strategji, mbetet i rëndësishëm hartimi i një plani kombëtar për promovimin e barazisë gjinore në shkencë, teknologji dhe inovacion. </w:t>
      </w:r>
    </w:p>
    <w:p w14:paraId="0D0B5894" w14:textId="64D230A2" w:rsidR="007959B4" w:rsidRPr="00E266CD" w:rsidRDefault="007959B4" w:rsidP="005D7D16">
      <w:pPr>
        <w:pStyle w:val="TEKSTIIII"/>
        <w:rPr>
          <w:rFonts w:eastAsia="Times New Roman"/>
        </w:rPr>
      </w:pPr>
      <w:r w:rsidRPr="00E266CD">
        <w:rPr>
          <w:rFonts w:eastAsia="Times New Roman"/>
        </w:rPr>
        <w:t>Së fundmi, procesi i integrimit të Shqipërisë në Bashkimin Evropian, ka nxjerrë në pah detyrime lidhur me harmonizimin e kuadrit ligjor dhe rregullator shqiptar</w:t>
      </w:r>
      <w:r w:rsidR="00BF1D3E">
        <w:rPr>
          <w:rFonts w:eastAsia="Times New Roman"/>
        </w:rPr>
        <w:t>,</w:t>
      </w:r>
      <w:r w:rsidRPr="00E266CD">
        <w:rPr>
          <w:rFonts w:eastAsia="Times New Roman"/>
        </w:rPr>
        <w:t xml:space="preserve"> në përputhje me atë të Bashkimit Evropian. Gjatë vitit 2022 ka filluar puna analitike për vlerësimin e përputhshmërisë së kuadrit ligjor dhe nënligjor shqiptar</w:t>
      </w:r>
      <w:r w:rsidR="00BF1D3E">
        <w:rPr>
          <w:rFonts w:eastAsia="Times New Roman"/>
        </w:rPr>
        <w:t>,</w:t>
      </w:r>
      <w:r w:rsidRPr="00E266CD">
        <w:rPr>
          <w:rFonts w:eastAsia="Times New Roman"/>
        </w:rPr>
        <w:t xml:space="preserve"> në kuadër të </w:t>
      </w:r>
      <w:r w:rsidR="00B65BFD" w:rsidRPr="00E266CD">
        <w:rPr>
          <w:rFonts w:eastAsia="Times New Roman"/>
        </w:rPr>
        <w:t>k</w:t>
      </w:r>
      <w:r w:rsidRPr="00E266CD">
        <w:rPr>
          <w:rFonts w:eastAsia="Times New Roman"/>
        </w:rPr>
        <w:t>apitullit 25 të BE-së “Shkenca dhe kërkimi shkencor”. Në këtë aspekt, gjatë periudhës në të cilën shtrihet kjo strategji, do të mbetet në qendër të vëmendjes rishikimi i plotë i korpusit të akteve ligjore dhe kuadrit rregullator, përfshirë atë institucional për kërkimin shkencor, me qëllim plotësimin e detyrimeve që burojnë nga procesi i asociimit të BE</w:t>
      </w:r>
      <w:r w:rsidR="00BF1D3E">
        <w:rPr>
          <w:rFonts w:eastAsia="Times New Roman"/>
        </w:rPr>
        <w:t>-së,</w:t>
      </w:r>
      <w:r w:rsidRPr="00E266CD">
        <w:rPr>
          <w:rFonts w:eastAsia="Times New Roman"/>
        </w:rPr>
        <w:t xml:space="preserve"> lidhur me kapitullin 25 “Shkenca dhe kërkimi shkencor”.</w:t>
      </w:r>
    </w:p>
    <w:p w14:paraId="0751E695" w14:textId="77777777" w:rsidR="007959B4" w:rsidRPr="00E266CD" w:rsidRDefault="007959B4" w:rsidP="005D7D16">
      <w:pPr>
        <w:pStyle w:val="TEKSTIIII"/>
        <w:rPr>
          <w:b/>
        </w:rPr>
      </w:pPr>
      <w:bookmarkStart w:id="25" w:name="_Toc135703143"/>
      <w:r w:rsidRPr="00E266CD">
        <w:rPr>
          <w:b/>
        </w:rPr>
        <w:t>Rezultatet që pritet të arrihen përmes zbatimit të masave që lidhen me objektivin specifik.</w:t>
      </w:r>
      <w:bookmarkEnd w:id="25"/>
    </w:p>
    <w:p w14:paraId="6C079A2C" w14:textId="77777777" w:rsidR="007959B4" w:rsidRPr="00E266CD" w:rsidRDefault="007959B4" w:rsidP="005D7D16">
      <w:pPr>
        <w:pStyle w:val="TEKSTIIII"/>
        <w:rPr>
          <w:rFonts w:eastAsia="Times New Roman"/>
        </w:rPr>
      </w:pPr>
      <w:r w:rsidRPr="00E266CD">
        <w:rPr>
          <w:rFonts w:eastAsia="Times New Roman"/>
        </w:rPr>
        <w:t>Përmes zbatimit të masave të parashikuara në planin e veprimit synohen të arrihen rezultatet e mëposhtme:</w:t>
      </w:r>
    </w:p>
    <w:p w14:paraId="7AB28517" w14:textId="5C2DB5CC" w:rsidR="007959B4" w:rsidRPr="00E266CD" w:rsidRDefault="005D7D16" w:rsidP="005D7D16">
      <w:pPr>
        <w:pStyle w:val="TEKSTIIII"/>
        <w:rPr>
          <w:rFonts w:eastAsia="Times New Roman"/>
        </w:rPr>
      </w:pPr>
      <w:r w:rsidRPr="00E266CD">
        <w:rPr>
          <w:rFonts w:eastAsia="Times New Roman"/>
        </w:rPr>
        <w:t xml:space="preserve">a) </w:t>
      </w:r>
      <w:r w:rsidR="00C37F25" w:rsidRPr="00E266CD">
        <w:rPr>
          <w:rFonts w:eastAsia="Times New Roman"/>
        </w:rPr>
        <w:t xml:space="preserve">finalizimi </w:t>
      </w:r>
      <w:r w:rsidR="007959B4" w:rsidRPr="00E266CD">
        <w:rPr>
          <w:rFonts w:eastAsia="Times New Roman"/>
        </w:rPr>
        <w:t xml:space="preserve">dhe miratimi i ligjit “Për </w:t>
      </w:r>
      <w:r w:rsidR="007003CA" w:rsidRPr="00E266CD">
        <w:rPr>
          <w:rFonts w:eastAsia="Times New Roman"/>
        </w:rPr>
        <w:t>s</w:t>
      </w:r>
      <w:r w:rsidR="007959B4" w:rsidRPr="00E266CD">
        <w:rPr>
          <w:rFonts w:eastAsia="Times New Roman"/>
        </w:rPr>
        <w:t>hkencën në Republikën e Shqipërisë”</w:t>
      </w:r>
      <w:r w:rsidR="00B65BFD" w:rsidRPr="00E266CD">
        <w:rPr>
          <w:rFonts w:eastAsia="Times New Roman"/>
        </w:rPr>
        <w:t>;</w:t>
      </w:r>
    </w:p>
    <w:p w14:paraId="2DA8ADFB" w14:textId="2F90AACB" w:rsidR="007959B4" w:rsidRPr="00E266CD" w:rsidRDefault="005D7D16" w:rsidP="005D7D16">
      <w:pPr>
        <w:pStyle w:val="TEKSTIIII"/>
        <w:rPr>
          <w:rFonts w:eastAsia="Times New Roman"/>
        </w:rPr>
      </w:pPr>
      <w:r w:rsidRPr="00E266CD">
        <w:rPr>
          <w:rFonts w:eastAsia="Times New Roman"/>
        </w:rPr>
        <w:t xml:space="preserve">b) </w:t>
      </w:r>
      <w:r w:rsidR="00C37F25" w:rsidRPr="00E266CD">
        <w:rPr>
          <w:rFonts w:eastAsia="Times New Roman"/>
        </w:rPr>
        <w:t xml:space="preserve">hartimi </w:t>
      </w:r>
      <w:r w:rsidR="007959B4" w:rsidRPr="00E266CD">
        <w:rPr>
          <w:rFonts w:eastAsia="Times New Roman"/>
        </w:rPr>
        <w:t>i paketës së akteve nënligjore</w:t>
      </w:r>
      <w:r w:rsidR="00C37F25">
        <w:rPr>
          <w:rFonts w:eastAsia="Times New Roman"/>
        </w:rPr>
        <w:t>,</w:t>
      </w:r>
      <w:r w:rsidR="007959B4" w:rsidRPr="00E266CD">
        <w:rPr>
          <w:rFonts w:eastAsia="Times New Roman"/>
        </w:rPr>
        <w:t xml:space="preserve"> në zbatim të ligjit “Për </w:t>
      </w:r>
      <w:r w:rsidR="00C37F25">
        <w:rPr>
          <w:rFonts w:eastAsia="Times New Roman"/>
        </w:rPr>
        <w:t>s</w:t>
      </w:r>
      <w:r w:rsidR="007959B4" w:rsidRPr="00E266CD">
        <w:rPr>
          <w:rFonts w:eastAsia="Times New Roman"/>
        </w:rPr>
        <w:t>hkencën në Republikën e Shqipërisë”</w:t>
      </w:r>
      <w:r w:rsidR="00B65BFD" w:rsidRPr="00E266CD">
        <w:rPr>
          <w:rFonts w:eastAsia="Times New Roman"/>
        </w:rPr>
        <w:t>;</w:t>
      </w:r>
    </w:p>
    <w:p w14:paraId="3B273BF1" w14:textId="5EF4FC69" w:rsidR="007959B4" w:rsidRPr="00E266CD" w:rsidRDefault="005D7D16" w:rsidP="005D7D16">
      <w:pPr>
        <w:pStyle w:val="TEKSTIIII"/>
        <w:rPr>
          <w:rFonts w:eastAsia="Times New Roman"/>
        </w:rPr>
      </w:pPr>
      <w:r w:rsidRPr="00E266CD">
        <w:rPr>
          <w:rFonts w:eastAsia="Times New Roman"/>
        </w:rPr>
        <w:t xml:space="preserve">c) </w:t>
      </w:r>
      <w:r w:rsidR="00C37F25" w:rsidRPr="00E266CD">
        <w:rPr>
          <w:rFonts w:eastAsia="Times New Roman"/>
        </w:rPr>
        <w:t xml:space="preserve">zhvillimi </w:t>
      </w:r>
      <w:r w:rsidR="007959B4" w:rsidRPr="00E266CD">
        <w:rPr>
          <w:rFonts w:eastAsia="Times New Roman"/>
        </w:rPr>
        <w:t xml:space="preserve">i fushatave sensibilizuese për ligjin “Për </w:t>
      </w:r>
      <w:r w:rsidR="00C37F25">
        <w:rPr>
          <w:rFonts w:eastAsia="Times New Roman"/>
        </w:rPr>
        <w:t>s</w:t>
      </w:r>
      <w:r w:rsidR="007959B4" w:rsidRPr="00E266CD">
        <w:rPr>
          <w:rFonts w:eastAsia="Times New Roman"/>
        </w:rPr>
        <w:t>hkencën në Republikën e Shqipërisë</w:t>
      </w:r>
      <w:r w:rsidR="00B65BFD" w:rsidRPr="00E266CD">
        <w:rPr>
          <w:rFonts w:eastAsia="Times New Roman"/>
        </w:rPr>
        <w:t>”;</w:t>
      </w:r>
    </w:p>
    <w:p w14:paraId="6B336A82" w14:textId="42990FDD" w:rsidR="007959B4" w:rsidRPr="00E266CD" w:rsidRDefault="005D7D16" w:rsidP="005D7D16">
      <w:pPr>
        <w:pStyle w:val="TEKSTIIII"/>
        <w:rPr>
          <w:rFonts w:eastAsia="Times New Roman"/>
        </w:rPr>
      </w:pPr>
      <w:r w:rsidRPr="00E266CD">
        <w:rPr>
          <w:rFonts w:eastAsia="Times New Roman"/>
        </w:rPr>
        <w:t xml:space="preserve">d) </w:t>
      </w:r>
      <w:r w:rsidR="00C37F25" w:rsidRPr="00E266CD">
        <w:rPr>
          <w:rFonts w:eastAsia="Times New Roman"/>
        </w:rPr>
        <w:t xml:space="preserve">ngritja </w:t>
      </w:r>
      <w:r w:rsidR="007959B4" w:rsidRPr="00E266CD">
        <w:rPr>
          <w:rFonts w:eastAsia="Times New Roman"/>
        </w:rPr>
        <w:t>e Strukturës Kombëtare për Koordinimin e Politikave të Shkencës, Teknologjisë dhe Inovacionit</w:t>
      </w:r>
      <w:r w:rsidR="00B65BFD" w:rsidRPr="00E266CD">
        <w:rPr>
          <w:rFonts w:eastAsia="Times New Roman"/>
        </w:rPr>
        <w:t>;</w:t>
      </w:r>
    </w:p>
    <w:p w14:paraId="2E89F4E3" w14:textId="42FF22E3" w:rsidR="007959B4" w:rsidRPr="00E266CD" w:rsidRDefault="005D7D16" w:rsidP="005D7D16">
      <w:pPr>
        <w:pStyle w:val="TEKSTIIII"/>
        <w:rPr>
          <w:rFonts w:eastAsia="Times New Roman"/>
        </w:rPr>
      </w:pPr>
      <w:r w:rsidRPr="00E266CD">
        <w:rPr>
          <w:rFonts w:eastAsia="Times New Roman"/>
        </w:rPr>
        <w:t xml:space="preserve">e) </w:t>
      </w:r>
      <w:r w:rsidR="00C37F25" w:rsidRPr="00E266CD">
        <w:rPr>
          <w:rFonts w:eastAsia="Times New Roman"/>
        </w:rPr>
        <w:t xml:space="preserve">hartimi </w:t>
      </w:r>
      <w:r w:rsidR="007959B4" w:rsidRPr="00E266CD">
        <w:rPr>
          <w:rFonts w:eastAsia="Times New Roman"/>
        </w:rPr>
        <w:t>dhe miratimi i akteve nënligjore lidhur me Statusin e Kërkuesit Shkencor</w:t>
      </w:r>
      <w:r w:rsidR="00B65BFD" w:rsidRPr="00E266CD">
        <w:rPr>
          <w:rFonts w:eastAsia="Times New Roman"/>
        </w:rPr>
        <w:t>;</w:t>
      </w:r>
    </w:p>
    <w:p w14:paraId="7D848573" w14:textId="741DFE04" w:rsidR="007959B4" w:rsidRPr="00E266CD" w:rsidRDefault="005D7D16" w:rsidP="005D7D16">
      <w:pPr>
        <w:pStyle w:val="TEKSTIIII"/>
        <w:rPr>
          <w:rFonts w:eastAsia="Times New Roman"/>
        </w:rPr>
      </w:pPr>
      <w:r w:rsidRPr="00E266CD">
        <w:rPr>
          <w:rFonts w:eastAsia="Times New Roman"/>
        </w:rPr>
        <w:t xml:space="preserve">f) </w:t>
      </w:r>
      <w:r w:rsidR="00C37F25" w:rsidRPr="00E266CD">
        <w:rPr>
          <w:rFonts w:eastAsia="Times New Roman"/>
        </w:rPr>
        <w:t xml:space="preserve">hartimi </w:t>
      </w:r>
      <w:r w:rsidR="007959B4" w:rsidRPr="00E266CD">
        <w:rPr>
          <w:rFonts w:eastAsia="Times New Roman"/>
        </w:rPr>
        <w:t>dhe miratimi i Kodit të Etikës së Kërkuesit Shkencor</w:t>
      </w:r>
      <w:r w:rsidR="00B65BFD" w:rsidRPr="00E266CD">
        <w:rPr>
          <w:rFonts w:eastAsia="Times New Roman"/>
        </w:rPr>
        <w:t>;</w:t>
      </w:r>
    </w:p>
    <w:p w14:paraId="60007693" w14:textId="267FC6D7" w:rsidR="007959B4" w:rsidRPr="00E266CD" w:rsidRDefault="005D7D16" w:rsidP="005D7D16">
      <w:pPr>
        <w:pStyle w:val="TEKSTIIII"/>
        <w:rPr>
          <w:rFonts w:eastAsia="Times New Roman"/>
        </w:rPr>
      </w:pPr>
      <w:r w:rsidRPr="00E266CD">
        <w:rPr>
          <w:rFonts w:eastAsia="Times New Roman"/>
        </w:rPr>
        <w:t xml:space="preserve">g) </w:t>
      </w:r>
      <w:r w:rsidR="00C37F25" w:rsidRPr="00E266CD">
        <w:rPr>
          <w:rFonts w:eastAsia="Times New Roman"/>
        </w:rPr>
        <w:t xml:space="preserve">hartimi </w:t>
      </w:r>
      <w:r w:rsidR="007959B4" w:rsidRPr="00E266CD">
        <w:rPr>
          <w:rFonts w:eastAsia="Times New Roman"/>
        </w:rPr>
        <w:t>i kritereve dhe treguesve për vlerësimin e kërkimit shkencor dhe renditja e IAL-ve sipas performancës në kërkimin shkencor</w:t>
      </w:r>
      <w:r w:rsidR="00B65BFD" w:rsidRPr="00E266CD">
        <w:rPr>
          <w:rFonts w:eastAsia="Times New Roman"/>
        </w:rPr>
        <w:t>;</w:t>
      </w:r>
    </w:p>
    <w:p w14:paraId="0CD1D187" w14:textId="223A8FE4" w:rsidR="007959B4" w:rsidRPr="00E266CD" w:rsidRDefault="005D7D16" w:rsidP="005D7D16">
      <w:pPr>
        <w:pStyle w:val="TEKSTIIII"/>
        <w:rPr>
          <w:rFonts w:eastAsia="Times New Roman"/>
        </w:rPr>
      </w:pPr>
      <w:r w:rsidRPr="00E266CD">
        <w:rPr>
          <w:rFonts w:eastAsia="Times New Roman"/>
        </w:rPr>
        <w:t xml:space="preserve">h) </w:t>
      </w:r>
      <w:r w:rsidR="00C37F25" w:rsidRPr="00E266CD">
        <w:rPr>
          <w:rFonts w:eastAsia="Times New Roman"/>
        </w:rPr>
        <w:t xml:space="preserve">rishikimi </w:t>
      </w:r>
      <w:r w:rsidR="007959B4" w:rsidRPr="00E266CD">
        <w:rPr>
          <w:rFonts w:eastAsia="Times New Roman"/>
        </w:rPr>
        <w:t>i akteve ligjore dhe kuadër të kapitullit 25 të BE</w:t>
      </w:r>
      <w:r w:rsidR="00C37F25">
        <w:rPr>
          <w:rFonts w:eastAsia="Times New Roman"/>
        </w:rPr>
        <w:t>-së</w:t>
      </w:r>
      <w:r w:rsidR="007959B4" w:rsidRPr="00E266CD">
        <w:rPr>
          <w:rFonts w:eastAsia="Times New Roman"/>
        </w:rPr>
        <w:t xml:space="preserve"> “Shkenca dhe Kërkimi shkencor”</w:t>
      </w:r>
      <w:r w:rsidR="00B65BFD" w:rsidRPr="00E266CD">
        <w:rPr>
          <w:rFonts w:eastAsia="Times New Roman"/>
        </w:rPr>
        <w:t>;</w:t>
      </w:r>
    </w:p>
    <w:p w14:paraId="685FDFA3" w14:textId="4BA2A797" w:rsidR="007959B4" w:rsidRPr="00E266CD" w:rsidRDefault="005D7D16" w:rsidP="005D7D16">
      <w:pPr>
        <w:pStyle w:val="TEKSTIIII"/>
        <w:rPr>
          <w:rFonts w:eastAsia="Times New Roman"/>
        </w:rPr>
      </w:pPr>
      <w:r w:rsidRPr="00E266CD">
        <w:rPr>
          <w:rFonts w:eastAsia="Times New Roman"/>
        </w:rPr>
        <w:t xml:space="preserve">i) </w:t>
      </w:r>
      <w:r w:rsidR="00C37F25">
        <w:rPr>
          <w:rFonts w:eastAsia="Times New Roman"/>
        </w:rPr>
        <w:t>r</w:t>
      </w:r>
      <w:r w:rsidR="007959B4" w:rsidRPr="00E266CD">
        <w:rPr>
          <w:rFonts w:eastAsia="Times New Roman"/>
        </w:rPr>
        <w:t>ishikimi i kuadrit rregullator</w:t>
      </w:r>
      <w:r w:rsidR="00C37F25">
        <w:rPr>
          <w:rFonts w:eastAsia="Times New Roman"/>
        </w:rPr>
        <w:t>,</w:t>
      </w:r>
      <w:r w:rsidR="007959B4" w:rsidRPr="00E266CD">
        <w:rPr>
          <w:rFonts w:eastAsia="Times New Roman"/>
        </w:rPr>
        <w:t xml:space="preserve"> përfshirë atë institucional</w:t>
      </w:r>
      <w:r w:rsidR="00C37F25">
        <w:rPr>
          <w:rFonts w:eastAsia="Times New Roman"/>
        </w:rPr>
        <w:t>,</w:t>
      </w:r>
      <w:r w:rsidR="007959B4" w:rsidRPr="00E266CD">
        <w:rPr>
          <w:rFonts w:eastAsia="Times New Roman"/>
        </w:rPr>
        <w:t xml:space="preserve"> për kërkimin shkencor në kuadër detyrimeve që burojnë nga procesi i asociimi</w:t>
      </w:r>
      <w:r w:rsidR="007715D0" w:rsidRPr="00E266CD">
        <w:rPr>
          <w:rFonts w:eastAsia="Times New Roman"/>
        </w:rPr>
        <w:t xml:space="preserve"> </w:t>
      </w:r>
      <w:r w:rsidR="007959B4" w:rsidRPr="00E266CD">
        <w:rPr>
          <w:rFonts w:eastAsia="Times New Roman"/>
        </w:rPr>
        <w:t>në BE, lidhur me kapitullin 25 të BE</w:t>
      </w:r>
      <w:r w:rsidR="007003CA" w:rsidRPr="00E266CD">
        <w:rPr>
          <w:rFonts w:eastAsia="Times New Roman"/>
        </w:rPr>
        <w:t>-së</w:t>
      </w:r>
      <w:r w:rsidR="007959B4" w:rsidRPr="00E266CD">
        <w:rPr>
          <w:rFonts w:eastAsia="Times New Roman"/>
        </w:rPr>
        <w:t xml:space="preserve"> “Shkenca dhe </w:t>
      </w:r>
      <w:r w:rsidR="00C37F25">
        <w:rPr>
          <w:rFonts w:eastAsia="Times New Roman"/>
        </w:rPr>
        <w:t>k</w:t>
      </w:r>
      <w:r w:rsidR="007959B4" w:rsidRPr="00E266CD">
        <w:rPr>
          <w:rFonts w:eastAsia="Times New Roman"/>
        </w:rPr>
        <w:t>ërkimi shkencor”</w:t>
      </w:r>
      <w:r w:rsidR="00B65BFD" w:rsidRPr="00E266CD">
        <w:rPr>
          <w:rFonts w:eastAsia="Times New Roman"/>
        </w:rPr>
        <w:t>;</w:t>
      </w:r>
    </w:p>
    <w:p w14:paraId="411367E0" w14:textId="5CF8C99B" w:rsidR="007959B4" w:rsidRPr="00E266CD" w:rsidRDefault="005D7D16" w:rsidP="005D7D16">
      <w:pPr>
        <w:pStyle w:val="TEKSTIIII"/>
        <w:rPr>
          <w:rFonts w:eastAsia="Times New Roman"/>
        </w:rPr>
      </w:pPr>
      <w:r w:rsidRPr="00E266CD">
        <w:rPr>
          <w:rFonts w:eastAsia="Times New Roman"/>
        </w:rPr>
        <w:t xml:space="preserve">j) </w:t>
      </w:r>
      <w:r w:rsidR="00C37F25">
        <w:rPr>
          <w:rFonts w:eastAsia="Times New Roman"/>
        </w:rPr>
        <w:t>h</w:t>
      </w:r>
      <w:r w:rsidR="007959B4" w:rsidRPr="00E266CD">
        <w:rPr>
          <w:rFonts w:eastAsia="Times New Roman"/>
        </w:rPr>
        <w:t>artimi dhe miratimi i rregullores për krijimin e regjistrit kombëtar të revistave dhe periodikëve shkencor</w:t>
      </w:r>
      <w:r w:rsidR="00C37F25">
        <w:rPr>
          <w:rFonts w:eastAsia="Times New Roman"/>
        </w:rPr>
        <w:t>ë</w:t>
      </w:r>
      <w:r w:rsidR="00B65BFD" w:rsidRPr="00E266CD">
        <w:rPr>
          <w:rFonts w:eastAsia="Times New Roman"/>
        </w:rPr>
        <w:t>;</w:t>
      </w:r>
    </w:p>
    <w:p w14:paraId="2084D94A" w14:textId="59FD3B27" w:rsidR="007959B4" w:rsidRPr="00E266CD" w:rsidRDefault="005D7D16" w:rsidP="005D7D16">
      <w:pPr>
        <w:pStyle w:val="TEKSTIIII"/>
        <w:rPr>
          <w:rFonts w:eastAsia="Times New Roman"/>
        </w:rPr>
      </w:pPr>
      <w:r w:rsidRPr="00E266CD">
        <w:rPr>
          <w:rFonts w:eastAsia="Times New Roman"/>
        </w:rPr>
        <w:t xml:space="preserve">k) </w:t>
      </w:r>
      <w:r w:rsidR="00C37F25">
        <w:rPr>
          <w:rFonts w:eastAsia="Times New Roman"/>
        </w:rPr>
        <w:t>h</w:t>
      </w:r>
      <w:r w:rsidR="007959B4" w:rsidRPr="00E266CD">
        <w:rPr>
          <w:rFonts w:eastAsia="Times New Roman"/>
        </w:rPr>
        <w:t>artimi dhe miratimi i planit kombëtar për promovimin e barazisë gjinore në shkencë, teknologji dhe inovacion.</w:t>
      </w:r>
    </w:p>
    <w:p w14:paraId="2390A85A" w14:textId="652CB613" w:rsidR="007959B4" w:rsidRPr="00D52E02" w:rsidRDefault="007959B4" w:rsidP="00FB2370">
      <w:pPr>
        <w:pStyle w:val="TEKSTIIII"/>
      </w:pPr>
      <w:bookmarkStart w:id="26" w:name="_Toc135703144"/>
      <w:r w:rsidRPr="00D52E02">
        <w:t xml:space="preserve">Institucionet </w:t>
      </w:r>
      <w:r w:rsidR="00C37F25" w:rsidRPr="00D52E02">
        <w:t>d</w:t>
      </w:r>
      <w:r w:rsidRPr="00D52E02">
        <w:t>rejtuese</w:t>
      </w:r>
      <w:bookmarkEnd w:id="26"/>
      <w:r w:rsidR="00D52E02">
        <w:t>:</w:t>
      </w:r>
    </w:p>
    <w:p w14:paraId="6AAE3AFC" w14:textId="1E220089" w:rsidR="007959B4" w:rsidRPr="00E266CD" w:rsidRDefault="007959B4" w:rsidP="009A203C">
      <w:pPr>
        <w:pStyle w:val="TEKSTIIII"/>
        <w:rPr>
          <w:rFonts w:eastAsia="Times New Roman"/>
        </w:rPr>
      </w:pPr>
      <w:r w:rsidRPr="00E266CD">
        <w:rPr>
          <w:rFonts w:eastAsia="Times New Roman"/>
        </w:rPr>
        <w:t>Ministria e Arsimit dhe Sportit dhe AKKSHI</w:t>
      </w:r>
      <w:r w:rsidR="00C37F25">
        <w:rPr>
          <w:rFonts w:eastAsia="Times New Roman"/>
        </w:rPr>
        <w:t>,</w:t>
      </w:r>
      <w:r w:rsidRPr="00E266CD">
        <w:rPr>
          <w:rFonts w:eastAsia="Times New Roman"/>
        </w:rPr>
        <w:t xml:space="preserve"> që është një institucion në varësi të MAS</w:t>
      </w:r>
      <w:r w:rsidR="00C37F25">
        <w:rPr>
          <w:rFonts w:eastAsia="Times New Roman"/>
        </w:rPr>
        <w:t>-it</w:t>
      </w:r>
      <w:r w:rsidRPr="00E266CD" w:rsidDel="00712847">
        <w:rPr>
          <w:rFonts w:eastAsia="Times New Roman"/>
        </w:rPr>
        <w:t xml:space="preserve"> </w:t>
      </w:r>
      <w:r w:rsidRPr="00E266CD">
        <w:rPr>
          <w:rFonts w:eastAsia="Times New Roman"/>
        </w:rPr>
        <w:t>me programet buxhetore 09450, Arsimi Universitar, 09770, Fonde për Shkencën dhe 0110, Planifikim, Menaxhim dhe Administrimi, AKSHI</w:t>
      </w:r>
    </w:p>
    <w:p w14:paraId="3919D0CE" w14:textId="7F51F6CD" w:rsidR="007959B4" w:rsidRPr="00D52E02" w:rsidRDefault="007959B4" w:rsidP="00FB2370">
      <w:pPr>
        <w:pStyle w:val="Heading2"/>
        <w:shd w:val="clear" w:color="auto" w:fill="D9D9D9"/>
        <w:spacing w:before="0"/>
        <w:ind w:firstLine="284"/>
        <w:rPr>
          <w:rFonts w:ascii="Garamond" w:hAnsi="Garamond"/>
          <w:b w:val="0"/>
          <w:color w:val="000000"/>
          <w:sz w:val="24"/>
          <w:szCs w:val="24"/>
        </w:rPr>
      </w:pPr>
      <w:bookmarkStart w:id="27" w:name="_Toc135703145"/>
      <w:r w:rsidRPr="00D52E02">
        <w:rPr>
          <w:rFonts w:ascii="Garamond" w:hAnsi="Garamond"/>
          <w:b w:val="0"/>
          <w:color w:val="000000"/>
          <w:sz w:val="24"/>
          <w:szCs w:val="24"/>
        </w:rPr>
        <w:t xml:space="preserve">Institucionet </w:t>
      </w:r>
      <w:r w:rsidR="009A203C" w:rsidRPr="00D52E02">
        <w:rPr>
          <w:rFonts w:ascii="Garamond" w:hAnsi="Garamond"/>
          <w:b w:val="0"/>
          <w:color w:val="000000"/>
          <w:sz w:val="24"/>
          <w:szCs w:val="24"/>
        </w:rPr>
        <w:t>pjesëmarrës</w:t>
      </w:r>
      <w:bookmarkEnd w:id="27"/>
      <w:r w:rsidR="00D52E02" w:rsidRPr="00D52E02">
        <w:rPr>
          <w:rFonts w:ascii="Garamond" w:hAnsi="Garamond"/>
          <w:b w:val="0"/>
          <w:color w:val="000000"/>
          <w:sz w:val="24"/>
          <w:szCs w:val="24"/>
        </w:rPr>
        <w:t>e</w:t>
      </w:r>
      <w:r w:rsidR="00D52E02">
        <w:rPr>
          <w:rFonts w:ascii="Garamond" w:hAnsi="Garamond"/>
          <w:b w:val="0"/>
          <w:color w:val="000000"/>
          <w:sz w:val="24"/>
          <w:szCs w:val="24"/>
        </w:rPr>
        <w:t>:</w:t>
      </w:r>
    </w:p>
    <w:p w14:paraId="2E6C40F5" w14:textId="29FD29CA" w:rsidR="007959B4" w:rsidRPr="00E266CD" w:rsidRDefault="007959B4" w:rsidP="00FB2370">
      <w:pPr>
        <w:ind w:firstLine="284"/>
        <w:rPr>
          <w:rFonts w:ascii="Garamond" w:eastAsia="Times New Roman" w:hAnsi="Garamond"/>
          <w:sz w:val="24"/>
          <w:szCs w:val="24"/>
        </w:rPr>
      </w:pPr>
      <w:bookmarkStart w:id="28" w:name="_heading=h.3as4poj" w:colFirst="0" w:colLast="0"/>
      <w:bookmarkEnd w:id="28"/>
      <w:r w:rsidRPr="00E266CD">
        <w:rPr>
          <w:rFonts w:ascii="Garamond" w:eastAsia="Times New Roman" w:hAnsi="Garamond"/>
          <w:sz w:val="24"/>
          <w:szCs w:val="24"/>
        </w:rPr>
        <w:t>AKKSHI, IAL, ASCAL</w:t>
      </w:r>
      <w:r w:rsidR="00C37F25">
        <w:rPr>
          <w:rFonts w:ascii="Garamond" w:eastAsia="Times New Roman" w:hAnsi="Garamond"/>
          <w:sz w:val="24"/>
          <w:szCs w:val="24"/>
        </w:rPr>
        <w:t>,</w:t>
      </w:r>
      <w:r w:rsidRPr="00E266CD">
        <w:rPr>
          <w:rFonts w:ascii="Garamond" w:eastAsia="Times New Roman" w:hAnsi="Garamond"/>
          <w:sz w:val="24"/>
          <w:szCs w:val="24"/>
        </w:rPr>
        <w:t xml:space="preserve"> RASH, ASHSH, ML, AKSHI</w:t>
      </w:r>
    </w:p>
    <w:p w14:paraId="0A04D3D8" w14:textId="197B4C2F" w:rsidR="007959B4" w:rsidRPr="009A203C" w:rsidRDefault="007959B4" w:rsidP="00FB2370">
      <w:pPr>
        <w:pStyle w:val="Heading2"/>
        <w:shd w:val="clear" w:color="auto" w:fill="D9D9D9"/>
        <w:spacing w:before="0"/>
        <w:ind w:firstLine="284"/>
        <w:rPr>
          <w:rFonts w:ascii="Garamond" w:hAnsi="Garamond"/>
          <w:color w:val="000000"/>
          <w:sz w:val="24"/>
          <w:szCs w:val="24"/>
        </w:rPr>
      </w:pPr>
      <w:bookmarkStart w:id="29" w:name="_Toc135703146"/>
      <w:r w:rsidRPr="009A203C">
        <w:rPr>
          <w:rFonts w:ascii="Garamond" w:hAnsi="Garamond"/>
          <w:color w:val="000000"/>
          <w:sz w:val="24"/>
          <w:szCs w:val="24"/>
        </w:rPr>
        <w:t>Lidhja e objektivit specifik me nënkapitullin përkatës të BE-së sipas MSA-së</w:t>
      </w:r>
      <w:bookmarkEnd w:id="29"/>
    </w:p>
    <w:p w14:paraId="763FBAF7" w14:textId="3E86B10B" w:rsidR="007959B4" w:rsidRPr="00E266CD" w:rsidRDefault="007959B4" w:rsidP="00FB2370">
      <w:pPr>
        <w:ind w:firstLine="284"/>
        <w:rPr>
          <w:rFonts w:ascii="Garamond" w:eastAsia="Times New Roman" w:hAnsi="Garamond"/>
          <w:sz w:val="24"/>
          <w:szCs w:val="24"/>
        </w:rPr>
      </w:pPr>
      <w:r w:rsidRPr="00E266CD">
        <w:rPr>
          <w:rFonts w:ascii="Garamond" w:eastAsia="Times New Roman" w:hAnsi="Garamond"/>
          <w:sz w:val="24"/>
          <w:szCs w:val="24"/>
        </w:rPr>
        <w:t xml:space="preserve">Objektivi specifik 1.1 synon të reflektojë standardet e parashikuara në </w:t>
      </w:r>
      <w:r w:rsidR="007003CA" w:rsidRPr="009A203C">
        <w:rPr>
          <w:rFonts w:ascii="Garamond" w:eastAsia="Times New Roman" w:hAnsi="Garamond"/>
          <w:sz w:val="24"/>
          <w:szCs w:val="24"/>
        </w:rPr>
        <w:t>k</w:t>
      </w:r>
      <w:r w:rsidRPr="009A203C">
        <w:rPr>
          <w:rFonts w:ascii="Garamond" w:eastAsia="Times New Roman" w:hAnsi="Garamond"/>
          <w:sz w:val="24"/>
          <w:szCs w:val="24"/>
        </w:rPr>
        <w:t xml:space="preserve">apitullin 25 “Shkenca dhe </w:t>
      </w:r>
      <w:r w:rsidR="00C37F25" w:rsidRPr="009A203C">
        <w:rPr>
          <w:rFonts w:ascii="Garamond" w:eastAsia="Times New Roman" w:hAnsi="Garamond"/>
          <w:sz w:val="24"/>
          <w:szCs w:val="24"/>
        </w:rPr>
        <w:t>k</w:t>
      </w:r>
      <w:r w:rsidRPr="009A203C">
        <w:rPr>
          <w:rFonts w:ascii="Garamond" w:eastAsia="Times New Roman" w:hAnsi="Garamond"/>
          <w:sz w:val="24"/>
          <w:szCs w:val="24"/>
        </w:rPr>
        <w:t xml:space="preserve">ërkimi shkencor”, si dhe lidhet drejtpërdrejtë me rritjen e kapaciteteve institucionale për të udhëhequr procesin e përafrimit të legjislacionit me </w:t>
      </w:r>
      <w:r w:rsidRPr="009A203C">
        <w:rPr>
          <w:rFonts w:ascii="Garamond" w:eastAsia="Times New Roman" w:hAnsi="Garamond"/>
          <w:i/>
          <w:sz w:val="24"/>
          <w:szCs w:val="24"/>
        </w:rPr>
        <w:t>acquis</w:t>
      </w:r>
      <w:r w:rsidRPr="009A203C">
        <w:rPr>
          <w:rFonts w:ascii="Garamond" w:eastAsia="Times New Roman" w:hAnsi="Garamond"/>
          <w:sz w:val="24"/>
          <w:szCs w:val="24"/>
        </w:rPr>
        <w:t xml:space="preserve"> </w:t>
      </w:r>
      <w:r w:rsidR="00C37F25" w:rsidRPr="009A203C">
        <w:rPr>
          <w:rFonts w:ascii="Garamond" w:eastAsia="Times New Roman" w:hAnsi="Garamond"/>
          <w:sz w:val="24"/>
          <w:szCs w:val="24"/>
        </w:rPr>
        <w:t>të</w:t>
      </w:r>
      <w:r w:rsidRPr="009A203C">
        <w:rPr>
          <w:rFonts w:ascii="Garamond" w:eastAsia="Times New Roman" w:hAnsi="Garamond"/>
          <w:sz w:val="24"/>
          <w:szCs w:val="24"/>
        </w:rPr>
        <w:t xml:space="preserve"> BE</w:t>
      </w:r>
      <w:r w:rsidR="00C37F25" w:rsidRPr="009A203C">
        <w:rPr>
          <w:rFonts w:ascii="Garamond" w:eastAsia="Times New Roman" w:hAnsi="Garamond"/>
          <w:sz w:val="24"/>
          <w:szCs w:val="24"/>
        </w:rPr>
        <w:t>-së</w:t>
      </w:r>
      <w:r w:rsidRPr="009A203C">
        <w:rPr>
          <w:rFonts w:ascii="Garamond" w:eastAsia="Times New Roman" w:hAnsi="Garamond"/>
          <w:sz w:val="24"/>
          <w:szCs w:val="24"/>
        </w:rPr>
        <w:t xml:space="preserve"> për këtë kapitull. Detyrimi i Shqipërisë për të ndërmarrë iniciativa</w:t>
      </w:r>
      <w:r w:rsidRPr="00E266CD">
        <w:rPr>
          <w:rFonts w:ascii="Garamond" w:eastAsia="Times New Roman" w:hAnsi="Garamond"/>
          <w:sz w:val="24"/>
          <w:szCs w:val="24"/>
        </w:rPr>
        <w:t xml:space="preserve"> politike, ligjore, institucionale dhe financiare në kapitullin 25, në mbështetje të konsolidimit të sistemit të kërkimit, rrjedh nga neni 109 i Marrëveshjes së Stabilizim-Asocimit (MSA), i cili përcakton shtyllat e bashkëpunimit ndërmjet Shqipërisë dhe Bashkimit Evropian në fushën e kërkimit shkencor dhe zhvillimit teknologjik (</w:t>
      </w:r>
      <w:r w:rsidR="007003CA" w:rsidRPr="00E266CD">
        <w:rPr>
          <w:rFonts w:ascii="Garamond" w:eastAsia="Times New Roman" w:hAnsi="Garamond"/>
          <w:sz w:val="24"/>
          <w:szCs w:val="24"/>
        </w:rPr>
        <w:t>t</w:t>
      </w:r>
      <w:r w:rsidRPr="00E266CD">
        <w:rPr>
          <w:rFonts w:ascii="Garamond" w:eastAsia="Times New Roman" w:hAnsi="Garamond"/>
          <w:sz w:val="24"/>
          <w:szCs w:val="24"/>
        </w:rPr>
        <w:t xml:space="preserve">itulli VIII - </w:t>
      </w:r>
      <w:r w:rsidR="00C37F25" w:rsidRPr="00E266CD">
        <w:rPr>
          <w:rFonts w:ascii="Garamond" w:eastAsia="Times New Roman" w:hAnsi="Garamond"/>
          <w:sz w:val="24"/>
          <w:szCs w:val="24"/>
        </w:rPr>
        <w:t>politikat e bashkëpunimit/bashkëpunimit për kërkimin dhe zhvillimin teknologjik</w:t>
      </w:r>
      <w:r w:rsidRPr="00E266CD">
        <w:rPr>
          <w:rFonts w:ascii="Garamond" w:eastAsia="Times New Roman" w:hAnsi="Garamond"/>
          <w:sz w:val="24"/>
          <w:szCs w:val="24"/>
        </w:rPr>
        <w:t>)</w:t>
      </w:r>
    </w:p>
    <w:p w14:paraId="05F48A19" w14:textId="77777777" w:rsidR="00FB2370" w:rsidRPr="00E266CD" w:rsidRDefault="00FB2370" w:rsidP="00FB2370">
      <w:pPr>
        <w:pStyle w:val="TEKSTIIII"/>
      </w:pPr>
      <w:bookmarkStart w:id="30" w:name="_Toc135703147"/>
    </w:p>
    <w:p w14:paraId="0E6E3DAD" w14:textId="7C33F98C" w:rsidR="007959B4" w:rsidRPr="00E266CD" w:rsidRDefault="007959B4" w:rsidP="00B65BFD">
      <w:pPr>
        <w:pStyle w:val="TEKSTIIII"/>
        <w:rPr>
          <w:b/>
        </w:rPr>
      </w:pPr>
      <w:r w:rsidRPr="00E266CD">
        <w:rPr>
          <w:b/>
        </w:rPr>
        <w:t xml:space="preserve">Lista e masave për arritjen e </w:t>
      </w:r>
      <w:r w:rsidR="00C37F25" w:rsidRPr="00E266CD">
        <w:rPr>
          <w:b/>
        </w:rPr>
        <w:t xml:space="preserve">objektivit specifik </w:t>
      </w:r>
      <w:r w:rsidRPr="00E266CD">
        <w:rPr>
          <w:b/>
        </w:rPr>
        <w:t>1.1</w:t>
      </w:r>
      <w:bookmarkEnd w:id="30"/>
      <w:r w:rsidR="007171BF">
        <w:rPr>
          <w:b/>
        </w:rPr>
        <w:t>:</w:t>
      </w:r>
    </w:p>
    <w:tbl>
      <w:tblPr>
        <w:tblStyle w:val="23"/>
        <w:tblW w:w="5000" w:type="pct"/>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ook w:val="04A0" w:firstRow="1" w:lastRow="0" w:firstColumn="1" w:lastColumn="0" w:noHBand="0" w:noVBand="1"/>
      </w:tblPr>
      <w:tblGrid>
        <w:gridCol w:w="779"/>
        <w:gridCol w:w="8282"/>
      </w:tblGrid>
      <w:tr w:rsidR="007959B4" w:rsidRPr="00E266CD" w14:paraId="6DDBD36A" w14:textId="77777777" w:rsidTr="007003CA">
        <w:trPr>
          <w:cnfStyle w:val="100000000000" w:firstRow="1" w:lastRow="0" w:firstColumn="0" w:lastColumn="0" w:oddVBand="0" w:evenVBand="0" w:oddHBand="0"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368" w:type="pct"/>
          </w:tcPr>
          <w:p w14:paraId="3640CB1F" w14:textId="77777777" w:rsidR="007959B4" w:rsidRPr="00E266CD" w:rsidRDefault="007959B4" w:rsidP="00FB2370">
            <w:pPr>
              <w:rPr>
                <w:rFonts w:ascii="Garamond" w:eastAsia="Times New Roman" w:hAnsi="Garamond"/>
                <w:sz w:val="20"/>
              </w:rPr>
            </w:pPr>
          </w:p>
        </w:tc>
        <w:tc>
          <w:tcPr>
            <w:tcW w:w="4632" w:type="pct"/>
          </w:tcPr>
          <w:p w14:paraId="6EBD43B8" w14:textId="31E9CA8C" w:rsidR="007959B4" w:rsidRPr="00E266CD" w:rsidRDefault="007959B4" w:rsidP="00FB2370">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C37F25">
              <w:rPr>
                <w:rFonts w:ascii="Garamond" w:eastAsia="Times New Roman" w:hAnsi="Garamond"/>
                <w:sz w:val="20"/>
              </w:rPr>
              <w:t>i</w:t>
            </w:r>
            <w:r w:rsidRPr="00E266CD">
              <w:rPr>
                <w:rFonts w:ascii="Garamond" w:eastAsia="Times New Roman" w:hAnsi="Garamond"/>
                <w:sz w:val="20"/>
              </w:rPr>
              <w:t xml:space="preserve"> </w:t>
            </w:r>
            <w:r w:rsidR="00C37F25">
              <w:rPr>
                <w:rFonts w:ascii="Garamond" w:eastAsia="Times New Roman" w:hAnsi="Garamond"/>
                <w:sz w:val="20"/>
              </w:rPr>
              <w:t>s</w:t>
            </w:r>
            <w:r w:rsidRPr="00E266CD">
              <w:rPr>
                <w:rFonts w:ascii="Garamond" w:eastAsia="Times New Roman" w:hAnsi="Garamond"/>
                <w:sz w:val="20"/>
              </w:rPr>
              <w:t>pecifik 1.1</w:t>
            </w:r>
            <w:r w:rsidR="00C37F25">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Plotësimi dhe zbatimi i kuadrit ligjor dhe rregullator për të garantuar cilësinë, etikën dhe efektivitetin në zhvillimin dhe aplikimin e kërkimit në përputhje me fushat prioritare</w:t>
            </w:r>
          </w:p>
        </w:tc>
      </w:tr>
      <w:tr w:rsidR="007959B4" w:rsidRPr="00E266CD" w14:paraId="4C78DA5C" w14:textId="77777777" w:rsidTr="007003C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68" w:type="pct"/>
          </w:tcPr>
          <w:p w14:paraId="254A872A" w14:textId="77777777" w:rsidR="007959B4" w:rsidRPr="00E266CD" w:rsidRDefault="007959B4" w:rsidP="00FB2370">
            <w:pPr>
              <w:rPr>
                <w:rFonts w:ascii="Garamond" w:eastAsia="Times New Roman" w:hAnsi="Garamond"/>
                <w:sz w:val="20"/>
              </w:rPr>
            </w:pPr>
            <w:r w:rsidRPr="00E266CD">
              <w:rPr>
                <w:rFonts w:ascii="Garamond" w:eastAsia="Times New Roman" w:hAnsi="Garamond"/>
                <w:color w:val="000000"/>
                <w:sz w:val="20"/>
              </w:rPr>
              <w:t> </w:t>
            </w:r>
          </w:p>
        </w:tc>
        <w:tc>
          <w:tcPr>
            <w:tcW w:w="4632" w:type="pct"/>
          </w:tcPr>
          <w:p w14:paraId="37302143" w14:textId="77777777"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593F0F0C" w14:textId="77777777" w:rsidTr="007003CA">
        <w:trPr>
          <w:trHeight w:val="422"/>
        </w:trPr>
        <w:tc>
          <w:tcPr>
            <w:cnfStyle w:val="001000000000" w:firstRow="0" w:lastRow="0" w:firstColumn="1" w:lastColumn="0" w:oddVBand="0" w:evenVBand="0" w:oddHBand="0" w:evenHBand="0" w:firstRowFirstColumn="0" w:firstRowLastColumn="0" w:lastRowFirstColumn="0" w:lastRowLastColumn="0"/>
            <w:tcW w:w="368" w:type="pct"/>
            <w:tcBorders>
              <w:left w:val="nil"/>
            </w:tcBorders>
          </w:tcPr>
          <w:p w14:paraId="535DDF27"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1.1.1</w:t>
            </w:r>
          </w:p>
        </w:tc>
        <w:tc>
          <w:tcPr>
            <w:tcW w:w="4632" w:type="pct"/>
          </w:tcPr>
          <w:p w14:paraId="5346ABF1" w14:textId="7CD118A1"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 xml:space="preserve">Miratimi i ligjit të ri “Për </w:t>
            </w:r>
            <w:r w:rsidR="007003CA" w:rsidRPr="00E266CD">
              <w:rPr>
                <w:rFonts w:ascii="Garamond" w:eastAsia="Times New Roman" w:hAnsi="Garamond"/>
                <w:sz w:val="20"/>
              </w:rPr>
              <w:t>s</w:t>
            </w:r>
            <w:r w:rsidRPr="00E266CD">
              <w:rPr>
                <w:rFonts w:ascii="Garamond" w:eastAsia="Times New Roman" w:hAnsi="Garamond"/>
                <w:sz w:val="20"/>
              </w:rPr>
              <w:t>hkencën në Republikën e Shqipërisë”.</w:t>
            </w:r>
          </w:p>
        </w:tc>
      </w:tr>
      <w:tr w:rsidR="007959B4" w:rsidRPr="00E266CD" w14:paraId="3F1C17AF" w14:textId="77777777" w:rsidTr="007003CA">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368" w:type="pct"/>
            <w:tcBorders>
              <w:left w:val="nil"/>
            </w:tcBorders>
          </w:tcPr>
          <w:p w14:paraId="633118AC"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1.1.2</w:t>
            </w:r>
          </w:p>
        </w:tc>
        <w:tc>
          <w:tcPr>
            <w:tcW w:w="4632" w:type="pct"/>
          </w:tcPr>
          <w:p w14:paraId="6D8C6C1A" w14:textId="7E188EAD"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Miratimi i paketës së akteve nënligjore në zbatim të </w:t>
            </w:r>
            <w:r w:rsidR="00C37F25">
              <w:rPr>
                <w:rFonts w:ascii="Garamond" w:eastAsia="Times New Roman" w:hAnsi="Garamond"/>
                <w:sz w:val="20"/>
              </w:rPr>
              <w:t>l</w:t>
            </w:r>
            <w:r w:rsidRPr="00E266CD">
              <w:rPr>
                <w:rFonts w:ascii="Garamond" w:eastAsia="Times New Roman" w:hAnsi="Garamond"/>
                <w:sz w:val="20"/>
              </w:rPr>
              <w:t>igjit të ri</w:t>
            </w:r>
            <w:r w:rsidR="00C37F25">
              <w:rPr>
                <w:rFonts w:ascii="Garamond" w:eastAsia="Times New Roman" w:hAnsi="Garamond"/>
                <w:sz w:val="20"/>
              </w:rPr>
              <w:t>,</w:t>
            </w:r>
            <w:r w:rsidRPr="00E266CD">
              <w:rPr>
                <w:rFonts w:ascii="Garamond" w:eastAsia="Times New Roman" w:hAnsi="Garamond"/>
                <w:sz w:val="20"/>
              </w:rPr>
              <w:t xml:space="preserve"> “Për</w:t>
            </w:r>
            <w:r w:rsidR="007715D0" w:rsidRPr="00E266CD">
              <w:rPr>
                <w:rFonts w:ascii="Garamond" w:eastAsia="Times New Roman" w:hAnsi="Garamond"/>
                <w:sz w:val="20"/>
              </w:rPr>
              <w:t xml:space="preserve"> </w:t>
            </w:r>
            <w:r w:rsidR="00C37F25">
              <w:rPr>
                <w:rFonts w:ascii="Garamond" w:eastAsia="Times New Roman" w:hAnsi="Garamond"/>
                <w:sz w:val="20"/>
              </w:rPr>
              <w:t>s</w:t>
            </w:r>
            <w:r w:rsidRPr="00E266CD">
              <w:rPr>
                <w:rFonts w:ascii="Garamond" w:eastAsia="Times New Roman" w:hAnsi="Garamond"/>
                <w:sz w:val="20"/>
              </w:rPr>
              <w:t>hkencën në Republikën e Shqipërisë”.</w:t>
            </w:r>
          </w:p>
        </w:tc>
      </w:tr>
      <w:tr w:rsidR="007959B4" w:rsidRPr="00E266CD" w14:paraId="35BCBCA8" w14:textId="77777777" w:rsidTr="007003CA">
        <w:trPr>
          <w:trHeight w:val="411"/>
        </w:trPr>
        <w:tc>
          <w:tcPr>
            <w:cnfStyle w:val="001000000000" w:firstRow="0" w:lastRow="0" w:firstColumn="1" w:lastColumn="0" w:oddVBand="0" w:evenVBand="0" w:oddHBand="0" w:evenHBand="0" w:firstRowFirstColumn="0" w:firstRowLastColumn="0" w:lastRowFirstColumn="0" w:lastRowLastColumn="0"/>
            <w:tcW w:w="368" w:type="pct"/>
            <w:tcBorders>
              <w:left w:val="nil"/>
            </w:tcBorders>
          </w:tcPr>
          <w:p w14:paraId="33C56054"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1.1.3</w:t>
            </w:r>
          </w:p>
        </w:tc>
        <w:tc>
          <w:tcPr>
            <w:tcW w:w="4632" w:type="pct"/>
          </w:tcPr>
          <w:p w14:paraId="360D427E" w14:textId="527BA71C"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Zhvillimi i fushatave sensibilizuese për ligjin “Për </w:t>
            </w:r>
            <w:r w:rsidR="00C37F25">
              <w:rPr>
                <w:rFonts w:ascii="Garamond" w:eastAsia="Times New Roman" w:hAnsi="Garamond"/>
                <w:sz w:val="20"/>
              </w:rPr>
              <w:t>s</w:t>
            </w:r>
            <w:r w:rsidRPr="00E266CD">
              <w:rPr>
                <w:rFonts w:ascii="Garamond" w:eastAsia="Times New Roman" w:hAnsi="Garamond"/>
                <w:sz w:val="20"/>
              </w:rPr>
              <w:t>hkencën në Republikën e Shqipërisë”.</w:t>
            </w:r>
          </w:p>
        </w:tc>
      </w:tr>
      <w:tr w:rsidR="007959B4" w:rsidRPr="00E266CD" w14:paraId="132BE2BB" w14:textId="77777777" w:rsidTr="007003C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368" w:type="pct"/>
            <w:tcBorders>
              <w:left w:val="nil"/>
            </w:tcBorders>
          </w:tcPr>
          <w:p w14:paraId="249E4D8D"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1.1.4</w:t>
            </w:r>
          </w:p>
        </w:tc>
        <w:tc>
          <w:tcPr>
            <w:tcW w:w="4632" w:type="pct"/>
          </w:tcPr>
          <w:p w14:paraId="6811EFDD" w14:textId="1EC705B4"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Krijimi i një </w:t>
            </w:r>
            <w:r w:rsidR="00C37F25" w:rsidRPr="00E266CD">
              <w:rPr>
                <w:rFonts w:ascii="Garamond" w:eastAsia="Times New Roman" w:hAnsi="Garamond"/>
                <w:sz w:val="20"/>
              </w:rPr>
              <w:t xml:space="preserve">strukture koordinuese kombëtare </w:t>
            </w:r>
            <w:r w:rsidRPr="00E266CD">
              <w:rPr>
                <w:rFonts w:ascii="Garamond" w:eastAsia="Times New Roman" w:hAnsi="Garamond"/>
                <w:sz w:val="20"/>
              </w:rPr>
              <w:t xml:space="preserve">për politikat </w:t>
            </w:r>
            <w:r w:rsidR="00C37F25" w:rsidRPr="00E266CD">
              <w:rPr>
                <w:rFonts w:ascii="Garamond" w:eastAsia="Times New Roman" w:hAnsi="Garamond"/>
                <w:sz w:val="20"/>
              </w:rPr>
              <w:t>mbi shkencën, teknologjinë dhe inovacionin</w:t>
            </w:r>
            <w:r w:rsidRPr="00E266CD">
              <w:rPr>
                <w:rFonts w:ascii="Garamond" w:eastAsia="Times New Roman" w:hAnsi="Garamond"/>
                <w:sz w:val="20"/>
              </w:rPr>
              <w:t>.</w:t>
            </w:r>
          </w:p>
        </w:tc>
      </w:tr>
      <w:tr w:rsidR="007959B4" w:rsidRPr="00E266CD" w14:paraId="66FFE318" w14:textId="77777777" w:rsidTr="007003CA">
        <w:trPr>
          <w:trHeight w:val="449"/>
        </w:trPr>
        <w:tc>
          <w:tcPr>
            <w:cnfStyle w:val="001000000000" w:firstRow="0" w:lastRow="0" w:firstColumn="1" w:lastColumn="0" w:oddVBand="0" w:evenVBand="0" w:oddHBand="0" w:evenHBand="0" w:firstRowFirstColumn="0" w:firstRowLastColumn="0" w:lastRowFirstColumn="0" w:lastRowLastColumn="0"/>
            <w:tcW w:w="368" w:type="pct"/>
            <w:tcBorders>
              <w:left w:val="nil"/>
            </w:tcBorders>
          </w:tcPr>
          <w:p w14:paraId="15A5D390"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1.1.5</w:t>
            </w:r>
          </w:p>
        </w:tc>
        <w:tc>
          <w:tcPr>
            <w:tcW w:w="4632" w:type="pct"/>
          </w:tcPr>
          <w:p w14:paraId="15B1F490" w14:textId="30E835C0"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Hartimi dhe miratimi i akteve nënligjore lidhur me </w:t>
            </w:r>
            <w:r w:rsidR="00C37F25" w:rsidRPr="00E266CD">
              <w:rPr>
                <w:rFonts w:ascii="Garamond" w:eastAsia="Times New Roman" w:hAnsi="Garamond"/>
                <w:sz w:val="20"/>
              </w:rPr>
              <w:t>statusin e kërkuesit shkencor</w:t>
            </w:r>
            <w:r w:rsidRPr="00E266CD">
              <w:rPr>
                <w:rFonts w:ascii="Garamond" w:eastAsia="Times New Roman" w:hAnsi="Garamond"/>
                <w:sz w:val="20"/>
              </w:rPr>
              <w:t>.</w:t>
            </w:r>
          </w:p>
        </w:tc>
      </w:tr>
      <w:tr w:rsidR="007959B4" w:rsidRPr="00E266CD" w14:paraId="1A4C4F08" w14:textId="77777777" w:rsidTr="007003C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68" w:type="pct"/>
          </w:tcPr>
          <w:p w14:paraId="01B80510"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1.1.6</w:t>
            </w:r>
          </w:p>
        </w:tc>
        <w:tc>
          <w:tcPr>
            <w:tcW w:w="4632" w:type="pct"/>
          </w:tcPr>
          <w:p w14:paraId="0BA6D529" w14:textId="0673FEEE"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dhe miratimi i Kodi</w:t>
            </w:r>
            <w:r w:rsidR="00C37F25">
              <w:rPr>
                <w:rFonts w:ascii="Garamond" w:eastAsia="Times New Roman" w:hAnsi="Garamond"/>
                <w:sz w:val="20"/>
              </w:rPr>
              <w:t>t</w:t>
            </w:r>
            <w:r w:rsidRPr="00E266CD">
              <w:rPr>
                <w:rFonts w:ascii="Garamond" w:eastAsia="Times New Roman" w:hAnsi="Garamond"/>
                <w:sz w:val="20"/>
              </w:rPr>
              <w:t xml:space="preserve"> </w:t>
            </w:r>
            <w:r w:rsidR="00C37F25">
              <w:rPr>
                <w:rFonts w:ascii="Garamond" w:eastAsia="Times New Roman" w:hAnsi="Garamond"/>
                <w:sz w:val="20"/>
              </w:rPr>
              <w:t>të</w:t>
            </w:r>
            <w:r w:rsidRPr="00E266CD">
              <w:rPr>
                <w:rFonts w:ascii="Garamond" w:eastAsia="Times New Roman" w:hAnsi="Garamond"/>
                <w:sz w:val="20"/>
              </w:rPr>
              <w:t xml:space="preserve"> Etikës në </w:t>
            </w:r>
            <w:r w:rsidR="00C37F25" w:rsidRPr="00E266CD">
              <w:rPr>
                <w:rFonts w:ascii="Garamond" w:eastAsia="Times New Roman" w:hAnsi="Garamond"/>
                <w:sz w:val="20"/>
              </w:rPr>
              <w:t>kërkimin shkencor</w:t>
            </w:r>
            <w:r w:rsidRPr="00E266CD">
              <w:rPr>
                <w:rFonts w:ascii="Garamond" w:eastAsia="Times New Roman" w:hAnsi="Garamond"/>
                <w:sz w:val="20"/>
              </w:rPr>
              <w:t>.</w:t>
            </w:r>
          </w:p>
        </w:tc>
      </w:tr>
      <w:tr w:rsidR="007959B4" w:rsidRPr="00E266CD" w14:paraId="0D98A847" w14:textId="77777777" w:rsidTr="007003CA">
        <w:trPr>
          <w:trHeight w:val="516"/>
        </w:trPr>
        <w:tc>
          <w:tcPr>
            <w:cnfStyle w:val="001000000000" w:firstRow="0" w:lastRow="0" w:firstColumn="1" w:lastColumn="0" w:oddVBand="0" w:evenVBand="0" w:oddHBand="0" w:evenHBand="0" w:firstRowFirstColumn="0" w:firstRowLastColumn="0" w:lastRowFirstColumn="0" w:lastRowLastColumn="0"/>
            <w:tcW w:w="368" w:type="pct"/>
          </w:tcPr>
          <w:p w14:paraId="7C8094CC"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1.1.7</w:t>
            </w:r>
          </w:p>
        </w:tc>
        <w:tc>
          <w:tcPr>
            <w:tcW w:w="4632" w:type="pct"/>
          </w:tcPr>
          <w:p w14:paraId="6BD9622F" w14:textId="157A5F59"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kritereve dhe treguesve</w:t>
            </w:r>
            <w:r w:rsidR="007715D0" w:rsidRPr="00E266CD">
              <w:rPr>
                <w:rFonts w:ascii="Garamond" w:eastAsia="Times New Roman" w:hAnsi="Garamond"/>
                <w:sz w:val="20"/>
              </w:rPr>
              <w:t xml:space="preserve"> </w:t>
            </w:r>
            <w:r w:rsidRPr="00E266CD">
              <w:rPr>
                <w:rFonts w:ascii="Garamond" w:eastAsia="Times New Roman" w:hAnsi="Garamond"/>
                <w:sz w:val="20"/>
              </w:rPr>
              <w:t>për vlerësimin e kërkimit shkencor dhe renditja e IAL</w:t>
            </w:r>
            <w:r w:rsidR="00C37F25">
              <w:rPr>
                <w:rFonts w:ascii="Garamond" w:eastAsia="Times New Roman" w:hAnsi="Garamond"/>
                <w:sz w:val="20"/>
              </w:rPr>
              <w:t>-ve</w:t>
            </w:r>
            <w:r w:rsidRPr="00E266CD">
              <w:rPr>
                <w:rFonts w:ascii="Garamond" w:eastAsia="Times New Roman" w:hAnsi="Garamond"/>
                <w:sz w:val="20"/>
              </w:rPr>
              <w:t xml:space="preserve"> sipas performancës në kërkimin shkencor.</w:t>
            </w:r>
          </w:p>
        </w:tc>
      </w:tr>
      <w:tr w:rsidR="007959B4" w:rsidRPr="00E266CD" w14:paraId="5AFFDFFD" w14:textId="77777777" w:rsidTr="007003C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368" w:type="pct"/>
          </w:tcPr>
          <w:p w14:paraId="347C615E"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1.1.8</w:t>
            </w:r>
          </w:p>
        </w:tc>
        <w:tc>
          <w:tcPr>
            <w:tcW w:w="4632" w:type="pct"/>
          </w:tcPr>
          <w:p w14:paraId="22B0281F" w14:textId="5DB46885"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Rishikimi i akteve ligjore dhe nënligjore në kuadër të kapitullit 25 të BE</w:t>
            </w:r>
            <w:r w:rsidR="00C37F25">
              <w:rPr>
                <w:rFonts w:ascii="Garamond" w:eastAsia="Times New Roman" w:hAnsi="Garamond"/>
                <w:sz w:val="20"/>
              </w:rPr>
              <w:t>-së</w:t>
            </w:r>
            <w:r w:rsidRPr="00E266CD">
              <w:rPr>
                <w:rFonts w:ascii="Garamond" w:eastAsia="Times New Roman" w:hAnsi="Garamond"/>
                <w:sz w:val="20"/>
              </w:rPr>
              <w:t xml:space="preserve"> “Shkenca dhe kërkimi shkencor”.</w:t>
            </w:r>
          </w:p>
        </w:tc>
      </w:tr>
      <w:tr w:rsidR="007959B4" w:rsidRPr="00E266CD" w14:paraId="7B8C2543" w14:textId="77777777" w:rsidTr="007003CA">
        <w:trPr>
          <w:trHeight w:val="525"/>
        </w:trPr>
        <w:tc>
          <w:tcPr>
            <w:cnfStyle w:val="001000000000" w:firstRow="0" w:lastRow="0" w:firstColumn="1" w:lastColumn="0" w:oddVBand="0" w:evenVBand="0" w:oddHBand="0" w:evenHBand="0" w:firstRowFirstColumn="0" w:firstRowLastColumn="0" w:lastRowFirstColumn="0" w:lastRowLastColumn="0"/>
            <w:tcW w:w="368" w:type="pct"/>
          </w:tcPr>
          <w:p w14:paraId="2540C5A1"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1.1.9</w:t>
            </w:r>
          </w:p>
        </w:tc>
        <w:tc>
          <w:tcPr>
            <w:tcW w:w="4632" w:type="pct"/>
          </w:tcPr>
          <w:p w14:paraId="40EA675D" w14:textId="625D59B7"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Rishikimi i kuadrit rregullator përfshirë atë institucional</w:t>
            </w:r>
            <w:r w:rsidR="00C37F25">
              <w:rPr>
                <w:rFonts w:ascii="Garamond" w:eastAsia="Times New Roman" w:hAnsi="Garamond"/>
                <w:sz w:val="20"/>
              </w:rPr>
              <w:t>,</w:t>
            </w:r>
            <w:r w:rsidRPr="00E266CD">
              <w:rPr>
                <w:rFonts w:ascii="Garamond" w:eastAsia="Times New Roman" w:hAnsi="Garamond"/>
                <w:sz w:val="20"/>
              </w:rPr>
              <w:t xml:space="preserve"> për kërkimin shkencor në kuadër të detyrimeve që burojnë nga procesi i asociimi</w:t>
            </w:r>
            <w:r w:rsidR="007715D0" w:rsidRPr="00E266CD">
              <w:rPr>
                <w:rFonts w:ascii="Garamond" w:eastAsia="Times New Roman" w:hAnsi="Garamond"/>
                <w:sz w:val="20"/>
              </w:rPr>
              <w:t xml:space="preserve"> </w:t>
            </w:r>
            <w:r w:rsidRPr="00E266CD">
              <w:rPr>
                <w:rFonts w:ascii="Garamond" w:eastAsia="Times New Roman" w:hAnsi="Garamond"/>
                <w:sz w:val="20"/>
              </w:rPr>
              <w:t>në BE</w:t>
            </w:r>
            <w:r w:rsidR="00C37F25">
              <w:rPr>
                <w:rFonts w:ascii="Garamond" w:eastAsia="Times New Roman" w:hAnsi="Garamond"/>
                <w:sz w:val="20"/>
              </w:rPr>
              <w:t>,</w:t>
            </w:r>
            <w:r w:rsidRPr="00E266CD">
              <w:rPr>
                <w:rFonts w:ascii="Garamond" w:eastAsia="Times New Roman" w:hAnsi="Garamond"/>
                <w:sz w:val="20"/>
              </w:rPr>
              <w:t xml:space="preserve"> lidhur me kapitullin 25 të BE</w:t>
            </w:r>
            <w:r w:rsidR="00C37F25">
              <w:rPr>
                <w:rFonts w:ascii="Garamond" w:eastAsia="Times New Roman" w:hAnsi="Garamond"/>
                <w:sz w:val="20"/>
              </w:rPr>
              <w:t>-së</w:t>
            </w:r>
            <w:r w:rsidRPr="00E266CD">
              <w:rPr>
                <w:rFonts w:ascii="Garamond" w:eastAsia="Times New Roman" w:hAnsi="Garamond"/>
                <w:sz w:val="20"/>
              </w:rPr>
              <w:t xml:space="preserve"> “Shkenca dhe </w:t>
            </w:r>
            <w:r w:rsidR="00C37F25" w:rsidRPr="00E266CD">
              <w:rPr>
                <w:rFonts w:ascii="Garamond" w:eastAsia="Times New Roman" w:hAnsi="Garamond"/>
                <w:sz w:val="20"/>
              </w:rPr>
              <w:t>kërkimi shkencor</w:t>
            </w:r>
            <w:r w:rsidRPr="00E266CD">
              <w:rPr>
                <w:rFonts w:ascii="Garamond" w:eastAsia="Times New Roman" w:hAnsi="Garamond"/>
                <w:sz w:val="20"/>
              </w:rPr>
              <w:t>”.</w:t>
            </w:r>
          </w:p>
        </w:tc>
      </w:tr>
      <w:tr w:rsidR="007959B4" w:rsidRPr="00E266CD" w14:paraId="04CDE908" w14:textId="77777777" w:rsidTr="007003CA">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368" w:type="pct"/>
          </w:tcPr>
          <w:p w14:paraId="4A7E6A4F"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1.1.10</w:t>
            </w:r>
          </w:p>
        </w:tc>
        <w:tc>
          <w:tcPr>
            <w:tcW w:w="4632" w:type="pct"/>
          </w:tcPr>
          <w:p w14:paraId="6EC132FC" w14:textId="3247B71E"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Përmirësimi i kuadrit rregullator lidhur me përcaktimin e fushave prioritare të kërkimit shkencor.</w:t>
            </w:r>
          </w:p>
        </w:tc>
      </w:tr>
      <w:tr w:rsidR="007959B4" w:rsidRPr="00E266CD" w14:paraId="75692393" w14:textId="77777777" w:rsidTr="007003CA">
        <w:trPr>
          <w:trHeight w:val="615"/>
        </w:trPr>
        <w:tc>
          <w:tcPr>
            <w:cnfStyle w:val="001000000000" w:firstRow="0" w:lastRow="0" w:firstColumn="1" w:lastColumn="0" w:oddVBand="0" w:evenVBand="0" w:oddHBand="0" w:evenHBand="0" w:firstRowFirstColumn="0" w:firstRowLastColumn="0" w:lastRowFirstColumn="0" w:lastRowLastColumn="0"/>
            <w:tcW w:w="368" w:type="pct"/>
          </w:tcPr>
          <w:p w14:paraId="6A719891"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1.1.11</w:t>
            </w:r>
          </w:p>
        </w:tc>
        <w:tc>
          <w:tcPr>
            <w:tcW w:w="4632" w:type="pct"/>
          </w:tcPr>
          <w:p w14:paraId="22F6E984" w14:textId="77777777"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Hartimi dhe miratimi i akteve nënligjore që garantojnë aksesin në publikime të kërkuesve shkencorë të vendit për të qenë në linjë me strategjitë e </w:t>
            </w:r>
            <w:r w:rsidRPr="00E266CD">
              <w:rPr>
                <w:rFonts w:ascii="Garamond" w:eastAsia="Times New Roman" w:hAnsi="Garamond"/>
                <w:i/>
                <w:sz w:val="20"/>
              </w:rPr>
              <w:t>Open Access</w:t>
            </w:r>
            <w:r w:rsidRPr="00E266CD">
              <w:rPr>
                <w:rFonts w:ascii="Garamond" w:eastAsia="Times New Roman" w:hAnsi="Garamond"/>
                <w:sz w:val="20"/>
              </w:rPr>
              <w:t xml:space="preserve"> që zbatohen në nivel evropian.</w:t>
            </w:r>
          </w:p>
        </w:tc>
      </w:tr>
      <w:tr w:rsidR="007959B4" w:rsidRPr="00E266CD" w14:paraId="2FBFF644" w14:textId="77777777" w:rsidTr="007003CA">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368" w:type="pct"/>
          </w:tcPr>
          <w:p w14:paraId="5D86A833" w14:textId="77777777" w:rsidR="007959B4" w:rsidRPr="00E266CD" w:rsidRDefault="007959B4" w:rsidP="00FB2370">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 xml:space="preserve">1.1.12 </w:t>
            </w:r>
          </w:p>
        </w:tc>
        <w:tc>
          <w:tcPr>
            <w:tcW w:w="4632" w:type="pct"/>
          </w:tcPr>
          <w:p w14:paraId="11EF98A7" w14:textId="77777777" w:rsidR="007959B4" w:rsidRPr="00E266CD" w:rsidRDefault="007959B4" w:rsidP="00FB237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një plani kombëtar për promovimin e barazisë gjinore në shkencë, teknologji dhe inovacion.</w:t>
            </w:r>
          </w:p>
        </w:tc>
      </w:tr>
      <w:tr w:rsidR="007959B4" w:rsidRPr="00E266CD" w14:paraId="3FFE197A" w14:textId="77777777" w:rsidTr="007003CA">
        <w:trPr>
          <w:trHeight w:val="696"/>
        </w:trPr>
        <w:tc>
          <w:tcPr>
            <w:cnfStyle w:val="001000000000" w:firstRow="0" w:lastRow="0" w:firstColumn="1" w:lastColumn="0" w:oddVBand="0" w:evenVBand="0" w:oddHBand="0" w:evenHBand="0" w:firstRowFirstColumn="0" w:firstRowLastColumn="0" w:lastRowFirstColumn="0" w:lastRowLastColumn="0"/>
            <w:tcW w:w="368" w:type="pct"/>
          </w:tcPr>
          <w:p w14:paraId="72575FFF" w14:textId="77777777" w:rsidR="007959B4" w:rsidRPr="00E266CD" w:rsidRDefault="007959B4" w:rsidP="00FB2370">
            <w:pPr>
              <w:rPr>
                <w:rFonts w:ascii="Garamond" w:eastAsia="Times New Roman" w:hAnsi="Garamond"/>
                <w:sz w:val="20"/>
              </w:rPr>
            </w:pPr>
            <w:r w:rsidRPr="00E266CD">
              <w:rPr>
                <w:rFonts w:ascii="Garamond" w:eastAsia="Times New Roman" w:hAnsi="Garamond"/>
                <w:color w:val="FFFFFF" w:themeColor="background1"/>
                <w:sz w:val="20"/>
              </w:rPr>
              <w:t>1.1.13</w:t>
            </w:r>
          </w:p>
        </w:tc>
        <w:tc>
          <w:tcPr>
            <w:tcW w:w="4632" w:type="pct"/>
          </w:tcPr>
          <w:p w14:paraId="1D0ABCEA" w14:textId="79F27FB1" w:rsidR="007959B4" w:rsidRPr="00E266CD" w:rsidRDefault="007959B4" w:rsidP="00FB237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Miratimi dhe vënia në zbatim (funksionalizimi) i rregullores për krijimin e regjistrit kombëtar të revistave dhe periodikëve shkencorë dhe për përcaktimin e kritereve që duhet të plotësojnë revistat dhe periodikët shkencorë për </w:t>
            </w:r>
            <w:r w:rsidR="00417E27" w:rsidRPr="00E266CD">
              <w:rPr>
                <w:rFonts w:ascii="Garamond" w:eastAsia="Times New Roman" w:hAnsi="Garamond"/>
                <w:sz w:val="20"/>
              </w:rPr>
              <w:t>t’u</w:t>
            </w:r>
            <w:r w:rsidRPr="00E266CD">
              <w:rPr>
                <w:rFonts w:ascii="Garamond" w:eastAsia="Times New Roman" w:hAnsi="Garamond"/>
                <w:sz w:val="20"/>
              </w:rPr>
              <w:t xml:space="preserve"> regjistruar në </w:t>
            </w:r>
            <w:r w:rsidR="00C37F25" w:rsidRPr="00E266CD">
              <w:rPr>
                <w:rFonts w:ascii="Garamond" w:eastAsia="Times New Roman" w:hAnsi="Garamond"/>
                <w:sz w:val="20"/>
              </w:rPr>
              <w:t xml:space="preserve">Regjistrin Kombëtar </w:t>
            </w:r>
            <w:r w:rsidRPr="00E266CD">
              <w:rPr>
                <w:rFonts w:ascii="Garamond" w:eastAsia="Times New Roman" w:hAnsi="Garamond"/>
                <w:sz w:val="20"/>
              </w:rPr>
              <w:t>të Republikës së Shqipërisë.</w:t>
            </w:r>
          </w:p>
        </w:tc>
      </w:tr>
    </w:tbl>
    <w:p w14:paraId="12242734" w14:textId="170ACA2F" w:rsidR="007959B4" w:rsidRPr="00E266CD" w:rsidRDefault="007959B4" w:rsidP="007959B4">
      <w:pPr>
        <w:rPr>
          <w:rFonts w:ascii="Garamond" w:eastAsia="Times New Roman" w:hAnsi="Garamond"/>
          <w:i/>
          <w:color w:val="000000"/>
          <w:sz w:val="20"/>
          <w:szCs w:val="20"/>
        </w:rPr>
      </w:pPr>
      <w:r w:rsidRPr="00E266CD">
        <w:rPr>
          <w:rFonts w:ascii="Garamond" w:eastAsia="Times New Roman" w:hAnsi="Garamond"/>
          <w:i/>
          <w:color w:val="000000"/>
          <w:sz w:val="20"/>
          <w:szCs w:val="20"/>
        </w:rPr>
        <w:t xml:space="preserve">Tabela </w:t>
      </w:r>
      <w:r w:rsidR="00B65BFD" w:rsidRPr="00E266CD">
        <w:rPr>
          <w:rFonts w:ascii="Garamond" w:eastAsia="Times New Roman" w:hAnsi="Garamond"/>
          <w:i/>
          <w:color w:val="000000"/>
          <w:sz w:val="20"/>
          <w:szCs w:val="20"/>
        </w:rPr>
        <w:t>n</w:t>
      </w:r>
      <w:r w:rsidRPr="00E266CD">
        <w:rPr>
          <w:rFonts w:ascii="Garamond" w:eastAsia="Times New Roman" w:hAnsi="Garamond"/>
          <w:i/>
          <w:color w:val="000000"/>
          <w:sz w:val="20"/>
          <w:szCs w:val="20"/>
        </w:rPr>
        <w:t>r.</w:t>
      </w:r>
      <w:r w:rsidR="00B65BFD" w:rsidRPr="00E266CD">
        <w:rPr>
          <w:rFonts w:ascii="Garamond" w:eastAsia="Times New Roman" w:hAnsi="Garamond"/>
          <w:i/>
          <w:color w:val="000000"/>
          <w:sz w:val="20"/>
          <w:szCs w:val="20"/>
        </w:rPr>
        <w:t xml:space="preserve"> </w:t>
      </w:r>
      <w:r w:rsidRPr="00E266CD">
        <w:rPr>
          <w:rFonts w:ascii="Garamond" w:eastAsia="Times New Roman" w:hAnsi="Garamond"/>
          <w:i/>
          <w:color w:val="000000"/>
          <w:sz w:val="20"/>
          <w:szCs w:val="20"/>
        </w:rPr>
        <w:t>1</w:t>
      </w:r>
      <w:r w:rsidR="00B65BFD" w:rsidRPr="00E266CD">
        <w:rPr>
          <w:rFonts w:ascii="Garamond" w:eastAsia="Times New Roman" w:hAnsi="Garamond"/>
          <w:i/>
          <w:color w:val="000000"/>
          <w:sz w:val="20"/>
          <w:szCs w:val="20"/>
        </w:rPr>
        <w:t>.</w:t>
      </w:r>
      <w:r w:rsidRPr="00E266CD">
        <w:rPr>
          <w:rFonts w:ascii="Garamond" w:eastAsia="Times New Roman" w:hAnsi="Garamond"/>
          <w:i/>
          <w:color w:val="000000"/>
          <w:sz w:val="20"/>
          <w:szCs w:val="20"/>
        </w:rPr>
        <w:t xml:space="preserve"> Lista e masave për arritjen e objektivit specifik 1.1</w:t>
      </w:r>
    </w:p>
    <w:p w14:paraId="1000AD1E" w14:textId="77777777" w:rsidR="00FB2370" w:rsidRPr="00E266CD" w:rsidRDefault="00FB2370" w:rsidP="007959B4">
      <w:pPr>
        <w:shd w:val="clear" w:color="auto" w:fill="FFFFFF"/>
        <w:rPr>
          <w:rFonts w:ascii="Garamond" w:eastAsia="Times New Roman" w:hAnsi="Garamond"/>
          <w:i/>
          <w:sz w:val="24"/>
          <w:szCs w:val="24"/>
        </w:rPr>
      </w:pPr>
    </w:p>
    <w:p w14:paraId="20469C37" w14:textId="5AA0389D" w:rsidR="00FB2370" w:rsidRPr="00E266CD" w:rsidRDefault="007959B4" w:rsidP="007003CA">
      <w:pPr>
        <w:pStyle w:val="TEKSTIIII"/>
      </w:pPr>
      <w:r w:rsidRPr="00E266CD">
        <w:t xml:space="preserve">Detajimi i plotë e masave është dhënë në </w:t>
      </w:r>
      <w:r w:rsidR="00C37F25" w:rsidRPr="00E266CD">
        <w:t xml:space="preserve">planin e veprimit </w:t>
      </w:r>
      <w:r w:rsidRPr="00E266CD">
        <w:t>IPSIS.</w:t>
      </w:r>
      <w:bookmarkStart w:id="31" w:name="_Toc135703148"/>
    </w:p>
    <w:p w14:paraId="4FE3A493" w14:textId="77777777" w:rsidR="007959B4" w:rsidRPr="00C37F25" w:rsidRDefault="007959B4" w:rsidP="00FB2370">
      <w:pPr>
        <w:pStyle w:val="TEKSTIIII"/>
        <w:rPr>
          <w:b/>
          <w:color w:val="000000"/>
        </w:rPr>
      </w:pPr>
      <w:r w:rsidRPr="00C37F25">
        <w:rPr>
          <w:b/>
          <w:color w:val="000000"/>
        </w:rPr>
        <w:t>Treguesit kryesorë të rezultateve</w:t>
      </w:r>
      <w:bookmarkEnd w:id="31"/>
    </w:p>
    <w:p w14:paraId="6B2D76E3" w14:textId="77777777" w:rsidR="007959B4" w:rsidRPr="00C37F25" w:rsidRDefault="007959B4" w:rsidP="00FB2370">
      <w:pPr>
        <w:ind w:firstLine="284"/>
        <w:rPr>
          <w:rFonts w:ascii="Garamond" w:eastAsia="Times New Roman" w:hAnsi="Garamond"/>
          <w:sz w:val="24"/>
          <w:szCs w:val="24"/>
        </w:rPr>
      </w:pPr>
      <w:r w:rsidRPr="00C37F25">
        <w:rPr>
          <w:rFonts w:ascii="Garamond" w:eastAsia="Times New Roman" w:hAnsi="Garamond"/>
          <w:b/>
          <w:sz w:val="24"/>
          <w:szCs w:val="24"/>
        </w:rPr>
        <w:t>Tregues 1</w:t>
      </w:r>
      <w:r w:rsidRPr="00C37F25">
        <w:rPr>
          <w:rFonts w:ascii="Garamond" w:eastAsia="Times New Roman" w:hAnsi="Garamond"/>
          <w:sz w:val="24"/>
          <w:szCs w:val="24"/>
        </w:rPr>
        <w:t>: Ligji “Për shkencën në Republikën e Shqipërisë” i përfunduar dhe miratuar.</w:t>
      </w:r>
    </w:p>
    <w:p w14:paraId="4A36DA5A" w14:textId="4FA8CE14" w:rsidR="007959B4" w:rsidRPr="00C37F25" w:rsidRDefault="007959B4" w:rsidP="00FB2370">
      <w:pPr>
        <w:ind w:firstLine="284"/>
        <w:rPr>
          <w:rFonts w:ascii="Garamond" w:eastAsia="Times New Roman" w:hAnsi="Garamond"/>
          <w:sz w:val="24"/>
          <w:szCs w:val="24"/>
        </w:rPr>
      </w:pPr>
      <w:r w:rsidRPr="00C37F25">
        <w:rPr>
          <w:rFonts w:ascii="Garamond" w:eastAsia="Times New Roman" w:hAnsi="Garamond"/>
          <w:b/>
          <w:sz w:val="24"/>
          <w:szCs w:val="24"/>
        </w:rPr>
        <w:t>Tregues 2</w:t>
      </w:r>
      <w:r w:rsidRPr="00C37F25">
        <w:rPr>
          <w:rFonts w:ascii="Garamond" w:eastAsia="Times New Roman" w:hAnsi="Garamond"/>
          <w:sz w:val="24"/>
          <w:szCs w:val="24"/>
        </w:rPr>
        <w:t>: Struktura Kombëtare e Koordinimit të Politikave mbi SHTI</w:t>
      </w:r>
      <w:r w:rsidR="00C37F25" w:rsidRPr="00C37F25">
        <w:rPr>
          <w:rFonts w:ascii="Garamond" w:eastAsia="Times New Roman" w:hAnsi="Garamond"/>
          <w:sz w:val="24"/>
          <w:szCs w:val="24"/>
        </w:rPr>
        <w:t>,</w:t>
      </w:r>
      <w:r w:rsidRPr="00C37F25">
        <w:rPr>
          <w:rFonts w:ascii="Garamond" w:eastAsia="Times New Roman" w:hAnsi="Garamond"/>
          <w:sz w:val="24"/>
          <w:szCs w:val="24"/>
        </w:rPr>
        <w:t xml:space="preserve"> e ngritur dhe funksionale.</w:t>
      </w:r>
    </w:p>
    <w:p w14:paraId="35637A26" w14:textId="6B4372FF" w:rsidR="007959B4" w:rsidRPr="00C37F25" w:rsidRDefault="007959B4" w:rsidP="00FB2370">
      <w:pPr>
        <w:ind w:firstLine="284"/>
        <w:rPr>
          <w:rFonts w:ascii="Garamond" w:eastAsia="Times New Roman" w:hAnsi="Garamond"/>
          <w:sz w:val="24"/>
          <w:szCs w:val="24"/>
        </w:rPr>
      </w:pPr>
      <w:r w:rsidRPr="00C37F25">
        <w:rPr>
          <w:rFonts w:ascii="Garamond" w:eastAsia="Times New Roman" w:hAnsi="Garamond"/>
          <w:b/>
          <w:sz w:val="24"/>
          <w:szCs w:val="24"/>
        </w:rPr>
        <w:t>Tregues 3:</w:t>
      </w:r>
      <w:r w:rsidRPr="00C37F25">
        <w:rPr>
          <w:rFonts w:ascii="Garamond" w:eastAsia="Times New Roman" w:hAnsi="Garamond"/>
          <w:sz w:val="24"/>
          <w:szCs w:val="24"/>
        </w:rPr>
        <w:t xml:space="preserve"> Kuadri ligjor dhe rregullator mbi shkencën, teknologjinë dhe inovacionin i harmonizuar dhe në përputhje me direktivat dhe rregulloret e BE</w:t>
      </w:r>
      <w:r w:rsidR="00C37F25" w:rsidRPr="00C37F25">
        <w:rPr>
          <w:rFonts w:ascii="Garamond" w:eastAsia="Times New Roman" w:hAnsi="Garamond"/>
          <w:sz w:val="24"/>
          <w:szCs w:val="24"/>
        </w:rPr>
        <w:t>-së,</w:t>
      </w:r>
      <w:r w:rsidRPr="00C37F25">
        <w:rPr>
          <w:rFonts w:ascii="Garamond" w:eastAsia="Times New Roman" w:hAnsi="Garamond"/>
          <w:sz w:val="24"/>
          <w:szCs w:val="24"/>
        </w:rPr>
        <w:t xml:space="preserve"> në kuadër të kapitullit 25 “Shkenca dhe kërkimi shkencor”.</w:t>
      </w:r>
    </w:p>
    <w:p w14:paraId="4451DA46" w14:textId="77777777" w:rsidR="007959B4" w:rsidRPr="00C37F25" w:rsidRDefault="007959B4" w:rsidP="00FB2370">
      <w:pPr>
        <w:ind w:firstLine="284"/>
        <w:rPr>
          <w:rFonts w:ascii="Garamond" w:eastAsia="Times New Roman" w:hAnsi="Garamond"/>
          <w:sz w:val="24"/>
          <w:szCs w:val="24"/>
        </w:rPr>
      </w:pPr>
      <w:r w:rsidRPr="00C37F25">
        <w:rPr>
          <w:rFonts w:ascii="Garamond" w:eastAsia="Times New Roman" w:hAnsi="Garamond"/>
          <w:b/>
          <w:sz w:val="24"/>
          <w:szCs w:val="24"/>
        </w:rPr>
        <w:t>Tregues 4:</w:t>
      </w:r>
      <w:r w:rsidRPr="00C37F25">
        <w:rPr>
          <w:rFonts w:ascii="Garamond" w:eastAsia="Times New Roman" w:hAnsi="Garamond"/>
          <w:sz w:val="24"/>
          <w:szCs w:val="24"/>
        </w:rPr>
        <w:t xml:space="preserve"> Kodi i Etikës në kërkimin shkencor i hartuar dhe miratuar.</w:t>
      </w:r>
    </w:p>
    <w:p w14:paraId="132F7A70" w14:textId="77777777" w:rsidR="007959B4" w:rsidRPr="00C37F25" w:rsidRDefault="007959B4" w:rsidP="00FB2370">
      <w:pPr>
        <w:ind w:firstLine="284"/>
        <w:rPr>
          <w:rFonts w:ascii="Garamond" w:eastAsia="Times New Roman" w:hAnsi="Garamond"/>
          <w:sz w:val="24"/>
          <w:szCs w:val="24"/>
        </w:rPr>
      </w:pPr>
      <w:r w:rsidRPr="00C37F25">
        <w:rPr>
          <w:rFonts w:ascii="Garamond" w:eastAsia="Times New Roman" w:hAnsi="Garamond"/>
          <w:b/>
          <w:sz w:val="24"/>
          <w:szCs w:val="24"/>
        </w:rPr>
        <w:t>Tregues 5:</w:t>
      </w:r>
      <w:r w:rsidRPr="00C37F25">
        <w:rPr>
          <w:rFonts w:ascii="Garamond" w:eastAsia="Times New Roman" w:hAnsi="Garamond"/>
          <w:sz w:val="24"/>
          <w:szCs w:val="24"/>
        </w:rPr>
        <w:t xml:space="preserve"> Paketa e akteve nënligjore lidhur me ligjin “Për shkencën në Republikën e Shqipërisë” e finalizuar dhe miratuar.</w:t>
      </w:r>
    </w:p>
    <w:p w14:paraId="77845EB2" w14:textId="2C255B6C" w:rsidR="007959B4" w:rsidRPr="00E266CD" w:rsidRDefault="007959B4" w:rsidP="00C37F25">
      <w:pPr>
        <w:ind w:firstLine="284"/>
        <w:rPr>
          <w:rFonts w:ascii="Garamond" w:eastAsia="Times New Roman" w:hAnsi="Garamond"/>
          <w:sz w:val="24"/>
          <w:szCs w:val="24"/>
        </w:rPr>
      </w:pPr>
      <w:r w:rsidRPr="00C37F25">
        <w:rPr>
          <w:rFonts w:ascii="Garamond" w:eastAsia="Times New Roman" w:hAnsi="Garamond"/>
          <w:b/>
          <w:sz w:val="24"/>
          <w:szCs w:val="24"/>
        </w:rPr>
        <w:t>Tregues</w:t>
      </w:r>
      <w:r w:rsidRPr="00E266CD">
        <w:rPr>
          <w:rFonts w:ascii="Garamond" w:eastAsia="Times New Roman" w:hAnsi="Garamond"/>
          <w:b/>
          <w:i/>
          <w:sz w:val="24"/>
          <w:szCs w:val="24"/>
        </w:rPr>
        <w:t xml:space="preserve"> </w:t>
      </w:r>
      <w:r w:rsidRPr="00C37F25">
        <w:rPr>
          <w:rFonts w:ascii="Garamond" w:eastAsia="Times New Roman" w:hAnsi="Garamond"/>
          <w:b/>
          <w:sz w:val="24"/>
          <w:szCs w:val="24"/>
        </w:rPr>
        <w:t>6:</w:t>
      </w:r>
      <w:r w:rsidRPr="00E266CD">
        <w:rPr>
          <w:rFonts w:ascii="Garamond" w:eastAsia="Times New Roman" w:hAnsi="Garamond"/>
          <w:sz w:val="24"/>
          <w:szCs w:val="24"/>
        </w:rPr>
        <w:t xml:space="preserve"> Plani kombëtar për promovimin e barazisë gjinore në shkencë, teknologji dhe inovacion i hartuar dhe miratuar.</w:t>
      </w:r>
    </w:p>
    <w:p w14:paraId="0D17901F" w14:textId="71B7FAD1" w:rsidR="007959B4" w:rsidRPr="00E266CD" w:rsidRDefault="007959B4" w:rsidP="00C37F25">
      <w:pPr>
        <w:pStyle w:val="TEKSTIIII"/>
        <w:rPr>
          <w:b/>
        </w:rPr>
      </w:pPr>
      <w:bookmarkStart w:id="32" w:name="_Toc135703149"/>
      <w:r w:rsidRPr="00E266CD">
        <w:rPr>
          <w:b/>
        </w:rPr>
        <w:t xml:space="preserve">Objektivi </w:t>
      </w:r>
      <w:r w:rsidR="00C37F25">
        <w:rPr>
          <w:b/>
        </w:rPr>
        <w:t>s</w:t>
      </w:r>
      <w:r w:rsidRPr="00E266CD">
        <w:rPr>
          <w:b/>
        </w:rPr>
        <w:t>pecifik 1.2:</w:t>
      </w:r>
      <w:r w:rsidR="00C37F25">
        <w:rPr>
          <w:b/>
        </w:rPr>
        <w:t xml:space="preserve"> </w:t>
      </w:r>
      <w:r w:rsidRPr="00E266CD">
        <w:rPr>
          <w:b/>
        </w:rPr>
        <w:t>Zhvillimi i kapaciteteve njerëzore dhe infrastrukturës mbështetëse</w:t>
      </w:r>
      <w:r w:rsidR="007715D0" w:rsidRPr="00E266CD">
        <w:rPr>
          <w:b/>
        </w:rPr>
        <w:t xml:space="preserve"> </w:t>
      </w:r>
      <w:r w:rsidRPr="00E266CD">
        <w:rPr>
          <w:b/>
        </w:rPr>
        <w:t>të kërkimit shkencor (infrastrukturës akademike) për rritjen e performancës në programet kombëtare dhe ndërkombëtare.</w:t>
      </w:r>
      <w:bookmarkEnd w:id="32"/>
    </w:p>
    <w:p w14:paraId="5C00B626" w14:textId="19FD795B" w:rsidR="007959B4" w:rsidRPr="00E266CD" w:rsidRDefault="007959B4" w:rsidP="00692502">
      <w:pPr>
        <w:pStyle w:val="TEKSTIIII"/>
        <w:rPr>
          <w:b/>
          <w:color w:val="000000"/>
        </w:rPr>
      </w:pPr>
      <w:bookmarkStart w:id="33" w:name="_Toc135703150"/>
      <w:r w:rsidRPr="00E266CD">
        <w:rPr>
          <w:b/>
          <w:color w:val="000000"/>
        </w:rPr>
        <w:t xml:space="preserve">Analiza e </w:t>
      </w:r>
      <w:r w:rsidR="00C37F25" w:rsidRPr="00E266CD">
        <w:rPr>
          <w:b/>
          <w:color w:val="000000"/>
        </w:rPr>
        <w:t>situatës dhe sfidat</w:t>
      </w:r>
      <w:bookmarkEnd w:id="33"/>
    </w:p>
    <w:p w14:paraId="2258B52F" w14:textId="537FB07D" w:rsidR="007959B4" w:rsidRPr="00E266CD" w:rsidRDefault="007959B4" w:rsidP="00692502">
      <w:pPr>
        <w:pStyle w:val="TEKSTIIII"/>
      </w:pPr>
      <w:r w:rsidRPr="00E266CD">
        <w:t>Zhvillimi i kapaciteteve njerëzore dhe ofrimi i trajnimeve të stafeve akademike dhe institucioneve të tjera</w:t>
      </w:r>
      <w:r w:rsidR="00C37F25">
        <w:t>,</w:t>
      </w:r>
      <w:r w:rsidRPr="00E266CD">
        <w:t xml:space="preserve"> lidhur me shkrimin dhe pjesëmarrjen në projekte kombëtare dhe ndërkombëtare</w:t>
      </w:r>
      <w:r w:rsidR="00C37F25">
        <w:t>,</w:t>
      </w:r>
      <w:r w:rsidRPr="00E266CD">
        <w:t xml:space="preserve"> është i rëndësishëm në rritjen e performancës së Shqipërisë në programet kombëtare dhe ndërkombëtare. Gjatë periudhës 2021</w:t>
      </w:r>
      <w:r w:rsidR="00B65BFD" w:rsidRPr="00E266CD">
        <w:rPr>
          <w:rFonts w:eastAsia="Times New Roman"/>
        </w:rPr>
        <w:t>–</w:t>
      </w:r>
      <w:r w:rsidRPr="00E266CD">
        <w:t>2022</w:t>
      </w:r>
      <w:r w:rsidR="00C37F25">
        <w:t>,</w:t>
      </w:r>
      <w:r w:rsidRPr="00E266CD">
        <w:t xml:space="preserve"> AKKSHI ka vazhduar informimin e personelit akademik të IAL</w:t>
      </w:r>
      <w:r w:rsidR="00C37F25">
        <w:t>-ve</w:t>
      </w:r>
      <w:r w:rsidRPr="00E266CD">
        <w:t xml:space="preserve"> lidhur me aplikimin dhe rritjen e pjesëmarrjes së tyre në programet kombëtare dhe ndërkombëtare. Gjithashtu, sesionet e informimit janë organizuar edhe në kuadër të pjesëmarrjes së IAL</w:t>
      </w:r>
      <w:r w:rsidR="00C37F25">
        <w:t>-ne</w:t>
      </w:r>
      <w:r w:rsidRPr="00E266CD">
        <w:t xml:space="preserve"> në projektet e infrastrukturës së kërkimit shkencor.</w:t>
      </w:r>
    </w:p>
    <w:p w14:paraId="402B9CB3" w14:textId="2CB64E85" w:rsidR="007959B4" w:rsidRPr="00E266CD" w:rsidRDefault="007959B4" w:rsidP="00692502">
      <w:pPr>
        <w:pStyle w:val="TEKSTIIII"/>
      </w:pPr>
      <w:r w:rsidRPr="00E266CD">
        <w:t xml:space="preserve">Gjatë periudhës </w:t>
      </w:r>
      <w:r w:rsidR="00C37F25">
        <w:t>s</w:t>
      </w:r>
      <w:r w:rsidRPr="00E266CD">
        <w:t xml:space="preserve">ë zbatimit të </w:t>
      </w:r>
      <w:r w:rsidR="00C37F25" w:rsidRPr="00E266CD">
        <w:t xml:space="preserve">programit kuadër </w:t>
      </w:r>
      <w:r w:rsidRPr="00E266CD">
        <w:t xml:space="preserve">të BE-së për </w:t>
      </w:r>
      <w:r w:rsidR="00C37F25" w:rsidRPr="00E266CD">
        <w:t xml:space="preserve">kërkim shkencor dhe inovacion </w:t>
      </w:r>
      <w:r w:rsidRPr="00E266CD">
        <w:t xml:space="preserve">H2020, Agjencia Kombëtare e Kërkimit Shkencor dhe Inovacionit (AKKSHI), në rolin e Koordinatorit Kombëtar për H2020 dhe </w:t>
      </w:r>
      <w:r w:rsidR="00C37F25" w:rsidRPr="00E266CD">
        <w:t>rrjetin e pikave kombëtare të kontaktit</w:t>
      </w:r>
      <w:r w:rsidRPr="00E266CD">
        <w:t>, ka ndërmarrë një sërë veprimtarish për promovimin, informimin dhe ngritjen e kapaciteteve të komunitetit kërkimor në vendin tonë. Nga ana e AKKSHI-it u hartua databaza me adresat elektronike (</w:t>
      </w:r>
      <w:r w:rsidRPr="00E266CD">
        <w:rPr>
          <w:i/>
        </w:rPr>
        <w:t>e</w:t>
      </w:r>
      <w:r w:rsidR="00B65BFD" w:rsidRPr="00E266CD">
        <w:rPr>
          <w:i/>
        </w:rPr>
        <w:t>m</w:t>
      </w:r>
      <w:r w:rsidRPr="00E266CD">
        <w:rPr>
          <w:i/>
        </w:rPr>
        <w:t>ail</w:t>
      </w:r>
      <w:r w:rsidRPr="00E266CD">
        <w:t>) të listës së kërkuesve shkencorë të universiteteve publike dhe ato jopublike</w:t>
      </w:r>
      <w:r w:rsidR="00C37F25">
        <w:t>,</w:t>
      </w:r>
      <w:r w:rsidRPr="00E266CD">
        <w:t xml:space="preserve"> si dhe instituteve kërkimore. Në këtë databazë janë regjistruar mbi 3800 adresa elektronike të cilat shërbejnë si platformë </w:t>
      </w:r>
      <w:r w:rsidRPr="00C37F25">
        <w:rPr>
          <w:i/>
        </w:rPr>
        <w:t>online</w:t>
      </w:r>
      <w:r w:rsidRPr="00E266CD">
        <w:t xml:space="preserve"> e shpërndarjes së informacionit mbi aplikimet </w:t>
      </w:r>
      <w:r w:rsidR="004F01EA">
        <w:t>n</w:t>
      </w:r>
      <w:r w:rsidRPr="00E266CD">
        <w:t xml:space="preserve">ë </w:t>
      </w:r>
      <w:r w:rsidRPr="009A203C">
        <w:rPr>
          <w:i/>
        </w:rPr>
        <w:t>Horizon</w:t>
      </w:r>
      <w:r w:rsidRPr="00E266CD">
        <w:t xml:space="preserve"> 2020 në kohë reale. Gjithashtu, AKKSHI ka përgatitur dhe botuar në shqip udhërrëfyes e prezantimet informuese mbi </w:t>
      </w:r>
      <w:r w:rsidR="004F01EA">
        <w:t>p</w:t>
      </w:r>
      <w:r w:rsidRPr="00E266CD">
        <w:t xml:space="preserve">rogramin </w:t>
      </w:r>
      <w:r w:rsidRPr="009A203C">
        <w:rPr>
          <w:i/>
        </w:rPr>
        <w:t>Horizon</w:t>
      </w:r>
      <w:r w:rsidRPr="00E266CD">
        <w:t xml:space="preserve"> 2020 (H2020)</w:t>
      </w:r>
      <w:r w:rsidR="004F01EA">
        <w:t>,</w:t>
      </w:r>
      <w:r w:rsidRPr="00E266CD">
        <w:t xml:space="preserve"> ku çdo studiues mund të marrë çdo të dhënë mbi përmbajtjen e programit dhe mënyrën e aplikimit. Stafi i AKKSHI-t ka asistuar grupet e kërkuesve shkencorë, stafet akademike mbi aplikimin në </w:t>
      </w:r>
      <w:r w:rsidR="004F01EA" w:rsidRPr="00E266CD">
        <w:t xml:space="preserve">thirrjet tematike të hapura dhe në ardhje </w:t>
      </w:r>
      <w:r w:rsidRPr="00E266CD">
        <w:t xml:space="preserve">H2020, </w:t>
      </w:r>
      <w:r w:rsidR="004F01EA" w:rsidRPr="00E266CD">
        <w:t>partneritetet, rrjetet, trajnime etj.</w:t>
      </w:r>
    </w:p>
    <w:p w14:paraId="64274396" w14:textId="6BC4A245" w:rsidR="007959B4" w:rsidRPr="00E266CD" w:rsidRDefault="007959B4" w:rsidP="00692502">
      <w:pPr>
        <w:pStyle w:val="TEKSTIIII"/>
      </w:pPr>
      <w:r w:rsidRPr="00E266CD">
        <w:t>Një nga element</w:t>
      </w:r>
      <w:r w:rsidR="004F01EA">
        <w:t>e</w:t>
      </w:r>
      <w:r w:rsidRPr="00E266CD">
        <w:t>t kryesor</w:t>
      </w:r>
      <w:r w:rsidR="004F01EA">
        <w:t>e</w:t>
      </w:r>
      <w:r w:rsidRPr="00E266CD">
        <w:t xml:space="preserve"> të aktiviteteve të AKKSHI-it</w:t>
      </w:r>
      <w:r w:rsidR="004F01EA">
        <w:t>,</w:t>
      </w:r>
      <w:r w:rsidRPr="00E266CD">
        <w:t xml:space="preserve"> për informimin dhe ngritjen e kapaciteteve kombëtare të H2020, ka qenë organizimi i eventeve të ditëve informuese dhe trajnuese H2020, në inst</w:t>
      </w:r>
      <w:r w:rsidR="004F01EA">
        <w:t>it</w:t>
      </w:r>
      <w:r w:rsidRPr="00E266CD">
        <w:t>ucionet publike dhe jopublike të arsimit të lartë. Gjatë periudhës së zbatimit të programit</w:t>
      </w:r>
      <w:r w:rsidR="004F01EA">
        <w:t>,</w:t>
      </w:r>
      <w:r w:rsidRPr="00E266CD">
        <w:t xml:space="preserve"> AKKSHI ka organizuar 190 ditë informuese dhe trajnuese në kuadër të programit H2020 në universitete publike, universitete jopublike, aktivitete në bashkëpunim me Komisionin </w:t>
      </w:r>
      <w:r w:rsidRPr="00E266CD">
        <w:rPr>
          <w:i/>
        </w:rPr>
        <w:t>Evropian DG Research and Innovation</w:t>
      </w:r>
      <w:r w:rsidRPr="00E266CD">
        <w:t xml:space="preserve">, APRE, </w:t>
      </w:r>
      <w:r w:rsidRPr="00E266CD">
        <w:rPr>
          <w:i/>
        </w:rPr>
        <w:t>Research Executive Agency</w:t>
      </w:r>
      <w:r w:rsidRPr="00E266CD">
        <w:t xml:space="preserve"> (REA), RCC, Instituti Italian i Kulturës, NCP </w:t>
      </w:r>
      <w:r w:rsidRPr="004F01EA">
        <w:rPr>
          <w:i/>
        </w:rPr>
        <w:t>Academy</w:t>
      </w:r>
      <w:r w:rsidRPr="00E266CD">
        <w:t xml:space="preserve">, Projekti i Asistencës Teknike për </w:t>
      </w:r>
      <w:r w:rsidR="004F01EA">
        <w:t>p</w:t>
      </w:r>
      <w:r w:rsidRPr="00E266CD">
        <w:t xml:space="preserve">rogramet EU, aktivitetet të përbashkëta me kërkues shkencorë, SME dhe </w:t>
      </w:r>
      <w:r w:rsidR="004F01EA" w:rsidRPr="00E266CD">
        <w:t>ekspertë vlerësues</w:t>
      </w:r>
      <w:r w:rsidRPr="00E266CD">
        <w:t xml:space="preserve">. </w:t>
      </w:r>
    </w:p>
    <w:p w14:paraId="5158B30C" w14:textId="0EDDE83C" w:rsidR="007959B4" w:rsidRPr="00E266CD" w:rsidRDefault="007959B4" w:rsidP="00692502">
      <w:pPr>
        <w:pStyle w:val="TEKSTIIII"/>
      </w:pPr>
      <w:r w:rsidRPr="00E266CD">
        <w:t>Megjithatë, pavarësisht sesioneve të informimit, mbetet sfidë rritja e kapaciteteve të kërkuesve shkencorë</w:t>
      </w:r>
      <w:r w:rsidR="004F01EA">
        <w:t>,</w:t>
      </w:r>
      <w:r w:rsidRPr="00E266CD">
        <w:t xml:space="preserve"> lidhur me shkrimin e projekteve kombëtare dhe ndërkombëtare, në mënyrë që përmbajtja dhe arritjet e tyre të kontribuojnë në cilësinë, rëndësinë dhe efektivitetit të kërkimit</w:t>
      </w:r>
      <w:r w:rsidR="004F01EA">
        <w:t>,</w:t>
      </w:r>
      <w:r w:rsidRPr="00E266CD">
        <w:t xml:space="preserve"> si edhe në përmbushjen e qëllimeve strategjike në fushat prioritare. Gjithashtu, me rëndësi në këtë drejtim mbetet edhe forcimi i sistemit të shkencës përmes rritjes së bashkëpunimit në nivel ndërkombëtar dhe krijimit të rrjetit të kërkuesve shkencore brenda dhe jashtë Shqipërisë. </w:t>
      </w:r>
    </w:p>
    <w:p w14:paraId="52D9C03B" w14:textId="73856D18" w:rsidR="007959B4" w:rsidRPr="00E266CD" w:rsidRDefault="007959B4" w:rsidP="00692502">
      <w:pPr>
        <w:pStyle w:val="TEKSTIIII"/>
      </w:pPr>
      <w:r w:rsidRPr="001A1929">
        <w:t>Në drejtim</w:t>
      </w:r>
      <w:r w:rsidRPr="00E266CD">
        <w:t xml:space="preserve"> të infrastrukturës së kërkimit shkencor ose </w:t>
      </w:r>
      <w:r w:rsidRPr="00E266CD">
        <w:rPr>
          <w:i/>
        </w:rPr>
        <w:t>infrastruktura akademike</w:t>
      </w:r>
      <w:r w:rsidR="00164045">
        <w:rPr>
          <w:i/>
        </w:rPr>
        <w:t>,</w:t>
      </w:r>
      <w:r w:rsidRPr="00E266CD">
        <w:t xml:space="preserve"> siç përmendet në ligjin e Arsimit të Lartë</w:t>
      </w:r>
      <w:r w:rsidRPr="00E266CD">
        <w:rPr>
          <w:vertAlign w:val="superscript"/>
        </w:rPr>
        <w:footnoteReference w:id="36"/>
      </w:r>
      <w:r w:rsidRPr="00E266CD">
        <w:t>, sistemi shqiptar i kërkimit shkencor dhe inovacionit vuan nga mungesa e mjediseve të përshtatshme kërkimore, laboratorëve dhe infrastrukturave kërkimore për të kryer kërkime në të gjitha nivelet,</w:t>
      </w:r>
      <w:r w:rsidR="007715D0" w:rsidRPr="00E266CD">
        <w:t xml:space="preserve"> </w:t>
      </w:r>
      <w:r w:rsidRPr="00E266CD">
        <w:t>një kusht themelor për kryerjen e veprimtarisë shkencore dhe teknologjike të çdo lloji. Për periudhën 2021</w:t>
      </w:r>
      <w:r w:rsidR="00B65BFD" w:rsidRPr="00E266CD">
        <w:rPr>
          <w:rFonts w:eastAsia="Times New Roman"/>
        </w:rPr>
        <w:t>–</w:t>
      </w:r>
      <w:r w:rsidRPr="00E266CD">
        <w:t>2023, qeveria shqiptare ka përfshirë mbështetjen për infrastrukturat kërkimore në Planin e saj të Rimëkëmbjes Ekonomike me rishikimet kryesore nga Komisioni Evropian në qershor 2022, duke rekomanduar një mbështetje të fortë për një koordinim të qartë ndërinstitucional, gjetjen e zgjidhjeve për kufizimet buxhetore dhe ndërtimi i besimit midis universiteteve dhe kompanive, subjekte që nuk kanë bashkëpunim në vend.</w:t>
      </w:r>
      <w:r w:rsidRPr="00E266CD">
        <w:rPr>
          <w:vertAlign w:val="superscript"/>
        </w:rPr>
        <w:footnoteReference w:id="37"/>
      </w:r>
      <w:r w:rsidRPr="00E266CD">
        <w:t xml:space="preserve"> Udhërrëfyesi i parë i Infrastrukturës Kërkimore për Shqipërinë u publikua në </w:t>
      </w:r>
      <w:r w:rsidR="007003CA" w:rsidRPr="00E266CD">
        <w:t>m</w:t>
      </w:r>
      <w:r w:rsidRPr="00E266CD">
        <w:t>ars 2022 nga Këshilli i Bashkëpunimit Rajonal i financuar nga Komisioni Evropian.</w:t>
      </w:r>
      <w:r w:rsidRPr="00E266CD">
        <w:rPr>
          <w:vertAlign w:val="superscript"/>
        </w:rPr>
        <w:footnoteReference w:id="38"/>
      </w:r>
      <w:r w:rsidRPr="00E266CD">
        <w:t xml:space="preserve"> Udhërrëfyesi i Infrastrukturës Kërkimore është një dokument strategjik kyç për identifikimin e kërkimit potencial dhe shërben si një mjet për të drejtuar zhvillimin e mëtejshëm të infrastrukturës kërkimore dhe integrimin e komunitetit të kërkimit shkencor me sektorin e biznesit të Shqipërisë.</w:t>
      </w:r>
      <w:r w:rsidRPr="00E266CD">
        <w:rPr>
          <w:vertAlign w:val="superscript"/>
        </w:rPr>
        <w:footnoteReference w:id="39"/>
      </w:r>
      <w:r w:rsidRPr="00E266CD">
        <w:t xml:space="preserve"> Në drejtim të zhvillimit të infrastrukturës së kërkimit shkencor, udhërrëfyesi parashikon si nevojë rritjen e nivelit të investimeve në infrastrukturën kërkimore.</w:t>
      </w:r>
      <w:r w:rsidRPr="00E266CD">
        <w:rPr>
          <w:vertAlign w:val="superscript"/>
        </w:rPr>
        <w:footnoteReference w:id="40"/>
      </w:r>
      <w:r w:rsidRPr="00E266CD">
        <w:t xml:space="preserve"> Në të njëjtën kohë, me rëndësi shihet rritja e investimeve totale në laboratorët kërkimorë. Përveç kësaj, financimi i qendrave të ekselencës në fushat prioritare kërkimore dhe ngritja e një parku shkencor dhe teknologjik</w:t>
      </w:r>
      <w:r w:rsidR="00164045">
        <w:t>,</w:t>
      </w:r>
      <w:r w:rsidRPr="00E266CD">
        <w:t xml:space="preserve"> gjithashtu, duhet të merret parasysh në mënyrë që të krijohen kushte për zhvillimin e aktiviteteve kërkimore dhe inovative. Gjithashtu, mbetet sfiduese rritja e mobilitetit dhe bashkëpunimit institucional ndërmjet institucioneve të arsimit të lartë në rajonin e Ballkanit Perëndimor dhe më gjerë</w:t>
      </w:r>
      <w:r w:rsidR="00164045">
        <w:t>,</w:t>
      </w:r>
      <w:r w:rsidRPr="00E266CD">
        <w:t xml:space="preserve"> si edhe marrja e masave për rritjen e lëvizshmëri</w:t>
      </w:r>
      <w:r w:rsidR="00164045">
        <w:t>së</w:t>
      </w:r>
      <w:r w:rsidRPr="00E266CD">
        <w:t xml:space="preserve"> </w:t>
      </w:r>
      <w:r w:rsidR="00164045">
        <w:t>së</w:t>
      </w:r>
      <w:r w:rsidRPr="00E266CD">
        <w:t xml:space="preserve"> studiuesve.</w:t>
      </w:r>
      <w:r w:rsidRPr="00E266CD">
        <w:rPr>
          <w:vertAlign w:val="superscript"/>
        </w:rPr>
        <w:footnoteReference w:id="41"/>
      </w:r>
    </w:p>
    <w:p w14:paraId="06B06E5B" w14:textId="783E1AC0" w:rsidR="007959B4" w:rsidRPr="00E266CD" w:rsidRDefault="007959B4" w:rsidP="00692502">
      <w:pPr>
        <w:pStyle w:val="TEKSTIIII"/>
      </w:pPr>
      <w:r w:rsidRPr="00E266CD">
        <w:t>Gjatë periudhës që do të mbulojë Strategjia Kombëtare për Kërkimin Shkencor, Teknologjinë dhe Inovacionin 2023</w:t>
      </w:r>
      <w:r w:rsidR="00B65BFD" w:rsidRPr="00E266CD">
        <w:rPr>
          <w:rFonts w:eastAsia="Times New Roman"/>
        </w:rPr>
        <w:t>–</w:t>
      </w:r>
      <w:r w:rsidRPr="00E266CD">
        <w:t>2030</w:t>
      </w:r>
      <w:r w:rsidR="00164045">
        <w:t>,</w:t>
      </w:r>
      <w:r w:rsidRPr="00E266CD">
        <w:t xml:space="preserve"> synohen të përforcohen mekanizmat institucionale për promovimin e SHTI</w:t>
      </w:r>
      <w:r w:rsidR="00164045">
        <w:t>,</w:t>
      </w:r>
      <w:r w:rsidRPr="00E266CD">
        <w:t xml:space="preserve"> si edhe të përmirësohet infrastruktura mbështetëse për zhvillimin e projekteve kërkimore dhe atyre në fushën e teknologjisë dhe inovacionit. Gjithashtu, gjatë të njëjtës periudhë</w:t>
      </w:r>
      <w:r w:rsidR="00164045">
        <w:t>,</w:t>
      </w:r>
      <w:r w:rsidRPr="00E266CD">
        <w:t xml:space="preserve"> synohet rritja e kapaciteteve të kërkuesve në të gjitha strukturat arsimore, universitare</w:t>
      </w:r>
      <w:r w:rsidR="00164045">
        <w:t>,</w:t>
      </w:r>
      <w:r w:rsidRPr="00E266CD">
        <w:t xml:space="preserve"> me qëllim aplikimin nga ana e tyre të projekteve kërkimore shkencore jo vetëm në nivel kombëtar, por edhe ndërkombëtar.</w:t>
      </w:r>
    </w:p>
    <w:p w14:paraId="39864125" w14:textId="77777777" w:rsidR="007959B4" w:rsidRPr="00E266CD" w:rsidRDefault="007959B4" w:rsidP="00692502">
      <w:pPr>
        <w:pStyle w:val="TEKSTIIII"/>
        <w:rPr>
          <w:b/>
        </w:rPr>
      </w:pPr>
      <w:bookmarkStart w:id="34" w:name="_Toc135703151"/>
      <w:r w:rsidRPr="00E266CD">
        <w:rPr>
          <w:b/>
        </w:rPr>
        <w:t>Rezultatet që pritet të arrihen përmes zbatimit të masave që lidhen me objektivin specifik</w:t>
      </w:r>
      <w:bookmarkEnd w:id="34"/>
    </w:p>
    <w:p w14:paraId="6E7E0919" w14:textId="23A46CB7" w:rsidR="007959B4" w:rsidRPr="00E266CD" w:rsidRDefault="007959B4" w:rsidP="00692502">
      <w:pPr>
        <w:pStyle w:val="TEKSTIIII"/>
      </w:pPr>
      <w:r w:rsidRPr="00E266CD">
        <w:t xml:space="preserve">Përmes zbatimit të masave të parashikuara në </w:t>
      </w:r>
      <w:r w:rsidR="00164045" w:rsidRPr="00E266CD">
        <w:t xml:space="preserve">planin e veprimit </w:t>
      </w:r>
      <w:r w:rsidRPr="00E266CD">
        <w:t>synohet të arrihen rezultatet</w:t>
      </w:r>
      <w:r w:rsidR="00164045">
        <w:t>,</w:t>
      </w:r>
      <w:r w:rsidRPr="00E266CD">
        <w:t xml:space="preserve"> si më poshtë:</w:t>
      </w:r>
    </w:p>
    <w:p w14:paraId="742FEA0E" w14:textId="75EB7C19" w:rsidR="007959B4" w:rsidRPr="00E266CD" w:rsidRDefault="00692502" w:rsidP="00692502">
      <w:pPr>
        <w:pStyle w:val="TEKSTIIII"/>
        <w:rPr>
          <w:color w:val="000000"/>
        </w:rPr>
      </w:pPr>
      <w:r w:rsidRPr="00E266CD">
        <w:rPr>
          <w:color w:val="000000"/>
        </w:rPr>
        <w:t xml:space="preserve">a) </w:t>
      </w:r>
      <w:r w:rsidR="007959B4" w:rsidRPr="00E266CD">
        <w:rPr>
          <w:color w:val="000000"/>
        </w:rPr>
        <w:t>Kapacitetet e kërkuesve shkencor</w:t>
      </w:r>
      <w:r w:rsidR="00164045">
        <w:rPr>
          <w:color w:val="000000"/>
        </w:rPr>
        <w:t>,</w:t>
      </w:r>
      <w:r w:rsidR="007959B4" w:rsidRPr="00E266CD">
        <w:rPr>
          <w:color w:val="000000"/>
        </w:rPr>
        <w:t xml:space="preserve"> në lidhje me aplikimin në programe kombëtare dhe ndërkombëtare të forcuara</w:t>
      </w:r>
      <w:r w:rsidR="00B65BFD" w:rsidRPr="00E266CD">
        <w:rPr>
          <w:color w:val="000000"/>
        </w:rPr>
        <w:t>;</w:t>
      </w:r>
    </w:p>
    <w:p w14:paraId="6D332387" w14:textId="6604C031" w:rsidR="007959B4" w:rsidRPr="00E266CD" w:rsidRDefault="00692502" w:rsidP="00692502">
      <w:pPr>
        <w:pStyle w:val="TEKSTIIII"/>
        <w:rPr>
          <w:color w:val="000000"/>
        </w:rPr>
      </w:pPr>
      <w:r w:rsidRPr="00E266CD">
        <w:rPr>
          <w:color w:val="000000"/>
        </w:rPr>
        <w:t xml:space="preserve">b) </w:t>
      </w:r>
      <w:r w:rsidR="007959B4" w:rsidRPr="00E266CD">
        <w:rPr>
          <w:color w:val="000000"/>
        </w:rPr>
        <w:t>Infrastruktura mbështetëse e kërkimit shkencor</w:t>
      </w:r>
      <w:r w:rsidR="00164045">
        <w:rPr>
          <w:color w:val="000000"/>
        </w:rPr>
        <w:t>,</w:t>
      </w:r>
      <w:r w:rsidR="007959B4" w:rsidRPr="00E266CD">
        <w:rPr>
          <w:color w:val="000000"/>
        </w:rPr>
        <w:t xml:space="preserve"> e forcuar dhe përmirësuar</w:t>
      </w:r>
      <w:r w:rsidR="00B65BFD" w:rsidRPr="00E266CD">
        <w:rPr>
          <w:color w:val="000000"/>
        </w:rPr>
        <w:t>;</w:t>
      </w:r>
    </w:p>
    <w:p w14:paraId="5DE6E967" w14:textId="4F6959C4" w:rsidR="007959B4" w:rsidRPr="00E266CD" w:rsidRDefault="00692502" w:rsidP="00692502">
      <w:pPr>
        <w:pStyle w:val="TEKSTIIII"/>
        <w:rPr>
          <w:color w:val="000000"/>
        </w:rPr>
      </w:pPr>
      <w:r w:rsidRPr="00E266CD">
        <w:rPr>
          <w:color w:val="000000"/>
        </w:rPr>
        <w:t xml:space="preserve">c) </w:t>
      </w:r>
      <w:r w:rsidR="007959B4" w:rsidRPr="00E266CD">
        <w:rPr>
          <w:color w:val="000000"/>
        </w:rPr>
        <w:t xml:space="preserve">Platforma për aplikimin </w:t>
      </w:r>
      <w:r w:rsidR="007959B4" w:rsidRPr="00E266CD">
        <w:rPr>
          <w:i/>
          <w:color w:val="000000"/>
        </w:rPr>
        <w:t>online</w:t>
      </w:r>
      <w:r w:rsidR="007959B4" w:rsidRPr="00E266CD">
        <w:rPr>
          <w:color w:val="000000"/>
        </w:rPr>
        <w:t xml:space="preserve"> të projekteve kërkimore e ngritur dhe funksionale</w:t>
      </w:r>
      <w:r w:rsidR="00B65BFD" w:rsidRPr="00E266CD">
        <w:rPr>
          <w:color w:val="000000"/>
        </w:rPr>
        <w:t>;</w:t>
      </w:r>
    </w:p>
    <w:p w14:paraId="7E94FBE4" w14:textId="45F665C7" w:rsidR="007959B4" w:rsidRPr="00E266CD" w:rsidRDefault="00692502" w:rsidP="00692502">
      <w:pPr>
        <w:pStyle w:val="TEKSTIIII"/>
        <w:rPr>
          <w:color w:val="000000"/>
        </w:rPr>
      </w:pPr>
      <w:r w:rsidRPr="00E266CD">
        <w:rPr>
          <w:color w:val="000000"/>
        </w:rPr>
        <w:t xml:space="preserve">d) </w:t>
      </w:r>
      <w:r w:rsidR="007959B4" w:rsidRPr="00E266CD">
        <w:rPr>
          <w:color w:val="000000"/>
        </w:rPr>
        <w:t>Qendra Kombëtare Shkencore të Ekselencës të ngritura dhe të forcuara</w:t>
      </w:r>
      <w:r w:rsidR="00B65BFD" w:rsidRPr="00E266CD">
        <w:rPr>
          <w:color w:val="000000"/>
        </w:rPr>
        <w:t>;</w:t>
      </w:r>
    </w:p>
    <w:p w14:paraId="3490541D" w14:textId="5F4E1468" w:rsidR="007959B4" w:rsidRPr="00E266CD" w:rsidRDefault="00692502" w:rsidP="00692502">
      <w:pPr>
        <w:pStyle w:val="TEKSTIIII"/>
        <w:rPr>
          <w:color w:val="000000"/>
        </w:rPr>
      </w:pPr>
      <w:r w:rsidRPr="00E266CD">
        <w:rPr>
          <w:color w:val="000000"/>
        </w:rPr>
        <w:t xml:space="preserve">e) </w:t>
      </w:r>
      <w:r w:rsidR="007959B4" w:rsidRPr="00E266CD">
        <w:rPr>
          <w:color w:val="000000"/>
        </w:rPr>
        <w:t xml:space="preserve">Harta Kombëtare e </w:t>
      </w:r>
      <w:r w:rsidR="00B65BFD" w:rsidRPr="00E266CD">
        <w:rPr>
          <w:color w:val="000000"/>
        </w:rPr>
        <w:t>Infrastrukturës</w:t>
      </w:r>
      <w:r w:rsidR="007959B4" w:rsidRPr="00E266CD">
        <w:rPr>
          <w:color w:val="000000"/>
        </w:rPr>
        <w:t xml:space="preserve"> së Kërkimit Shkencor në Shqipëri</w:t>
      </w:r>
      <w:r w:rsidR="00164045">
        <w:rPr>
          <w:color w:val="000000"/>
        </w:rPr>
        <w:t>,</w:t>
      </w:r>
      <w:r w:rsidR="007959B4" w:rsidRPr="00E266CD">
        <w:rPr>
          <w:color w:val="000000"/>
        </w:rPr>
        <w:t xml:space="preserve"> e krijuar në përputhje me ESFRI (</w:t>
      </w:r>
      <w:r w:rsidR="007959B4" w:rsidRPr="00E266CD">
        <w:rPr>
          <w:i/>
          <w:color w:val="000000"/>
        </w:rPr>
        <w:t>European Strategic Framework of Research Infrastructure</w:t>
      </w:r>
      <w:r w:rsidR="007959B4" w:rsidRPr="00E266CD">
        <w:rPr>
          <w:color w:val="000000"/>
        </w:rPr>
        <w:t>)</w:t>
      </w:r>
      <w:r w:rsidR="00B65BFD" w:rsidRPr="00E266CD">
        <w:rPr>
          <w:color w:val="000000"/>
        </w:rPr>
        <w:t>;</w:t>
      </w:r>
    </w:p>
    <w:p w14:paraId="1FF7A0CC" w14:textId="620FA0D1" w:rsidR="007959B4" w:rsidRPr="00E266CD" w:rsidRDefault="00692502" w:rsidP="00692502">
      <w:pPr>
        <w:pStyle w:val="TEKSTIIII"/>
        <w:rPr>
          <w:color w:val="000000"/>
        </w:rPr>
      </w:pPr>
      <w:r w:rsidRPr="00E266CD">
        <w:rPr>
          <w:color w:val="000000"/>
        </w:rPr>
        <w:t xml:space="preserve">f) </w:t>
      </w:r>
      <w:r w:rsidR="007959B4" w:rsidRPr="00E266CD">
        <w:rPr>
          <w:color w:val="000000"/>
        </w:rPr>
        <w:t>Rritje e nivelit të mbështetjes financiare për aplikimin në projekte kombëtare</w:t>
      </w:r>
      <w:r w:rsidR="00B65BFD" w:rsidRPr="00E266CD">
        <w:rPr>
          <w:color w:val="000000"/>
        </w:rPr>
        <w:t>;</w:t>
      </w:r>
    </w:p>
    <w:p w14:paraId="79E077CA" w14:textId="0142F980" w:rsidR="007959B4" w:rsidRPr="00E266CD" w:rsidRDefault="00692502" w:rsidP="00692502">
      <w:pPr>
        <w:pStyle w:val="TEKSTIIII"/>
        <w:rPr>
          <w:color w:val="000000"/>
        </w:rPr>
      </w:pPr>
      <w:r w:rsidRPr="00E266CD">
        <w:rPr>
          <w:color w:val="000000"/>
        </w:rPr>
        <w:t xml:space="preserve">g) </w:t>
      </w:r>
      <w:r w:rsidR="007959B4" w:rsidRPr="00E266CD">
        <w:rPr>
          <w:color w:val="000000"/>
        </w:rPr>
        <w:t>Sistemi i shkencës dhe kërkimit shkencor</w:t>
      </w:r>
      <w:r w:rsidR="00164045">
        <w:rPr>
          <w:color w:val="000000"/>
        </w:rPr>
        <w:t>,</w:t>
      </w:r>
      <w:r w:rsidR="007959B4" w:rsidRPr="00E266CD">
        <w:rPr>
          <w:color w:val="000000"/>
        </w:rPr>
        <w:t xml:space="preserve"> i forcuar dhe </w:t>
      </w:r>
      <w:r w:rsidR="00164045">
        <w:rPr>
          <w:color w:val="000000"/>
        </w:rPr>
        <w:t xml:space="preserve">i </w:t>
      </w:r>
      <w:r w:rsidR="007959B4" w:rsidRPr="00E266CD">
        <w:rPr>
          <w:color w:val="000000"/>
        </w:rPr>
        <w:t>përmirësuar përmes rritjes së bashkëpunimit në nivel ndërkombëtar</w:t>
      </w:r>
      <w:r w:rsidR="00B65BFD" w:rsidRPr="00E266CD">
        <w:rPr>
          <w:color w:val="000000"/>
        </w:rPr>
        <w:t>;</w:t>
      </w:r>
    </w:p>
    <w:p w14:paraId="17C49128" w14:textId="016A4945" w:rsidR="007959B4" w:rsidRPr="00E266CD" w:rsidRDefault="00692502" w:rsidP="007003CA">
      <w:pPr>
        <w:pStyle w:val="TEKSTIIII"/>
        <w:rPr>
          <w:color w:val="000000"/>
        </w:rPr>
      </w:pPr>
      <w:r w:rsidRPr="00E266CD">
        <w:rPr>
          <w:color w:val="000000"/>
        </w:rPr>
        <w:t xml:space="preserve">h) </w:t>
      </w:r>
      <w:r w:rsidR="007959B4" w:rsidRPr="00E266CD">
        <w:rPr>
          <w:color w:val="000000"/>
        </w:rPr>
        <w:t>Rrjeti i kërkuesve shkencor brenda dhe jashtë vendit</w:t>
      </w:r>
      <w:r w:rsidR="00164045">
        <w:rPr>
          <w:color w:val="000000"/>
        </w:rPr>
        <w:t>,</w:t>
      </w:r>
      <w:r w:rsidR="007959B4" w:rsidRPr="00E266CD">
        <w:rPr>
          <w:color w:val="000000"/>
        </w:rPr>
        <w:t xml:space="preserve"> i ngritur.</w:t>
      </w:r>
    </w:p>
    <w:p w14:paraId="6B0168AC" w14:textId="7BA9D8A8" w:rsidR="007959B4" w:rsidRPr="00D52E02" w:rsidRDefault="007959B4" w:rsidP="00692502">
      <w:pPr>
        <w:pStyle w:val="TEKSTIIII"/>
      </w:pPr>
      <w:bookmarkStart w:id="35" w:name="_Toc135703152"/>
      <w:r w:rsidRPr="00D52E02">
        <w:t xml:space="preserve">Institucionet </w:t>
      </w:r>
      <w:r w:rsidR="00164045" w:rsidRPr="00D52E02">
        <w:t>d</w:t>
      </w:r>
      <w:r w:rsidRPr="00D52E02">
        <w:t>rejtuese</w:t>
      </w:r>
      <w:bookmarkEnd w:id="35"/>
      <w:r w:rsidR="00D52E02" w:rsidRPr="00D52E02">
        <w:t>:</w:t>
      </w:r>
    </w:p>
    <w:p w14:paraId="301970B7" w14:textId="04B95480" w:rsidR="007959B4" w:rsidRPr="00E266CD" w:rsidRDefault="007959B4" w:rsidP="00692502">
      <w:pPr>
        <w:pStyle w:val="TEKSTIIII"/>
      </w:pPr>
      <w:r w:rsidRPr="00E266CD">
        <w:t>Ministria e Arsimit dhe Sportit dhe AKKSHI</w:t>
      </w:r>
      <w:r w:rsidR="00164045">
        <w:t>,</w:t>
      </w:r>
      <w:r w:rsidRPr="00E266CD">
        <w:t xml:space="preserve"> që është një institucion në varësi të MAS</w:t>
      </w:r>
      <w:r w:rsidR="00164045">
        <w:t>-it,</w:t>
      </w:r>
      <w:r w:rsidRPr="00E266CD" w:rsidDel="00712847">
        <w:t xml:space="preserve"> </w:t>
      </w:r>
      <w:r w:rsidRPr="00E266CD">
        <w:t xml:space="preserve">me programet buxhetore 09450, Arsimi </w:t>
      </w:r>
      <w:r w:rsidR="009A203C" w:rsidRPr="00E266CD">
        <w:t>universitar</w:t>
      </w:r>
      <w:r w:rsidRPr="00E266CD">
        <w:t xml:space="preserve">, 09770, Fonde për </w:t>
      </w:r>
      <w:r w:rsidR="009A203C" w:rsidRPr="00E266CD">
        <w:t xml:space="preserve">shkencën </w:t>
      </w:r>
      <w:r w:rsidRPr="00E266CD">
        <w:t xml:space="preserve">dhe 0110, </w:t>
      </w:r>
      <w:r w:rsidR="009A203C" w:rsidRPr="00E266CD">
        <w:t>planifikim</w:t>
      </w:r>
      <w:r w:rsidRPr="00E266CD">
        <w:t xml:space="preserve">, </w:t>
      </w:r>
      <w:r w:rsidR="009A203C" w:rsidRPr="00E266CD">
        <w:t xml:space="preserve">menaxhim dhe administrimi, </w:t>
      </w:r>
      <w:r w:rsidR="00D52E02" w:rsidRPr="00E266CD">
        <w:t>RASH</w:t>
      </w:r>
    </w:p>
    <w:p w14:paraId="5B05FB6A" w14:textId="77777777" w:rsidR="00692502" w:rsidRPr="00E266CD" w:rsidRDefault="00692502" w:rsidP="00692502">
      <w:pPr>
        <w:pStyle w:val="TEKSTIIII"/>
      </w:pPr>
    </w:p>
    <w:p w14:paraId="26851D17" w14:textId="06761900" w:rsidR="007959B4" w:rsidRPr="00D52E02" w:rsidRDefault="007959B4" w:rsidP="00692502">
      <w:pPr>
        <w:pStyle w:val="TEKSTIIII"/>
      </w:pPr>
      <w:bookmarkStart w:id="36" w:name="_Toc135703153"/>
      <w:r w:rsidRPr="00D52E02">
        <w:t xml:space="preserve">Institucionet </w:t>
      </w:r>
      <w:r w:rsidR="00164045" w:rsidRPr="00D52E02">
        <w:t>p</w:t>
      </w:r>
      <w:r w:rsidRPr="00D52E02">
        <w:t>jesëmarrës</w:t>
      </w:r>
      <w:bookmarkEnd w:id="36"/>
      <w:r w:rsidRPr="00D52E02">
        <w:t>e</w:t>
      </w:r>
      <w:r w:rsidR="00D52E02">
        <w:t>:</w:t>
      </w:r>
    </w:p>
    <w:p w14:paraId="030C72A7" w14:textId="32A9B20D" w:rsidR="007959B4" w:rsidRPr="00E266CD" w:rsidRDefault="007959B4" w:rsidP="00164045">
      <w:pPr>
        <w:pStyle w:val="TEKSTIIII"/>
        <w:rPr>
          <w:rFonts w:eastAsia="Times New Roman"/>
        </w:rPr>
      </w:pPr>
      <w:r w:rsidRPr="00E266CD">
        <w:rPr>
          <w:rFonts w:eastAsia="Times New Roman"/>
        </w:rPr>
        <w:t xml:space="preserve">AKFAL, IAL, RASH, ASHSH, AKD, </w:t>
      </w:r>
      <w:r w:rsidR="00164045">
        <w:rPr>
          <w:rFonts w:eastAsia="Times New Roman"/>
        </w:rPr>
        <w:t>i</w:t>
      </w:r>
      <w:r w:rsidRPr="00E266CD">
        <w:rPr>
          <w:rFonts w:eastAsia="Times New Roman"/>
        </w:rPr>
        <w:t xml:space="preserve">nstitutet kërkimore pranë </w:t>
      </w:r>
      <w:r w:rsidR="00164045" w:rsidRPr="00E266CD">
        <w:rPr>
          <w:rFonts w:eastAsia="Times New Roman"/>
        </w:rPr>
        <w:t>ministrive të linjës</w:t>
      </w:r>
      <w:r w:rsidRPr="00E266CD">
        <w:rPr>
          <w:rFonts w:eastAsia="Times New Roman"/>
        </w:rPr>
        <w:t>, AMSHC, MAS, ML.</w:t>
      </w:r>
    </w:p>
    <w:p w14:paraId="0F9710AA" w14:textId="33207E48" w:rsidR="007959B4" w:rsidRPr="00E266CD" w:rsidRDefault="007959B4" w:rsidP="00356A3B">
      <w:pPr>
        <w:pStyle w:val="TEKSTIIII"/>
        <w:rPr>
          <w:b/>
        </w:rPr>
      </w:pPr>
      <w:bookmarkStart w:id="37" w:name="_Toc135703154"/>
      <w:r w:rsidRPr="00E266CD">
        <w:rPr>
          <w:b/>
        </w:rPr>
        <w:t>Lidhja e objektivit specifik me nënkapitullin përkatës të BE-së sipas MSA-së</w:t>
      </w:r>
      <w:bookmarkEnd w:id="37"/>
    </w:p>
    <w:p w14:paraId="5A46CA5B" w14:textId="567206ED" w:rsidR="007959B4" w:rsidRPr="00E266CD" w:rsidRDefault="007959B4" w:rsidP="007003CA">
      <w:pPr>
        <w:pStyle w:val="TEKSTIIII"/>
        <w:rPr>
          <w:rFonts w:eastAsia="Times New Roman"/>
        </w:rPr>
      </w:pPr>
      <w:r w:rsidRPr="00E266CD">
        <w:rPr>
          <w:rFonts w:eastAsia="Times New Roman"/>
        </w:rPr>
        <w:t xml:space="preserve">Objektivi specifik 1.2 synon të reflektojë standardet e parashikuara në </w:t>
      </w:r>
      <w:r w:rsidR="00164045">
        <w:rPr>
          <w:rFonts w:eastAsia="Times New Roman"/>
        </w:rPr>
        <w:t>k</w:t>
      </w:r>
      <w:r w:rsidRPr="00E266CD">
        <w:rPr>
          <w:rFonts w:eastAsia="Times New Roman"/>
        </w:rPr>
        <w:t>apitullin 25</w:t>
      </w:r>
      <w:r w:rsidR="00164045">
        <w:rPr>
          <w:rFonts w:eastAsia="Times New Roman"/>
        </w:rPr>
        <w:t>,</w:t>
      </w:r>
      <w:r w:rsidRPr="00E266CD">
        <w:rPr>
          <w:rFonts w:eastAsia="Times New Roman"/>
        </w:rPr>
        <w:t xml:space="preserve"> “Shkenca dhe </w:t>
      </w:r>
      <w:r w:rsidR="00164045">
        <w:rPr>
          <w:rFonts w:eastAsia="Times New Roman"/>
        </w:rPr>
        <w:t>k</w:t>
      </w:r>
      <w:r w:rsidRPr="00E266CD">
        <w:rPr>
          <w:rFonts w:eastAsia="Times New Roman"/>
        </w:rPr>
        <w:t xml:space="preserve">ërkimi shkencor”, si dhe lidhet drejtpërdrejtë me rritjen e kapaciteteve institucionale për të udhëhequr procesin e përafrimit të legjislacionit me </w:t>
      </w:r>
      <w:r w:rsidRPr="00E266CD">
        <w:rPr>
          <w:rFonts w:eastAsia="Times New Roman"/>
          <w:i/>
        </w:rPr>
        <w:t>acquis</w:t>
      </w:r>
      <w:r w:rsidRPr="00E266CD">
        <w:rPr>
          <w:rFonts w:eastAsia="Times New Roman"/>
        </w:rPr>
        <w:t xml:space="preserve"> </w:t>
      </w:r>
      <w:r w:rsidR="00164045">
        <w:rPr>
          <w:rFonts w:eastAsia="Times New Roman"/>
        </w:rPr>
        <w:t>të</w:t>
      </w:r>
      <w:r w:rsidRPr="00E266CD">
        <w:rPr>
          <w:rFonts w:eastAsia="Times New Roman"/>
        </w:rPr>
        <w:t xml:space="preserve"> BE</w:t>
      </w:r>
      <w:r w:rsidR="00164045">
        <w:rPr>
          <w:rFonts w:eastAsia="Times New Roman"/>
        </w:rPr>
        <w:t>-së,</w:t>
      </w:r>
      <w:r w:rsidRPr="00E266CD">
        <w:rPr>
          <w:rFonts w:eastAsia="Times New Roman"/>
        </w:rPr>
        <w:t xml:space="preserve"> për këtë kapitull. Detyrimi i Shqipërisë për të ndërmarrë iniciativa politike, ligjore, institucionale dhe financiare në kapitullin 25, në mbështetje të konsolidimit të sistemit të kërkimit, rrjedh nga neni 109 i Marrëveshjes së Stabilizim-Asocimit (MSA), i cili përcakton shtyllat e bashkëpunimit ndërmjet Shqipërisë dhe Bashkimit Evropian në fushën e kërkimit shkencor dhe zhvillimit teknologjik (</w:t>
      </w:r>
      <w:r w:rsidR="00164045">
        <w:rPr>
          <w:rFonts w:eastAsia="Times New Roman"/>
        </w:rPr>
        <w:t>t</w:t>
      </w:r>
      <w:r w:rsidRPr="00E266CD">
        <w:rPr>
          <w:rFonts w:eastAsia="Times New Roman"/>
        </w:rPr>
        <w:t xml:space="preserve">itulli VIII - </w:t>
      </w:r>
      <w:r w:rsidR="00164045" w:rsidRPr="00E266CD">
        <w:rPr>
          <w:rFonts w:eastAsia="Times New Roman"/>
        </w:rPr>
        <w:t>politikat e bashkëpunimit/bashkëpunimit për kërkimin dhe zhvillimin teknologjik</w:t>
      </w:r>
      <w:r w:rsidRPr="00E266CD">
        <w:rPr>
          <w:rFonts w:eastAsia="Times New Roman"/>
        </w:rPr>
        <w:t>).</w:t>
      </w:r>
    </w:p>
    <w:p w14:paraId="68CDDBE6" w14:textId="16FF70DE" w:rsidR="007959B4" w:rsidRPr="00E266CD" w:rsidRDefault="007959B4" w:rsidP="001A6B57">
      <w:pPr>
        <w:pStyle w:val="TEKSTIIII"/>
        <w:rPr>
          <w:b/>
        </w:rPr>
      </w:pPr>
      <w:bookmarkStart w:id="38" w:name="_Toc135703155"/>
      <w:r w:rsidRPr="00E266CD">
        <w:rPr>
          <w:b/>
        </w:rPr>
        <w:t xml:space="preserve">Lista e masave për arritjen e </w:t>
      </w:r>
      <w:r w:rsidR="00164045" w:rsidRPr="00E266CD">
        <w:rPr>
          <w:b/>
        </w:rPr>
        <w:t>objektivit s</w:t>
      </w:r>
      <w:r w:rsidRPr="00E266CD">
        <w:rPr>
          <w:b/>
        </w:rPr>
        <w:t>pecifik 1.2:</w:t>
      </w:r>
      <w:bookmarkEnd w:id="38"/>
    </w:p>
    <w:tbl>
      <w:tblPr>
        <w:tblStyle w:val="21"/>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33FBBDFC" w14:textId="77777777" w:rsidTr="007003CA">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940" w:type="dxa"/>
          </w:tcPr>
          <w:p w14:paraId="3C79F466" w14:textId="77777777" w:rsidR="007959B4" w:rsidRPr="00E266CD" w:rsidRDefault="007959B4" w:rsidP="001A6B57">
            <w:pPr>
              <w:rPr>
                <w:rFonts w:ascii="Garamond" w:eastAsia="Times New Roman" w:hAnsi="Garamond"/>
                <w:sz w:val="20"/>
              </w:rPr>
            </w:pPr>
          </w:p>
        </w:tc>
        <w:tc>
          <w:tcPr>
            <w:tcW w:w="8558" w:type="dxa"/>
          </w:tcPr>
          <w:p w14:paraId="2DA1D1D6" w14:textId="08F20BDE" w:rsidR="007959B4" w:rsidRPr="00E266CD" w:rsidRDefault="007959B4" w:rsidP="001A6B57">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164045">
              <w:rPr>
                <w:rFonts w:ascii="Garamond" w:eastAsia="Times New Roman" w:hAnsi="Garamond"/>
                <w:sz w:val="20"/>
              </w:rPr>
              <w:t>i</w:t>
            </w:r>
            <w:r w:rsidRPr="00E266CD">
              <w:rPr>
                <w:rFonts w:ascii="Garamond" w:eastAsia="Times New Roman" w:hAnsi="Garamond"/>
                <w:sz w:val="20"/>
              </w:rPr>
              <w:t xml:space="preserve"> </w:t>
            </w:r>
            <w:r w:rsidR="00164045">
              <w:rPr>
                <w:rFonts w:ascii="Garamond" w:eastAsia="Times New Roman" w:hAnsi="Garamond"/>
                <w:sz w:val="20"/>
              </w:rPr>
              <w:t>s</w:t>
            </w:r>
            <w:r w:rsidRPr="00E266CD">
              <w:rPr>
                <w:rFonts w:ascii="Garamond" w:eastAsia="Times New Roman" w:hAnsi="Garamond"/>
                <w:sz w:val="20"/>
              </w:rPr>
              <w:t>pecifik 1.2</w:t>
            </w:r>
            <w:r w:rsidR="00164045">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Zhvillimi i kapaciteteve njerëzore dhe infrastrukturës mbështetëse të kërkimit shkencor për rritjen e performancës në programet kombëtare dhe ndërkombëtare</w:t>
            </w:r>
          </w:p>
        </w:tc>
      </w:tr>
      <w:tr w:rsidR="007959B4" w:rsidRPr="00E266CD" w14:paraId="0748A688" w14:textId="77777777" w:rsidTr="007003CA">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40" w:type="dxa"/>
          </w:tcPr>
          <w:p w14:paraId="5BB42BB6" w14:textId="77777777" w:rsidR="007959B4" w:rsidRPr="00E266CD" w:rsidRDefault="007959B4" w:rsidP="001A6B57">
            <w:pPr>
              <w:rPr>
                <w:rFonts w:ascii="Garamond" w:eastAsia="Times New Roman" w:hAnsi="Garamond"/>
                <w:sz w:val="20"/>
              </w:rPr>
            </w:pPr>
            <w:r w:rsidRPr="00E266CD">
              <w:rPr>
                <w:rFonts w:ascii="Garamond" w:eastAsia="Times New Roman" w:hAnsi="Garamond"/>
                <w:color w:val="000000"/>
                <w:sz w:val="20"/>
              </w:rPr>
              <w:t> </w:t>
            </w:r>
          </w:p>
        </w:tc>
        <w:tc>
          <w:tcPr>
            <w:tcW w:w="8558" w:type="dxa"/>
          </w:tcPr>
          <w:p w14:paraId="29FDC3AE" w14:textId="77777777"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7306C7F6" w14:textId="77777777" w:rsidTr="00695B0D">
        <w:trPr>
          <w:trHeight w:val="699"/>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09296B5A"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1.2.1</w:t>
            </w:r>
          </w:p>
        </w:tc>
        <w:tc>
          <w:tcPr>
            <w:tcW w:w="8558" w:type="dxa"/>
          </w:tcPr>
          <w:p w14:paraId="15081B2A" w14:textId="77777777"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Ngritja e kapaciteteve për shkrimin e projekteve kombëtare shkencore, në mënyrë që përmbajtja dhe arritjet e tyre të kontribuojnë në cilësinë, rëndësinë dhe efektivitetin e kërkimit dhe përmbushjen e qëllimeve strategjike në fushat prioritare.</w:t>
            </w:r>
          </w:p>
        </w:tc>
      </w:tr>
      <w:tr w:rsidR="007959B4" w:rsidRPr="00E266CD" w14:paraId="4A0CE088" w14:textId="77777777" w:rsidTr="007003CA">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63220ED"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1.2.2</w:t>
            </w:r>
          </w:p>
        </w:tc>
        <w:tc>
          <w:tcPr>
            <w:tcW w:w="8558" w:type="dxa"/>
          </w:tcPr>
          <w:p w14:paraId="2C2607FB" w14:textId="77777777"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Organizimi i ditëve informative dhe i aktiviteteve promovuese për thirrjet e projekteve në programe ndërkombëtare.</w:t>
            </w:r>
          </w:p>
        </w:tc>
      </w:tr>
      <w:tr w:rsidR="007959B4" w:rsidRPr="00E266CD" w14:paraId="22B4EB3C" w14:textId="77777777" w:rsidTr="00695B0D">
        <w:trPr>
          <w:trHeight w:val="411"/>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B0E8BA8"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1.2.3</w:t>
            </w:r>
          </w:p>
        </w:tc>
        <w:tc>
          <w:tcPr>
            <w:tcW w:w="8558" w:type="dxa"/>
          </w:tcPr>
          <w:p w14:paraId="2810AC76" w14:textId="77777777"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Trajnimi i stafeve akademike lidhur me aplikimin në programe ndërkombëtare.</w:t>
            </w:r>
          </w:p>
        </w:tc>
      </w:tr>
      <w:tr w:rsidR="007959B4" w:rsidRPr="00E266CD" w14:paraId="6B383631" w14:textId="77777777" w:rsidTr="007003CA">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11B11166"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1.2.4</w:t>
            </w:r>
          </w:p>
        </w:tc>
        <w:tc>
          <w:tcPr>
            <w:tcW w:w="8558" w:type="dxa"/>
          </w:tcPr>
          <w:p w14:paraId="50F53D29" w14:textId="77777777"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Ngritja dhe forcimi i qendrave kombëtare shkencore të ekselencës që integrojnë studiues dhe burime kërkimore në nivel kombëtar dhe ndërkombëtar.</w:t>
            </w:r>
          </w:p>
        </w:tc>
      </w:tr>
      <w:tr w:rsidR="007959B4" w:rsidRPr="00E266CD" w14:paraId="59D03946" w14:textId="77777777" w:rsidTr="007003CA">
        <w:trPr>
          <w:trHeight w:val="61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683F002"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1.2.5</w:t>
            </w:r>
          </w:p>
        </w:tc>
        <w:tc>
          <w:tcPr>
            <w:tcW w:w="8558" w:type="dxa"/>
          </w:tcPr>
          <w:p w14:paraId="6E9B6074" w14:textId="39068C16"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Krijimi i Hartës Kombëtare të </w:t>
            </w:r>
            <w:r w:rsidR="00164045" w:rsidRPr="00E266CD">
              <w:rPr>
                <w:rFonts w:ascii="Garamond" w:eastAsia="Times New Roman" w:hAnsi="Garamond"/>
                <w:sz w:val="20"/>
              </w:rPr>
              <w:t xml:space="preserve">Infrastrukturës </w:t>
            </w:r>
            <w:r w:rsidRPr="00E266CD">
              <w:rPr>
                <w:rFonts w:ascii="Garamond" w:eastAsia="Times New Roman" w:hAnsi="Garamond"/>
                <w:sz w:val="20"/>
              </w:rPr>
              <w:t>së Kërkimit Shkencor në Shqipëri në përputhje me ESFRI (</w:t>
            </w:r>
            <w:r w:rsidRPr="00E266CD">
              <w:rPr>
                <w:rFonts w:ascii="Garamond" w:eastAsia="Times New Roman" w:hAnsi="Garamond"/>
                <w:i/>
                <w:sz w:val="20"/>
              </w:rPr>
              <w:t>European Strategic Framework of Research Infrastructure</w:t>
            </w:r>
            <w:r w:rsidRPr="00E266CD">
              <w:rPr>
                <w:rFonts w:ascii="Garamond" w:eastAsia="Times New Roman" w:hAnsi="Garamond"/>
                <w:sz w:val="20"/>
              </w:rPr>
              <w:t>).</w:t>
            </w:r>
          </w:p>
        </w:tc>
      </w:tr>
      <w:tr w:rsidR="007959B4" w:rsidRPr="00E266CD" w14:paraId="67163290" w14:textId="77777777" w:rsidTr="007003CA">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940" w:type="dxa"/>
          </w:tcPr>
          <w:p w14:paraId="24322B71"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1.2.6</w:t>
            </w:r>
          </w:p>
        </w:tc>
        <w:tc>
          <w:tcPr>
            <w:tcW w:w="8558" w:type="dxa"/>
          </w:tcPr>
          <w:p w14:paraId="33B94EF1" w14:textId="77777777"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Forcimi i sistemit të shkencës dhe kërkimit shkencor përmes bashkëpunimit në nivel ndërkombëtar.</w:t>
            </w:r>
          </w:p>
        </w:tc>
      </w:tr>
      <w:tr w:rsidR="007959B4" w:rsidRPr="00E266CD" w14:paraId="22C6B5F7" w14:textId="77777777" w:rsidTr="00695B0D">
        <w:trPr>
          <w:trHeight w:val="431"/>
        </w:trPr>
        <w:tc>
          <w:tcPr>
            <w:cnfStyle w:val="001000000000" w:firstRow="0" w:lastRow="0" w:firstColumn="1" w:lastColumn="0" w:oddVBand="0" w:evenVBand="0" w:oddHBand="0" w:evenHBand="0" w:firstRowFirstColumn="0" w:firstRowLastColumn="0" w:lastRowFirstColumn="0" w:lastRowLastColumn="0"/>
            <w:tcW w:w="940" w:type="dxa"/>
          </w:tcPr>
          <w:p w14:paraId="599EB54C"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1.2.7</w:t>
            </w:r>
          </w:p>
        </w:tc>
        <w:tc>
          <w:tcPr>
            <w:tcW w:w="8558" w:type="dxa"/>
          </w:tcPr>
          <w:p w14:paraId="389E0F88" w14:textId="77777777"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Krijimi i rrjeteve të kërkuesve shkencorë brenda dhe jashtë Shqipërisë.</w:t>
            </w:r>
          </w:p>
        </w:tc>
      </w:tr>
      <w:tr w:rsidR="007959B4" w:rsidRPr="00E266CD" w14:paraId="21D11FB8" w14:textId="77777777" w:rsidTr="00695B0D">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40" w:type="dxa"/>
          </w:tcPr>
          <w:p w14:paraId="3C3F8B3D"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1.2.8</w:t>
            </w:r>
          </w:p>
        </w:tc>
        <w:tc>
          <w:tcPr>
            <w:tcW w:w="8558" w:type="dxa"/>
          </w:tcPr>
          <w:p w14:paraId="6CCD7A13" w14:textId="61B82033"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Krijimi dhe përditësimi periodik i databazës së kërkuesve shkencor</w:t>
            </w:r>
            <w:r w:rsidR="00164045">
              <w:rPr>
                <w:rFonts w:ascii="Garamond" w:eastAsia="Times New Roman" w:hAnsi="Garamond"/>
                <w:sz w:val="20"/>
              </w:rPr>
              <w:t>ë</w:t>
            </w:r>
            <w:r w:rsidRPr="00E266CD">
              <w:rPr>
                <w:rFonts w:ascii="Garamond" w:eastAsia="Times New Roman" w:hAnsi="Garamond"/>
                <w:sz w:val="20"/>
              </w:rPr>
              <w:t>.</w:t>
            </w:r>
          </w:p>
        </w:tc>
      </w:tr>
      <w:tr w:rsidR="007959B4" w:rsidRPr="00E266CD" w14:paraId="2D27F659" w14:textId="77777777" w:rsidTr="007003CA">
        <w:trPr>
          <w:trHeight w:val="363"/>
        </w:trPr>
        <w:tc>
          <w:tcPr>
            <w:cnfStyle w:val="001000000000" w:firstRow="0" w:lastRow="0" w:firstColumn="1" w:lastColumn="0" w:oddVBand="0" w:evenVBand="0" w:oddHBand="0" w:evenHBand="0" w:firstRowFirstColumn="0" w:firstRowLastColumn="0" w:lastRowFirstColumn="0" w:lastRowLastColumn="0"/>
            <w:tcW w:w="940" w:type="dxa"/>
          </w:tcPr>
          <w:p w14:paraId="6EBA9036"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1.2.9</w:t>
            </w:r>
          </w:p>
        </w:tc>
        <w:tc>
          <w:tcPr>
            <w:tcW w:w="8558" w:type="dxa"/>
          </w:tcPr>
          <w:p w14:paraId="063B5491" w14:textId="77777777"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Rritja e mbështetjes financiare për aplikimin në projekte kombëtare.</w:t>
            </w:r>
          </w:p>
        </w:tc>
      </w:tr>
      <w:tr w:rsidR="007959B4" w:rsidRPr="00E266CD" w14:paraId="0FF9F9CC" w14:textId="77777777" w:rsidTr="007003CA">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940" w:type="dxa"/>
          </w:tcPr>
          <w:p w14:paraId="71228C98"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1.2.10</w:t>
            </w:r>
          </w:p>
        </w:tc>
        <w:tc>
          <w:tcPr>
            <w:tcW w:w="8558" w:type="dxa"/>
          </w:tcPr>
          <w:p w14:paraId="5578A25F" w14:textId="77777777" w:rsidR="007959B4" w:rsidRPr="00E266CD" w:rsidRDefault="007959B4" w:rsidP="001A6B57">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Forcimi i kapaciteteve të pikave kombëtare të kontaktit (programi </w:t>
            </w:r>
            <w:r w:rsidRPr="00164045">
              <w:rPr>
                <w:rFonts w:ascii="Garamond" w:eastAsia="Times New Roman" w:hAnsi="Garamond"/>
                <w:i/>
                <w:sz w:val="20"/>
              </w:rPr>
              <w:t>Horizon</w:t>
            </w:r>
            <w:r w:rsidRPr="00E266CD">
              <w:rPr>
                <w:rFonts w:ascii="Garamond" w:eastAsia="Times New Roman" w:hAnsi="Garamond"/>
                <w:sz w:val="20"/>
              </w:rPr>
              <w:t>).</w:t>
            </w:r>
          </w:p>
        </w:tc>
      </w:tr>
      <w:tr w:rsidR="007959B4" w:rsidRPr="00E266CD" w14:paraId="5B92B6E8" w14:textId="77777777" w:rsidTr="007003CA">
        <w:trPr>
          <w:trHeight w:val="534"/>
        </w:trPr>
        <w:tc>
          <w:tcPr>
            <w:cnfStyle w:val="001000000000" w:firstRow="0" w:lastRow="0" w:firstColumn="1" w:lastColumn="0" w:oddVBand="0" w:evenVBand="0" w:oddHBand="0" w:evenHBand="0" w:firstRowFirstColumn="0" w:firstRowLastColumn="0" w:lastRowFirstColumn="0" w:lastRowLastColumn="0"/>
            <w:tcW w:w="940" w:type="dxa"/>
          </w:tcPr>
          <w:p w14:paraId="03F0AE13" w14:textId="77777777" w:rsidR="007959B4" w:rsidRPr="00E266CD" w:rsidRDefault="007959B4" w:rsidP="001A6B57">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1.2.11</w:t>
            </w:r>
          </w:p>
        </w:tc>
        <w:tc>
          <w:tcPr>
            <w:tcW w:w="8558" w:type="dxa"/>
          </w:tcPr>
          <w:p w14:paraId="4352D3C3" w14:textId="095740F3" w:rsidR="007959B4" w:rsidRPr="00E266CD" w:rsidRDefault="007959B4" w:rsidP="001A6B57">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Zhvillimi i </w:t>
            </w:r>
            <w:r w:rsidR="00164045">
              <w:rPr>
                <w:rFonts w:ascii="Garamond" w:eastAsia="Times New Roman" w:hAnsi="Garamond"/>
                <w:sz w:val="20"/>
              </w:rPr>
              <w:t>p</w:t>
            </w:r>
            <w:r w:rsidRPr="00E266CD">
              <w:rPr>
                <w:rFonts w:ascii="Garamond" w:eastAsia="Times New Roman" w:hAnsi="Garamond"/>
                <w:sz w:val="20"/>
              </w:rPr>
              <w:t>latformës (</w:t>
            </w:r>
            <w:r w:rsidRPr="00E266CD">
              <w:rPr>
                <w:rFonts w:ascii="Garamond" w:eastAsia="Times New Roman" w:hAnsi="Garamond"/>
                <w:i/>
                <w:sz w:val="20"/>
              </w:rPr>
              <w:t>online</w:t>
            </w:r>
            <w:r w:rsidRPr="00E266CD">
              <w:rPr>
                <w:rFonts w:ascii="Garamond" w:eastAsia="Times New Roman" w:hAnsi="Garamond"/>
                <w:sz w:val="20"/>
              </w:rPr>
              <w:t>) të të dhënave për kërkimit shkencor në RSH, në lidhje me kapacitetet njerëzore, infrastrukturore, biblioteka dhe arkiva.</w:t>
            </w:r>
          </w:p>
        </w:tc>
      </w:tr>
    </w:tbl>
    <w:p w14:paraId="267FBEAB" w14:textId="1EE74260" w:rsidR="007959B4" w:rsidRPr="00E266CD" w:rsidRDefault="007959B4" w:rsidP="001A6B57">
      <w:pPr>
        <w:pStyle w:val="TEKSTIIII"/>
        <w:rPr>
          <w:i/>
          <w:sz w:val="20"/>
          <w:szCs w:val="20"/>
        </w:rPr>
      </w:pPr>
      <w:r w:rsidRPr="00E266CD">
        <w:rPr>
          <w:i/>
          <w:sz w:val="20"/>
          <w:szCs w:val="20"/>
        </w:rPr>
        <w:t xml:space="preserve">Tabela </w:t>
      </w:r>
      <w:r w:rsidR="00B8758C" w:rsidRPr="00E266CD">
        <w:rPr>
          <w:i/>
          <w:sz w:val="20"/>
          <w:szCs w:val="20"/>
        </w:rPr>
        <w:t>n</w:t>
      </w:r>
      <w:r w:rsidRPr="00E266CD">
        <w:rPr>
          <w:i/>
          <w:sz w:val="20"/>
          <w:szCs w:val="20"/>
        </w:rPr>
        <w:t>r. 2</w:t>
      </w:r>
      <w:r w:rsidR="00164045">
        <w:rPr>
          <w:i/>
          <w:sz w:val="20"/>
          <w:szCs w:val="20"/>
        </w:rPr>
        <w:t>:</w:t>
      </w:r>
      <w:r w:rsidR="00B8758C" w:rsidRPr="00E266CD">
        <w:rPr>
          <w:i/>
          <w:sz w:val="20"/>
          <w:szCs w:val="20"/>
        </w:rPr>
        <w:t xml:space="preserve"> </w:t>
      </w:r>
      <w:r w:rsidRPr="00E266CD">
        <w:rPr>
          <w:i/>
          <w:sz w:val="20"/>
          <w:szCs w:val="20"/>
        </w:rPr>
        <w:t>Lista e masave për arritjen e objektivit specifik 1.2</w:t>
      </w:r>
    </w:p>
    <w:p w14:paraId="0DC27E8A" w14:textId="77777777" w:rsidR="001A6B57" w:rsidRPr="00E266CD" w:rsidRDefault="001A6B57" w:rsidP="001A6B57">
      <w:pPr>
        <w:pStyle w:val="TEKSTIIII"/>
      </w:pPr>
    </w:p>
    <w:p w14:paraId="5353C719" w14:textId="3811AC64" w:rsidR="001A6B57" w:rsidRPr="00E266CD" w:rsidRDefault="007959B4" w:rsidP="007003CA">
      <w:pPr>
        <w:pStyle w:val="TEKSTIIII"/>
      </w:pPr>
      <w:r w:rsidRPr="00E266CD">
        <w:t xml:space="preserve">Detajimi i plotë i masave është dhënë në </w:t>
      </w:r>
      <w:r w:rsidR="00164045" w:rsidRPr="00E266CD">
        <w:t xml:space="preserve">planin e veprimit </w:t>
      </w:r>
      <w:r w:rsidRPr="00E266CD">
        <w:t>IPSIS.</w:t>
      </w:r>
      <w:bookmarkStart w:id="39" w:name="_Toc135703156"/>
    </w:p>
    <w:p w14:paraId="5009F7B4" w14:textId="77777777" w:rsidR="007959B4" w:rsidRPr="00E266CD" w:rsidRDefault="007959B4" w:rsidP="001A6B57">
      <w:pPr>
        <w:pStyle w:val="TEKSTIIII"/>
        <w:rPr>
          <w:b/>
        </w:rPr>
      </w:pPr>
      <w:r w:rsidRPr="00E266CD">
        <w:rPr>
          <w:b/>
        </w:rPr>
        <w:t>Treguesit kryesorë të rezultateve</w:t>
      </w:r>
      <w:bookmarkEnd w:id="39"/>
    </w:p>
    <w:p w14:paraId="29708444" w14:textId="77777777" w:rsidR="007959B4" w:rsidRPr="00E266CD" w:rsidRDefault="007959B4" w:rsidP="001A6B57">
      <w:pPr>
        <w:pStyle w:val="TEKSTIIII"/>
      </w:pPr>
      <w:r w:rsidRPr="00E266CD">
        <w:t>Treguesit kryesorë të rezultateve në lidhje me këtë objektiv:</w:t>
      </w:r>
    </w:p>
    <w:p w14:paraId="5C8EF04E" w14:textId="190F5458" w:rsidR="007959B4" w:rsidRPr="00164045" w:rsidRDefault="007959B4" w:rsidP="001A6B57">
      <w:pPr>
        <w:pStyle w:val="TEKSTIIII"/>
      </w:pPr>
      <w:r w:rsidRPr="00164045">
        <w:rPr>
          <w:b/>
        </w:rPr>
        <w:t>Tregues 1</w:t>
      </w:r>
      <w:r w:rsidRPr="00164045">
        <w:t>: Përqindja e kërkuesve shkencorë të trajnuar mbi shkrimin dhe aplikimin në projekte kombëtare/ndërkombëtare.</w:t>
      </w:r>
    </w:p>
    <w:p w14:paraId="72A5C4BD" w14:textId="5BED3A37" w:rsidR="007959B4" w:rsidRPr="00164045" w:rsidRDefault="007959B4" w:rsidP="001A6B57">
      <w:pPr>
        <w:pStyle w:val="TEKSTIIII"/>
        <w:rPr>
          <w:b/>
        </w:rPr>
      </w:pPr>
      <w:r w:rsidRPr="00164045">
        <w:rPr>
          <w:b/>
        </w:rPr>
        <w:t xml:space="preserve">Tregues 2: </w:t>
      </w:r>
      <w:r w:rsidRPr="00164045">
        <w:rPr>
          <w:bCs/>
          <w:iCs/>
        </w:rPr>
        <w:t xml:space="preserve">Harta Kombëtare e </w:t>
      </w:r>
      <w:r w:rsidR="00B65BFD" w:rsidRPr="00164045">
        <w:rPr>
          <w:bCs/>
          <w:iCs/>
        </w:rPr>
        <w:t>Infrastrukturës</w:t>
      </w:r>
      <w:r w:rsidRPr="00164045">
        <w:rPr>
          <w:bCs/>
          <w:iCs/>
        </w:rPr>
        <w:t xml:space="preserve"> së Kërkimit Shkencor në Shqipëri e krijuar në përputhje me ESFRI (</w:t>
      </w:r>
      <w:r w:rsidRPr="00164045">
        <w:rPr>
          <w:bCs/>
          <w:i/>
          <w:iCs/>
        </w:rPr>
        <w:t>European Strategic Framework of Research Infrastrukture</w:t>
      </w:r>
      <w:r w:rsidR="007003CA" w:rsidRPr="00164045">
        <w:rPr>
          <w:bCs/>
          <w:iCs/>
        </w:rPr>
        <w:t>)</w:t>
      </w:r>
      <w:r w:rsidRPr="00164045">
        <w:rPr>
          <w:bCs/>
          <w:iCs/>
        </w:rPr>
        <w:t>.</w:t>
      </w:r>
    </w:p>
    <w:p w14:paraId="5C796FC8" w14:textId="77777777" w:rsidR="007959B4" w:rsidRPr="00164045" w:rsidRDefault="007959B4" w:rsidP="001A6B57">
      <w:pPr>
        <w:pStyle w:val="TEKSTIIII"/>
        <w:rPr>
          <w:b/>
        </w:rPr>
      </w:pPr>
      <w:r w:rsidRPr="00164045">
        <w:rPr>
          <w:b/>
        </w:rPr>
        <w:t>Tregues 3</w:t>
      </w:r>
      <w:r w:rsidRPr="00164045">
        <w:rPr>
          <w:bCs/>
          <w:iCs/>
        </w:rPr>
        <w:t>: Përqindja e grave dhe vajzave drejtuese të projekteve shkencore kombëtare të kërkimit</w:t>
      </w:r>
    </w:p>
    <w:p w14:paraId="39C245DD" w14:textId="2C61C5A5" w:rsidR="007959B4" w:rsidRPr="00164045" w:rsidRDefault="007959B4" w:rsidP="001A6B57">
      <w:pPr>
        <w:pStyle w:val="TEKSTIIII"/>
        <w:rPr>
          <w:b/>
        </w:rPr>
      </w:pPr>
      <w:r w:rsidRPr="00164045">
        <w:rPr>
          <w:b/>
        </w:rPr>
        <w:t>Tregues 4</w:t>
      </w:r>
      <w:r w:rsidRPr="00164045">
        <w:rPr>
          <w:bCs/>
          <w:iCs/>
        </w:rPr>
        <w:t>: Përqindja e personelit akademik të IAL</w:t>
      </w:r>
      <w:r w:rsidR="00164045">
        <w:rPr>
          <w:bCs/>
          <w:iCs/>
        </w:rPr>
        <w:t>-ve, të</w:t>
      </w:r>
      <w:r w:rsidRPr="00164045">
        <w:rPr>
          <w:bCs/>
          <w:iCs/>
        </w:rPr>
        <w:t xml:space="preserve"> trajnuar lidhur me aplikimin në programe ndërkombëtare.</w:t>
      </w:r>
    </w:p>
    <w:p w14:paraId="1086715C" w14:textId="19096461" w:rsidR="001A6B57" w:rsidRPr="00E266CD" w:rsidRDefault="007959B4" w:rsidP="00D52E02">
      <w:pPr>
        <w:pStyle w:val="TEKSTIIII"/>
        <w:rPr>
          <w:b/>
        </w:rPr>
      </w:pPr>
      <w:r w:rsidRPr="00164045">
        <w:rPr>
          <w:b/>
        </w:rPr>
        <w:t xml:space="preserve">Tregues 5: </w:t>
      </w:r>
      <w:r w:rsidRPr="00164045">
        <w:rPr>
          <w:bCs/>
          <w:iCs/>
        </w:rPr>
        <w:t>Numri i kërkuesve shqiptarë që kanë përfituar nga programet e shkëmbimit/</w:t>
      </w:r>
      <w:r w:rsidR="007715D0" w:rsidRPr="00164045">
        <w:rPr>
          <w:bCs/>
          <w:iCs/>
        </w:rPr>
        <w:t xml:space="preserve"> </w:t>
      </w:r>
      <w:r w:rsidRPr="00164045">
        <w:rPr>
          <w:bCs/>
          <w:iCs/>
        </w:rPr>
        <w:t>mobilitetit në kërkim.</w:t>
      </w:r>
      <w:bookmarkStart w:id="40" w:name="_Toc135703157"/>
    </w:p>
    <w:p w14:paraId="6BB953A8" w14:textId="3777FEA7" w:rsidR="007959B4" w:rsidRPr="00164045" w:rsidRDefault="007959B4" w:rsidP="00164045">
      <w:pPr>
        <w:pStyle w:val="TEKSTIIII"/>
        <w:rPr>
          <w:b/>
        </w:rPr>
      </w:pPr>
      <w:r w:rsidRPr="00E266CD">
        <w:rPr>
          <w:b/>
        </w:rPr>
        <w:t xml:space="preserve">Objektivi </w:t>
      </w:r>
      <w:r w:rsidR="00164045">
        <w:rPr>
          <w:b/>
        </w:rPr>
        <w:t>s</w:t>
      </w:r>
      <w:r w:rsidRPr="00E266CD">
        <w:rPr>
          <w:b/>
        </w:rPr>
        <w:t>pecifik 1.3: Përmirësimi i mbledhjes, përpunimit, interpretimit dhe publikimi i treguesve statistikorë dhe të tjerë të kërkimit, zhvillimit të teknologjisë dhe inovacionit</w:t>
      </w:r>
      <w:bookmarkEnd w:id="40"/>
      <w:r w:rsidRPr="00E266CD">
        <w:rPr>
          <w:b/>
        </w:rPr>
        <w:t>.</w:t>
      </w:r>
    </w:p>
    <w:p w14:paraId="3FCB410D" w14:textId="086EDFF8" w:rsidR="007959B4" w:rsidRPr="00E266CD" w:rsidRDefault="007959B4" w:rsidP="001A6B57">
      <w:pPr>
        <w:pStyle w:val="TEKSTIIII"/>
        <w:rPr>
          <w:b/>
        </w:rPr>
      </w:pPr>
      <w:bookmarkStart w:id="41" w:name="_Toc135703158"/>
      <w:r w:rsidRPr="00E266CD">
        <w:rPr>
          <w:b/>
        </w:rPr>
        <w:t xml:space="preserve">Analiza e </w:t>
      </w:r>
      <w:r w:rsidR="00164045" w:rsidRPr="00E266CD">
        <w:rPr>
          <w:b/>
        </w:rPr>
        <w:t>situatës dhe sfidat</w:t>
      </w:r>
      <w:bookmarkEnd w:id="41"/>
    </w:p>
    <w:p w14:paraId="738B74A6" w14:textId="2DE8EFC4" w:rsidR="007959B4" w:rsidRPr="00E266CD" w:rsidRDefault="007959B4" w:rsidP="001A6B57">
      <w:pPr>
        <w:pStyle w:val="TEKSTIIII"/>
      </w:pPr>
      <w:r w:rsidRPr="00E266CD">
        <w:t>Gjatë periudhës së zbatimit të Strategjisë Kombëtare për Kërkimin Shkencor, Teknologjinë dhe Inovacionin 2017</w:t>
      </w:r>
      <w:r w:rsidR="00B65BFD" w:rsidRPr="00E266CD">
        <w:rPr>
          <w:rFonts w:eastAsia="Times New Roman"/>
        </w:rPr>
        <w:t>–</w:t>
      </w:r>
      <w:r w:rsidRPr="00E266CD">
        <w:t>2022, AKKSHI dhe INSTAT</w:t>
      </w:r>
      <w:r w:rsidR="00164045">
        <w:t>-i</w:t>
      </w:r>
      <w:r w:rsidRPr="00E266CD">
        <w:t xml:space="preserve"> kanë mbledhur dhe përpunuar të dhëna dhe tregues statistikorë që janë thelbësore për krijimin e databazave të të dhënave për kërkimin shkencor, teknologjinë dhe inovacionin. Me qëllim përmirësimin e sistemit të mbledhjes dhe përpunimit të të dhënave mbi kërkimin shkencor, nga 2020</w:t>
      </w:r>
      <w:r w:rsidR="00164045">
        <w:t>-a</w:t>
      </w:r>
      <w:r w:rsidRPr="00E266CD">
        <w:t xml:space="preserve"> AKKSHI dhe INSTAT</w:t>
      </w:r>
      <w:r w:rsidR="00164045">
        <w:t>-i</w:t>
      </w:r>
      <w:r w:rsidRPr="00E266CD">
        <w:t xml:space="preserve"> kanë nënshkruar një memorandum bashkëpunimi, në kuadër të të cilit të dyja institucionet bashkëpunojnë në fushën statistikore</w:t>
      </w:r>
      <w:r w:rsidR="00164045">
        <w:t>,</w:t>
      </w:r>
      <w:r w:rsidRPr="00E266CD">
        <w:t xml:space="preserve"> në kuadër të përmirësimit të cilësisë </w:t>
      </w:r>
      <w:r w:rsidR="00164045">
        <w:t>s</w:t>
      </w:r>
      <w:r w:rsidRPr="00E266CD">
        <w:t>ë prodhimit statistikor</w:t>
      </w:r>
      <w:r w:rsidR="00164045">
        <w:t>,</w:t>
      </w:r>
      <w:r w:rsidRPr="00E266CD">
        <w:t xml:space="preserve"> në përputhje me parimet e statistikave zyrtare</w:t>
      </w:r>
      <w:r w:rsidR="00164045">
        <w:t>.</w:t>
      </w:r>
      <w:r w:rsidRPr="00E266CD">
        <w:rPr>
          <w:vertAlign w:val="superscript"/>
        </w:rPr>
        <w:footnoteReference w:id="42"/>
      </w:r>
      <w:r w:rsidRPr="00E266CD">
        <w:t xml:space="preserve"> Në kuadër të këtij memorandumi, AKKSHI ka bashkëpunuar ngushtësisht me INSTAT</w:t>
      </w:r>
      <w:r w:rsidR="00164045">
        <w:t>-it</w:t>
      </w:r>
      <w:r w:rsidRPr="00E266CD">
        <w:t xml:space="preserve"> në drejtim të dërgimit të të dhënave të mbledhura brenda fushës së kërkimit shkencor. Megjithatë, mbetet sfidë mungesa e një metodologjie të plotë të mbledhjes së të dhënave statistikore në fushën e kërkimit shkencor.</w:t>
      </w:r>
    </w:p>
    <w:p w14:paraId="4806F7D8" w14:textId="4B8D432F" w:rsidR="007959B4" w:rsidRPr="00E266CD" w:rsidRDefault="007959B4" w:rsidP="001A6B57">
      <w:pPr>
        <w:pStyle w:val="TEKSTIIII"/>
      </w:pPr>
      <w:r w:rsidRPr="00E266CD">
        <w:t>Gjatë 2021</w:t>
      </w:r>
      <w:r w:rsidR="00164045">
        <w:t>-shit</w:t>
      </w:r>
      <w:r w:rsidRPr="00E266CD">
        <w:t>, INSTAT</w:t>
      </w:r>
      <w:r w:rsidR="00164045">
        <w:t>-i</w:t>
      </w:r>
      <w:r w:rsidRPr="00E266CD">
        <w:t xml:space="preserve"> ka kryer vrojtime pranë sektorit të bizneseve private, organizatave jofit</w:t>
      </w:r>
      <w:r w:rsidR="00B65BFD" w:rsidRPr="00E266CD">
        <w:t>i</w:t>
      </w:r>
      <w:r w:rsidRPr="00E266CD">
        <w:t>mprurëse, institucionet publike dhe institucionet e arsimit të lartë</w:t>
      </w:r>
      <w:r w:rsidR="00164045">
        <w:t>,</w:t>
      </w:r>
      <w:r w:rsidRPr="00E266CD">
        <w:t xml:space="preserve"> si dhe ka mbledhur të dhënat administrative për fondet e alokuara buxhetore për K&amp;Zh. Për mbledhjen e të dhënave në IAL, INSTAT</w:t>
      </w:r>
      <w:r w:rsidR="00164045">
        <w:t>-i</w:t>
      </w:r>
      <w:r w:rsidRPr="00E266CD">
        <w:t xml:space="preserve"> ka bashkëpunuar me MAS-in.</w:t>
      </w:r>
    </w:p>
    <w:p w14:paraId="2C32E92A" w14:textId="40EC3996" w:rsidR="007959B4" w:rsidRPr="00E266CD" w:rsidRDefault="007959B4" w:rsidP="00164045">
      <w:pPr>
        <w:pStyle w:val="TEKSTIIII"/>
      </w:pPr>
      <w:r w:rsidRPr="00E266CD">
        <w:t>Gjithashtu, me qëllim përmirësimin e sistemit të të dhënave gjatë periudhës që mbulon SKKSHTI 2023</w:t>
      </w:r>
      <w:r w:rsidR="00B65BFD" w:rsidRPr="00E266CD">
        <w:rPr>
          <w:rFonts w:eastAsia="Times New Roman"/>
        </w:rPr>
        <w:t>–</w:t>
      </w:r>
      <w:r w:rsidRPr="00E266CD">
        <w:t>2030</w:t>
      </w:r>
      <w:r w:rsidR="00164045">
        <w:t>,</w:t>
      </w:r>
      <w:r w:rsidRPr="00E266CD">
        <w:t xml:space="preserve"> nevojitet marrja e masave për rritjen e kapaciteteve të stafit të MAS</w:t>
      </w:r>
      <w:r w:rsidR="00164045">
        <w:t>-it</w:t>
      </w:r>
      <w:r w:rsidRPr="00E266CD">
        <w:t>, AKKSHI</w:t>
      </w:r>
      <w:r w:rsidR="00164045">
        <w:t>-y</w:t>
      </w:r>
      <w:r w:rsidRPr="00E266CD">
        <w:t xml:space="preserve"> dhe instituteve të tjera kërkimore për mbledhjen, analizën dhe raportimin e standardizuar të statistikave për kërkimin shkencor sipas standardeve ndërkombëtare (EUROSTAT, OECD). Problematikë gjithashtu është numri i kufizuar i treguesve të performancë</w:t>
      </w:r>
      <w:r w:rsidR="00B65BFD" w:rsidRPr="00E266CD">
        <w:t>s</w:t>
      </w:r>
      <w:r w:rsidRPr="00E266CD">
        <w:t xml:space="preserve"> mbi kërkimin shkencor që do të mundësonte krahasimin në nivel evropian dhe ndërkombëtar. </w:t>
      </w:r>
    </w:p>
    <w:p w14:paraId="3827C3A7" w14:textId="416A1146" w:rsidR="007959B4" w:rsidRPr="00E266CD" w:rsidRDefault="007959B4" w:rsidP="001A6B57">
      <w:pPr>
        <w:pStyle w:val="TEKSTIIII"/>
        <w:rPr>
          <w:b/>
          <w:color w:val="000000"/>
        </w:rPr>
      </w:pPr>
      <w:bookmarkStart w:id="42" w:name="_Toc135703159"/>
      <w:r w:rsidRPr="00E266CD">
        <w:rPr>
          <w:b/>
          <w:color w:val="000000"/>
        </w:rPr>
        <w:t>Rezultatet që pritet të arrihen përmes zbatimit të masave që lidhen me objektivin specifik</w:t>
      </w:r>
      <w:bookmarkEnd w:id="42"/>
    </w:p>
    <w:p w14:paraId="6889BDE0" w14:textId="77777777" w:rsidR="007959B4" w:rsidRPr="00E266CD" w:rsidRDefault="001A6B57" w:rsidP="001A6B57">
      <w:pPr>
        <w:pStyle w:val="TEKSTIIII"/>
      </w:pPr>
      <w:r w:rsidRPr="00E266CD">
        <w:t xml:space="preserve">- </w:t>
      </w:r>
      <w:r w:rsidR="007959B4" w:rsidRPr="00E266CD">
        <w:t>Përmes realizimit të masave të detajuara në planin e veprimit synohet të arrihen këto rezultate:</w:t>
      </w:r>
    </w:p>
    <w:p w14:paraId="07461CE9" w14:textId="1D2585D8" w:rsidR="007959B4" w:rsidRPr="00E266CD" w:rsidRDefault="001A6B57" w:rsidP="001A6B57">
      <w:pPr>
        <w:pStyle w:val="TEKSTIIII"/>
        <w:rPr>
          <w:color w:val="000000"/>
        </w:rPr>
      </w:pPr>
      <w:r w:rsidRPr="00E266CD">
        <w:rPr>
          <w:color w:val="000000"/>
        </w:rPr>
        <w:t xml:space="preserve">- </w:t>
      </w:r>
      <w:r w:rsidR="007959B4" w:rsidRPr="00E266CD">
        <w:rPr>
          <w:color w:val="000000"/>
        </w:rPr>
        <w:t>Metodologjia e mbledhjes së të dhënave statistikore në fushën e kërkimit shkencor</w:t>
      </w:r>
      <w:r w:rsidR="00164045">
        <w:rPr>
          <w:color w:val="000000"/>
        </w:rPr>
        <w:t>,</w:t>
      </w:r>
      <w:r w:rsidR="007959B4" w:rsidRPr="00E266CD">
        <w:rPr>
          <w:color w:val="000000"/>
        </w:rPr>
        <w:t xml:space="preserve"> e hartuar dhe miratuar</w:t>
      </w:r>
      <w:r w:rsidR="00B65BFD" w:rsidRPr="00E266CD">
        <w:rPr>
          <w:color w:val="000000"/>
        </w:rPr>
        <w:t>;</w:t>
      </w:r>
    </w:p>
    <w:p w14:paraId="27CFC4A7" w14:textId="438C7A06" w:rsidR="007959B4" w:rsidRPr="00E266CD" w:rsidRDefault="001A6B57" w:rsidP="001A6B57">
      <w:pPr>
        <w:pStyle w:val="TEKSTIIII"/>
        <w:rPr>
          <w:color w:val="000000"/>
        </w:rPr>
      </w:pPr>
      <w:r w:rsidRPr="00E266CD">
        <w:rPr>
          <w:color w:val="000000"/>
        </w:rPr>
        <w:t xml:space="preserve">- </w:t>
      </w:r>
      <w:r w:rsidR="007959B4" w:rsidRPr="00E266CD">
        <w:rPr>
          <w:color w:val="000000"/>
        </w:rPr>
        <w:t>Buletini vjetor mbi kërkimin shkencor</w:t>
      </w:r>
      <w:r w:rsidR="00164045">
        <w:rPr>
          <w:color w:val="000000"/>
        </w:rPr>
        <w:t>,</w:t>
      </w:r>
      <w:r w:rsidR="007959B4" w:rsidRPr="00E266CD">
        <w:rPr>
          <w:color w:val="000000"/>
        </w:rPr>
        <w:t xml:space="preserve"> i hartuar dhe publikuar</w:t>
      </w:r>
      <w:r w:rsidR="00B65BFD" w:rsidRPr="00E266CD">
        <w:rPr>
          <w:color w:val="000000"/>
        </w:rPr>
        <w:t>;</w:t>
      </w:r>
    </w:p>
    <w:p w14:paraId="68B8025F" w14:textId="3AC8301E" w:rsidR="007959B4" w:rsidRPr="00E266CD" w:rsidRDefault="001A6B57" w:rsidP="001A6B57">
      <w:pPr>
        <w:pStyle w:val="TEKSTIIII"/>
        <w:rPr>
          <w:color w:val="000000"/>
        </w:rPr>
      </w:pPr>
      <w:r w:rsidRPr="00E266CD">
        <w:rPr>
          <w:color w:val="000000"/>
        </w:rPr>
        <w:t xml:space="preserve">- </w:t>
      </w:r>
      <w:r w:rsidR="007959B4" w:rsidRPr="00E266CD">
        <w:rPr>
          <w:color w:val="000000"/>
        </w:rPr>
        <w:t>Kapacitetet teknike të stafit të MAS</w:t>
      </w:r>
      <w:r w:rsidR="00164045">
        <w:rPr>
          <w:color w:val="000000"/>
        </w:rPr>
        <w:t>-it</w:t>
      </w:r>
      <w:r w:rsidR="007959B4" w:rsidRPr="00E266CD">
        <w:rPr>
          <w:color w:val="000000"/>
        </w:rPr>
        <w:t>, AKKSHI</w:t>
      </w:r>
      <w:r w:rsidR="00164045">
        <w:rPr>
          <w:color w:val="000000"/>
        </w:rPr>
        <w:t>-t</w:t>
      </w:r>
      <w:r w:rsidR="007959B4" w:rsidRPr="00E266CD">
        <w:rPr>
          <w:color w:val="000000"/>
        </w:rPr>
        <w:t xml:space="preserve"> dhe instituteve kërkimore të ngritura lidhur me mbledhjen, analizën dhe përpunimin e të dhënave sipas standardeve ndërkombëtare</w:t>
      </w:r>
      <w:r w:rsidR="00B65BFD" w:rsidRPr="00E266CD">
        <w:rPr>
          <w:color w:val="000000"/>
        </w:rPr>
        <w:t>;</w:t>
      </w:r>
    </w:p>
    <w:p w14:paraId="0DEE8768" w14:textId="7BD7176B" w:rsidR="007959B4" w:rsidRPr="00164045" w:rsidRDefault="001A6B57" w:rsidP="00164045">
      <w:pPr>
        <w:pStyle w:val="TEKSTIIII"/>
        <w:rPr>
          <w:color w:val="000000"/>
        </w:rPr>
      </w:pPr>
      <w:r w:rsidRPr="00E266CD">
        <w:rPr>
          <w:color w:val="000000"/>
        </w:rPr>
        <w:t xml:space="preserve">- </w:t>
      </w:r>
      <w:r w:rsidR="007959B4" w:rsidRPr="00E266CD">
        <w:rPr>
          <w:color w:val="000000"/>
        </w:rPr>
        <w:t>Treguesit e performancës mbi kërkimin shkencor</w:t>
      </w:r>
      <w:r w:rsidR="00164045">
        <w:rPr>
          <w:color w:val="000000"/>
        </w:rPr>
        <w:t>,</w:t>
      </w:r>
      <w:r w:rsidR="007959B4" w:rsidRPr="00E266CD">
        <w:rPr>
          <w:color w:val="000000"/>
        </w:rPr>
        <w:t xml:space="preserve"> të hartuara</w:t>
      </w:r>
      <w:r w:rsidR="00B65BFD" w:rsidRPr="00E266CD">
        <w:rPr>
          <w:color w:val="000000"/>
        </w:rPr>
        <w:t>.</w:t>
      </w:r>
    </w:p>
    <w:p w14:paraId="12CD6126" w14:textId="185C9C7B" w:rsidR="007959B4" w:rsidRPr="00D52E02" w:rsidRDefault="007959B4" w:rsidP="00B86D89">
      <w:pPr>
        <w:pStyle w:val="TEKSTIIII"/>
      </w:pPr>
      <w:bookmarkStart w:id="43" w:name="_Toc135703160"/>
      <w:r w:rsidRPr="00D52E02">
        <w:t xml:space="preserve">Institucionet </w:t>
      </w:r>
      <w:r w:rsidR="00164045" w:rsidRPr="00D52E02">
        <w:t>d</w:t>
      </w:r>
      <w:r w:rsidRPr="00D52E02">
        <w:t>rejtuese</w:t>
      </w:r>
      <w:bookmarkEnd w:id="43"/>
      <w:r w:rsidR="00D52E02" w:rsidRPr="00D52E02">
        <w:t>:</w:t>
      </w:r>
    </w:p>
    <w:p w14:paraId="6C14A367" w14:textId="6D242A1B" w:rsidR="007959B4" w:rsidRPr="00E266CD" w:rsidRDefault="007959B4" w:rsidP="00B86D89">
      <w:pPr>
        <w:pStyle w:val="TEKSTIIII"/>
      </w:pPr>
      <w:r w:rsidRPr="00E266CD">
        <w:t xml:space="preserve">MAS me programet buxhetore 09450, </w:t>
      </w:r>
      <w:r w:rsidR="00164045" w:rsidRPr="00E266CD">
        <w:t>arsimi universitar</w:t>
      </w:r>
      <w:r w:rsidRPr="00E266CD">
        <w:t xml:space="preserve">, 09770, </w:t>
      </w:r>
      <w:r w:rsidR="00164045" w:rsidRPr="00E266CD">
        <w:t>fonde për shkencën</w:t>
      </w:r>
      <w:r w:rsidRPr="00E266CD">
        <w:t>, ASPA, INSTAT me programin buxhetor 01320</w:t>
      </w:r>
      <w:r w:rsidR="00164045">
        <w:t>,</w:t>
      </w:r>
      <w:r w:rsidRPr="00E266CD">
        <w:t xml:space="preserve"> </w:t>
      </w:r>
      <w:r w:rsidR="00164045" w:rsidRPr="00E266CD">
        <w:t>veprimtari s</w:t>
      </w:r>
      <w:r w:rsidRPr="00E266CD">
        <w:t>tatistikore</w:t>
      </w:r>
    </w:p>
    <w:p w14:paraId="6ECD93E3" w14:textId="3DE9A60F" w:rsidR="007959B4" w:rsidRPr="00D52E02" w:rsidRDefault="007959B4" w:rsidP="00B86D89">
      <w:pPr>
        <w:pStyle w:val="TEKSTIIII"/>
      </w:pPr>
      <w:bookmarkStart w:id="44" w:name="_Toc135703161"/>
      <w:r w:rsidRPr="00D52E02">
        <w:t xml:space="preserve">Institucionet </w:t>
      </w:r>
      <w:r w:rsidR="00164045" w:rsidRPr="00D52E02">
        <w:t>p</w:t>
      </w:r>
      <w:r w:rsidRPr="00D52E02">
        <w:t>jesëmarrës</w:t>
      </w:r>
      <w:bookmarkEnd w:id="44"/>
      <w:r w:rsidRPr="00D52E02">
        <w:t>e</w:t>
      </w:r>
      <w:r w:rsidR="00D52E02" w:rsidRPr="00D52E02">
        <w:t>:</w:t>
      </w:r>
    </w:p>
    <w:p w14:paraId="5FAF53D7" w14:textId="4DEA72A8" w:rsidR="007959B4" w:rsidRPr="00E266CD" w:rsidRDefault="007959B4" w:rsidP="00B86D89">
      <w:pPr>
        <w:pStyle w:val="TEKSTIIII"/>
      </w:pPr>
      <w:r w:rsidRPr="00E266CD">
        <w:t>MAS</w:t>
      </w:r>
      <w:r w:rsidR="00164045">
        <w:t>-i</w:t>
      </w:r>
      <w:r w:rsidRPr="00E266CD">
        <w:t>, AKKSHI</w:t>
      </w:r>
      <w:r w:rsidR="00164045">
        <w:t>-i</w:t>
      </w:r>
      <w:r w:rsidRPr="00E266CD">
        <w:t>, institucionet e kërkimit shkencor, IAL</w:t>
      </w:r>
      <w:r w:rsidR="00164045">
        <w:t>-të</w:t>
      </w:r>
      <w:r w:rsidRPr="00E266CD">
        <w:t>, AKFAL</w:t>
      </w:r>
      <w:r w:rsidR="00164045">
        <w:t>-i</w:t>
      </w:r>
      <w:r w:rsidRPr="00E266CD">
        <w:t>, ML</w:t>
      </w:r>
      <w:r w:rsidR="00164045">
        <w:t>-ja</w:t>
      </w:r>
      <w:r w:rsidRPr="00E266CD">
        <w:t>.</w:t>
      </w:r>
    </w:p>
    <w:p w14:paraId="643039FE" w14:textId="363D8387" w:rsidR="007959B4" w:rsidRPr="00E266CD" w:rsidRDefault="007959B4" w:rsidP="00B86D89">
      <w:pPr>
        <w:pStyle w:val="TEKSTIIII"/>
        <w:rPr>
          <w:b/>
        </w:rPr>
      </w:pPr>
      <w:bookmarkStart w:id="45" w:name="_Toc135703162"/>
      <w:r w:rsidRPr="00E266CD">
        <w:rPr>
          <w:b/>
        </w:rPr>
        <w:t>Lidhja e objektivit specifik me nënkapitullin përkatës të BE-së sipas MSA-së</w:t>
      </w:r>
      <w:bookmarkEnd w:id="45"/>
    </w:p>
    <w:p w14:paraId="5823B75A" w14:textId="5C8F6771" w:rsidR="003B7F0F" w:rsidRPr="00164045" w:rsidRDefault="007959B4" w:rsidP="00164045">
      <w:pPr>
        <w:pStyle w:val="TEKSTIIII"/>
        <w:rPr>
          <w:rFonts w:eastAsia="Times New Roman"/>
        </w:rPr>
      </w:pPr>
      <w:r w:rsidRPr="00E266CD">
        <w:rPr>
          <w:rFonts w:eastAsia="Times New Roman"/>
        </w:rPr>
        <w:t xml:space="preserve">Objektivi specifik 1.3 synon të reflektojë standardet e parashikuara në </w:t>
      </w:r>
      <w:r w:rsidR="00164045">
        <w:rPr>
          <w:rFonts w:eastAsia="Times New Roman"/>
        </w:rPr>
        <w:t>k</w:t>
      </w:r>
      <w:r w:rsidRPr="00E266CD">
        <w:rPr>
          <w:rFonts w:eastAsia="Times New Roman"/>
        </w:rPr>
        <w:t xml:space="preserve">apitullin 25 </w:t>
      </w:r>
      <w:r w:rsidRPr="00D52E02">
        <w:rPr>
          <w:rFonts w:eastAsia="Times New Roman"/>
        </w:rPr>
        <w:t xml:space="preserve">“Shkenca dhe </w:t>
      </w:r>
      <w:r w:rsidR="00164045" w:rsidRPr="00D52E02">
        <w:rPr>
          <w:rFonts w:eastAsia="Times New Roman"/>
        </w:rPr>
        <w:t>k</w:t>
      </w:r>
      <w:r w:rsidRPr="00D52E02">
        <w:rPr>
          <w:rFonts w:eastAsia="Times New Roman"/>
        </w:rPr>
        <w:t>ërkimi shkencor”, si dhe</w:t>
      </w:r>
      <w:r w:rsidR="00164045" w:rsidRPr="00D52E02">
        <w:rPr>
          <w:rFonts w:eastAsia="Times New Roman"/>
        </w:rPr>
        <w:t xml:space="preserve"> të</w:t>
      </w:r>
      <w:r w:rsidRPr="00D52E02">
        <w:rPr>
          <w:rFonts w:eastAsia="Times New Roman"/>
        </w:rPr>
        <w:t xml:space="preserve"> lidhet drejtpërdrejtë me rritjen e kapaciteteve instituci</w:t>
      </w:r>
      <w:r w:rsidRPr="00E266CD">
        <w:rPr>
          <w:rFonts w:eastAsia="Times New Roman"/>
        </w:rPr>
        <w:t xml:space="preserve">onale për të udhëhequr procesin e përafrimit të legjislacionit me </w:t>
      </w:r>
      <w:r w:rsidRPr="00E266CD">
        <w:rPr>
          <w:rFonts w:eastAsia="Times New Roman"/>
          <w:i/>
        </w:rPr>
        <w:t>acquis</w:t>
      </w:r>
      <w:r w:rsidRPr="00E266CD">
        <w:rPr>
          <w:rFonts w:eastAsia="Times New Roman"/>
        </w:rPr>
        <w:t xml:space="preserve"> </w:t>
      </w:r>
      <w:r w:rsidR="00164045">
        <w:rPr>
          <w:rFonts w:eastAsia="Times New Roman"/>
        </w:rPr>
        <w:t>të</w:t>
      </w:r>
      <w:r w:rsidRPr="00E266CD">
        <w:rPr>
          <w:rFonts w:eastAsia="Times New Roman"/>
        </w:rPr>
        <w:t xml:space="preserve"> BE</w:t>
      </w:r>
      <w:r w:rsidR="00164045">
        <w:rPr>
          <w:rFonts w:eastAsia="Times New Roman"/>
        </w:rPr>
        <w:t>-së</w:t>
      </w:r>
      <w:r w:rsidRPr="00E266CD">
        <w:rPr>
          <w:rFonts w:eastAsia="Times New Roman"/>
        </w:rPr>
        <w:t xml:space="preserve"> për këtë kapitull. Detyrimi i Shqipërisë për të ndërmarrë iniciativa politike, ligjore, institucionale dhe financiare në kapitullin 25, në mbështetje të konsolidimit të sistemit të kërkimit, rrjedh nga neni 109 i Marrëveshjes së Stabilizim-Asocimit (MSA), i cili përcakton shtyllat e bashkëpunimit ndërmjet Shqipërisë dhe Bashkimit Evropian në fushën e kërkimit shkencor dhe zhvillimit teknologjik (</w:t>
      </w:r>
      <w:r w:rsidR="00164045">
        <w:rPr>
          <w:rFonts w:eastAsia="Times New Roman"/>
        </w:rPr>
        <w:t>t</w:t>
      </w:r>
      <w:r w:rsidRPr="00E266CD">
        <w:rPr>
          <w:rFonts w:eastAsia="Times New Roman"/>
        </w:rPr>
        <w:t xml:space="preserve">itulli VIII - </w:t>
      </w:r>
      <w:r w:rsidR="00164045" w:rsidRPr="00E266CD">
        <w:rPr>
          <w:rFonts w:eastAsia="Times New Roman"/>
        </w:rPr>
        <w:t>politikat e bashkëpunimit/bashkëpunimit për kërkimin dhe zhvillimin teknologjik</w:t>
      </w:r>
      <w:r w:rsidRPr="00E266CD">
        <w:rPr>
          <w:rFonts w:eastAsia="Times New Roman"/>
        </w:rPr>
        <w:t>).</w:t>
      </w:r>
      <w:bookmarkStart w:id="46" w:name="_Toc135703163"/>
    </w:p>
    <w:p w14:paraId="76A7F16E" w14:textId="0480413B" w:rsidR="007959B4" w:rsidRPr="00164045" w:rsidRDefault="007959B4" w:rsidP="00164045">
      <w:pPr>
        <w:pStyle w:val="TEKSTIIII"/>
        <w:rPr>
          <w:b/>
        </w:rPr>
      </w:pPr>
      <w:r w:rsidRPr="00E266CD">
        <w:rPr>
          <w:b/>
        </w:rPr>
        <w:t xml:space="preserve">Lista e masave për arritjen e </w:t>
      </w:r>
      <w:r w:rsidR="00164045" w:rsidRPr="00E266CD">
        <w:rPr>
          <w:b/>
        </w:rPr>
        <w:t xml:space="preserve">objektivit specifik </w:t>
      </w:r>
      <w:r w:rsidRPr="00E266CD">
        <w:rPr>
          <w:b/>
        </w:rPr>
        <w:t>1.3:</w:t>
      </w:r>
      <w:bookmarkEnd w:id="46"/>
    </w:p>
    <w:tbl>
      <w:tblPr>
        <w:tblStyle w:val="19"/>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379C45F1" w14:textId="77777777" w:rsidTr="007003CA">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940" w:type="dxa"/>
          </w:tcPr>
          <w:p w14:paraId="23E60DD0" w14:textId="77777777" w:rsidR="007959B4" w:rsidRPr="00E266CD" w:rsidRDefault="007959B4" w:rsidP="00695B0D">
            <w:pPr>
              <w:rPr>
                <w:rFonts w:ascii="Garamond" w:eastAsia="Times New Roman" w:hAnsi="Garamond"/>
                <w:sz w:val="20"/>
              </w:rPr>
            </w:pPr>
          </w:p>
        </w:tc>
        <w:tc>
          <w:tcPr>
            <w:tcW w:w="8558" w:type="dxa"/>
          </w:tcPr>
          <w:p w14:paraId="4BAC99FC" w14:textId="2E39F46E"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164045">
              <w:rPr>
                <w:rFonts w:ascii="Garamond" w:eastAsia="Times New Roman" w:hAnsi="Garamond"/>
                <w:sz w:val="20"/>
              </w:rPr>
              <w:t>i</w:t>
            </w:r>
            <w:r w:rsidRPr="00E266CD">
              <w:rPr>
                <w:rFonts w:ascii="Garamond" w:eastAsia="Times New Roman" w:hAnsi="Garamond"/>
                <w:sz w:val="20"/>
              </w:rPr>
              <w:t xml:space="preserve"> </w:t>
            </w:r>
            <w:r w:rsidR="00164045">
              <w:rPr>
                <w:rFonts w:ascii="Garamond" w:eastAsia="Times New Roman" w:hAnsi="Garamond"/>
                <w:sz w:val="20"/>
              </w:rPr>
              <w:t>s</w:t>
            </w:r>
            <w:r w:rsidRPr="00E266CD">
              <w:rPr>
                <w:rFonts w:ascii="Garamond" w:eastAsia="Times New Roman" w:hAnsi="Garamond"/>
                <w:sz w:val="20"/>
              </w:rPr>
              <w:t>pecifik 1.3</w:t>
            </w:r>
            <w:r w:rsidR="00164045">
              <w:rPr>
                <w:rFonts w:ascii="Garamond" w:eastAsia="Times New Roman" w:hAnsi="Garamond"/>
                <w:sz w:val="20"/>
              </w:rPr>
              <w:t>:</w:t>
            </w:r>
            <w:r w:rsidRPr="00E266CD">
              <w:rPr>
                <w:rFonts w:ascii="Garamond" w:eastAsia="Times New Roman" w:hAnsi="Garamond"/>
                <w:sz w:val="20"/>
              </w:rPr>
              <w:t xml:space="preserve"> Përmirësimi i mbledhjes, përpunimit, interpretimit dhe publikimi i treguesve statistikorë dhe të tjerë të kërkimit, zhvillimit të teknologjisë dhe inovacionit</w:t>
            </w:r>
          </w:p>
        </w:tc>
      </w:tr>
      <w:tr w:rsidR="007959B4" w:rsidRPr="00E266CD" w14:paraId="7BFE5474" w14:textId="77777777" w:rsidTr="007003CA">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40" w:type="dxa"/>
          </w:tcPr>
          <w:p w14:paraId="01340FE3"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 </w:t>
            </w:r>
          </w:p>
        </w:tc>
        <w:tc>
          <w:tcPr>
            <w:tcW w:w="8558" w:type="dxa"/>
          </w:tcPr>
          <w:p w14:paraId="45522911"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78B3755E" w14:textId="77777777" w:rsidTr="00D52E02">
        <w:trPr>
          <w:trHeight w:val="35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6FAE54B"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1.3.1</w:t>
            </w:r>
          </w:p>
        </w:tc>
        <w:tc>
          <w:tcPr>
            <w:tcW w:w="8558" w:type="dxa"/>
          </w:tcPr>
          <w:p w14:paraId="423B5187"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Hartimi i metodologjisë së mbledhjes së të dhënave statistikore në fushën e kërkimit shkencor.</w:t>
            </w:r>
          </w:p>
        </w:tc>
      </w:tr>
      <w:tr w:rsidR="007959B4" w:rsidRPr="00E266CD" w14:paraId="6DA7E305" w14:textId="77777777" w:rsidTr="007003CA">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17AA8260"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1.3.2</w:t>
            </w:r>
          </w:p>
        </w:tc>
        <w:tc>
          <w:tcPr>
            <w:tcW w:w="8558" w:type="dxa"/>
          </w:tcPr>
          <w:p w14:paraId="03584DA8" w14:textId="1F703A9C"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dhe publikimi i të dhënave për kërkimin shkencor sipas periodicitetit të përcaktuar në Programin e Statistikave Zyrtare 2022</w:t>
            </w:r>
            <w:r w:rsidR="00B65BFD" w:rsidRPr="00E266CD">
              <w:rPr>
                <w:rFonts w:ascii="Garamond" w:eastAsia="Times New Roman" w:hAnsi="Garamond"/>
              </w:rPr>
              <w:t>–</w:t>
            </w:r>
            <w:r w:rsidRPr="00E266CD">
              <w:rPr>
                <w:rFonts w:ascii="Garamond" w:eastAsia="Times New Roman" w:hAnsi="Garamond"/>
                <w:sz w:val="20"/>
              </w:rPr>
              <w:t>2026</w:t>
            </w:r>
          </w:p>
        </w:tc>
      </w:tr>
      <w:tr w:rsidR="007959B4" w:rsidRPr="00E266CD" w14:paraId="1D66B4C3" w14:textId="77777777" w:rsidTr="00D52E02">
        <w:trPr>
          <w:trHeight w:val="327"/>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5CBD317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1.3.3</w:t>
            </w:r>
          </w:p>
        </w:tc>
        <w:tc>
          <w:tcPr>
            <w:tcW w:w="8558" w:type="dxa"/>
          </w:tcPr>
          <w:p w14:paraId="611FD622"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dhe publikimi i buletinit të përvitshëm për kërkimin shkencor.</w:t>
            </w:r>
          </w:p>
        </w:tc>
      </w:tr>
      <w:tr w:rsidR="007959B4" w:rsidRPr="00E266CD" w14:paraId="706710EC" w14:textId="77777777" w:rsidTr="00695B0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08317196"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1.3.4</w:t>
            </w:r>
          </w:p>
        </w:tc>
        <w:tc>
          <w:tcPr>
            <w:tcW w:w="8558" w:type="dxa"/>
          </w:tcPr>
          <w:p w14:paraId="6BDF4BAD" w14:textId="75B8A97C"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Zhvillimi i kapaciteteve të stafit të MAS</w:t>
            </w:r>
            <w:r w:rsidR="00164045">
              <w:rPr>
                <w:rFonts w:ascii="Garamond" w:eastAsia="Times New Roman" w:hAnsi="Garamond"/>
                <w:sz w:val="20"/>
              </w:rPr>
              <w:t>-it</w:t>
            </w:r>
            <w:r w:rsidRPr="00E266CD">
              <w:rPr>
                <w:rFonts w:ascii="Garamond" w:eastAsia="Times New Roman" w:hAnsi="Garamond"/>
                <w:sz w:val="20"/>
              </w:rPr>
              <w:t>, AKKSHI</w:t>
            </w:r>
            <w:r w:rsidR="00164045">
              <w:rPr>
                <w:rFonts w:ascii="Garamond" w:eastAsia="Times New Roman" w:hAnsi="Garamond"/>
                <w:sz w:val="20"/>
              </w:rPr>
              <w:t>-t</w:t>
            </w:r>
            <w:r w:rsidRPr="00E266CD">
              <w:rPr>
                <w:rFonts w:ascii="Garamond" w:eastAsia="Times New Roman" w:hAnsi="Garamond"/>
                <w:sz w:val="20"/>
              </w:rPr>
              <w:t xml:space="preserve"> dhe instituteve të tjera kërkimore për mbledhjen, analizën dhe raportimin e standardizuar të statistikave për kërkimin shkencor sipas standardeve ndërkombëtare (Eurostat, OECD).</w:t>
            </w:r>
          </w:p>
        </w:tc>
      </w:tr>
      <w:tr w:rsidR="007959B4" w:rsidRPr="00E266CD" w14:paraId="51B22037" w14:textId="77777777" w:rsidTr="00D52E02">
        <w:trPr>
          <w:trHeight w:val="444"/>
        </w:trPr>
        <w:tc>
          <w:tcPr>
            <w:cnfStyle w:val="001000000000" w:firstRow="0" w:lastRow="0" w:firstColumn="1" w:lastColumn="0" w:oddVBand="0" w:evenVBand="0" w:oddHBand="0" w:evenHBand="0" w:firstRowFirstColumn="0" w:firstRowLastColumn="0" w:lastRowFirstColumn="0" w:lastRowLastColumn="0"/>
            <w:tcW w:w="940" w:type="dxa"/>
            <w:tcBorders>
              <w:left w:val="nil"/>
              <w:bottom w:val="nil"/>
            </w:tcBorders>
          </w:tcPr>
          <w:p w14:paraId="3D012F4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1.3.5</w:t>
            </w:r>
          </w:p>
        </w:tc>
        <w:tc>
          <w:tcPr>
            <w:tcW w:w="8558" w:type="dxa"/>
          </w:tcPr>
          <w:p w14:paraId="717FDF9B" w14:textId="484ADEAD"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treguesve të performancës mbi kërkimin shkencor</w:t>
            </w:r>
            <w:r w:rsidR="00164045">
              <w:rPr>
                <w:rFonts w:ascii="Garamond" w:eastAsia="Times New Roman" w:hAnsi="Garamond"/>
                <w:sz w:val="20"/>
              </w:rPr>
              <w:t>,</w:t>
            </w:r>
            <w:r w:rsidRPr="00E266CD">
              <w:rPr>
                <w:rFonts w:ascii="Garamond" w:eastAsia="Times New Roman" w:hAnsi="Garamond"/>
                <w:sz w:val="20"/>
              </w:rPr>
              <w:t xml:space="preserve"> me qëllim krahasimin në nivel evropian dhe ndërkombëtar.</w:t>
            </w:r>
          </w:p>
        </w:tc>
      </w:tr>
    </w:tbl>
    <w:p w14:paraId="398AAED4" w14:textId="46793E46" w:rsidR="007959B4" w:rsidRPr="00E266CD" w:rsidRDefault="007959B4" w:rsidP="003B7F0F">
      <w:pPr>
        <w:pStyle w:val="TEKSTIIII"/>
        <w:rPr>
          <w:i/>
          <w:sz w:val="20"/>
          <w:szCs w:val="20"/>
        </w:rPr>
      </w:pPr>
      <w:r w:rsidRPr="00E266CD">
        <w:rPr>
          <w:i/>
          <w:sz w:val="20"/>
          <w:szCs w:val="20"/>
        </w:rPr>
        <w:t xml:space="preserve">Tabela </w:t>
      </w:r>
      <w:r w:rsidR="00B65BFD" w:rsidRPr="00E266CD">
        <w:rPr>
          <w:i/>
          <w:sz w:val="20"/>
          <w:szCs w:val="20"/>
        </w:rPr>
        <w:t>n</w:t>
      </w:r>
      <w:r w:rsidRPr="00E266CD">
        <w:rPr>
          <w:i/>
          <w:sz w:val="20"/>
          <w:szCs w:val="20"/>
        </w:rPr>
        <w:t>r.</w:t>
      </w:r>
      <w:r w:rsidR="007003CA" w:rsidRPr="00E266CD">
        <w:rPr>
          <w:i/>
          <w:sz w:val="20"/>
          <w:szCs w:val="20"/>
        </w:rPr>
        <w:t xml:space="preserve"> </w:t>
      </w:r>
      <w:r w:rsidRPr="00E266CD">
        <w:rPr>
          <w:i/>
          <w:sz w:val="20"/>
          <w:szCs w:val="20"/>
        </w:rPr>
        <w:t>3</w:t>
      </w:r>
      <w:r w:rsidR="00164045">
        <w:rPr>
          <w:i/>
          <w:sz w:val="20"/>
          <w:szCs w:val="20"/>
        </w:rPr>
        <w:t>:</w:t>
      </w:r>
      <w:r w:rsidRPr="00E266CD">
        <w:rPr>
          <w:i/>
          <w:sz w:val="20"/>
          <w:szCs w:val="20"/>
        </w:rPr>
        <w:t xml:space="preserve"> Lista e masave për arritjen e objektivit specifik 1.3</w:t>
      </w:r>
      <w:r w:rsidR="00164045">
        <w:rPr>
          <w:i/>
          <w:sz w:val="20"/>
          <w:szCs w:val="20"/>
        </w:rPr>
        <w:t>.</w:t>
      </w:r>
    </w:p>
    <w:p w14:paraId="1861D47C" w14:textId="77777777" w:rsidR="003B7F0F" w:rsidRPr="00E266CD" w:rsidRDefault="003B7F0F" w:rsidP="003B7F0F">
      <w:pPr>
        <w:pStyle w:val="TEKSTIIII"/>
      </w:pPr>
    </w:p>
    <w:p w14:paraId="23CF4A5F" w14:textId="023A1FD7" w:rsidR="007959B4" w:rsidRPr="00E266CD" w:rsidRDefault="007959B4" w:rsidP="007003CA">
      <w:pPr>
        <w:pStyle w:val="TEKSTIIII"/>
      </w:pPr>
      <w:r w:rsidRPr="00E266CD">
        <w:t xml:space="preserve">Detajimi i plotë e masave është dhënë </w:t>
      </w:r>
      <w:r w:rsidR="00164045" w:rsidRPr="00E266CD">
        <w:t xml:space="preserve">në planin e veprimit </w:t>
      </w:r>
      <w:r w:rsidRPr="00E266CD">
        <w:t>IPSIS.</w:t>
      </w:r>
    </w:p>
    <w:p w14:paraId="6264EADD" w14:textId="77777777" w:rsidR="007959B4" w:rsidRPr="00E266CD" w:rsidRDefault="007959B4" w:rsidP="003B7F0F">
      <w:pPr>
        <w:pStyle w:val="TEKSTIIII"/>
        <w:rPr>
          <w:b/>
        </w:rPr>
      </w:pPr>
      <w:bookmarkStart w:id="47" w:name="_Toc135703164"/>
      <w:r w:rsidRPr="00E266CD">
        <w:rPr>
          <w:b/>
        </w:rPr>
        <w:t>Treguesit kryesorë të rezultateve</w:t>
      </w:r>
      <w:bookmarkEnd w:id="47"/>
    </w:p>
    <w:p w14:paraId="5492FDA5" w14:textId="77777777" w:rsidR="007959B4" w:rsidRPr="00E266CD" w:rsidRDefault="007959B4" w:rsidP="003B7F0F">
      <w:pPr>
        <w:pStyle w:val="TEKSTIIII"/>
      </w:pPr>
      <w:r w:rsidRPr="00E266CD">
        <w:t>Treguesit e rezultatit të lidhur me këtë objektiv specifik janë:</w:t>
      </w:r>
    </w:p>
    <w:p w14:paraId="26198938" w14:textId="0AE422F9" w:rsidR="007959B4" w:rsidRPr="00164045" w:rsidRDefault="007959B4" w:rsidP="003B7F0F">
      <w:pPr>
        <w:pStyle w:val="TEKSTIIII"/>
      </w:pPr>
      <w:r w:rsidRPr="00164045">
        <w:rPr>
          <w:b/>
        </w:rPr>
        <w:t>Tregues 1</w:t>
      </w:r>
      <w:r w:rsidRPr="00164045">
        <w:t>: Metodologjia e mbledhjes së të dhënave statistikore në fushën e kërkimit shkencor</w:t>
      </w:r>
      <w:r w:rsidR="00164045">
        <w:t>,</w:t>
      </w:r>
      <w:r w:rsidRPr="00164045">
        <w:t xml:space="preserve"> e hartuar dhe miratuar</w:t>
      </w:r>
    </w:p>
    <w:p w14:paraId="13D7D7C2" w14:textId="7DE8E31F" w:rsidR="007959B4" w:rsidRPr="00E266CD" w:rsidRDefault="007959B4" w:rsidP="00D52E02">
      <w:pPr>
        <w:pStyle w:val="TEKSTIIII"/>
      </w:pPr>
      <w:r w:rsidRPr="00164045">
        <w:rPr>
          <w:b/>
        </w:rPr>
        <w:t>Tregues 2</w:t>
      </w:r>
      <w:r w:rsidRPr="00164045">
        <w:t>:</w:t>
      </w:r>
      <w:r w:rsidRPr="00E266CD">
        <w:t xml:space="preserve"> Përqindja e stafit të MAS</w:t>
      </w:r>
      <w:r w:rsidR="00164045">
        <w:t>-it</w:t>
      </w:r>
      <w:r w:rsidRPr="00E266CD">
        <w:t>, AKKSHI</w:t>
      </w:r>
      <w:r w:rsidR="00164045">
        <w:t>-t,</w:t>
      </w:r>
      <w:r w:rsidRPr="00E266CD">
        <w:t xml:space="preserve"> të trajnuar mbi mbledhjen, analizën dhe raportimin e standardizuar të statistikave për kërkimin shkencor</w:t>
      </w:r>
    </w:p>
    <w:p w14:paraId="5A7CED2A" w14:textId="632766AE" w:rsidR="007959B4" w:rsidRPr="00E266CD" w:rsidRDefault="007959B4" w:rsidP="003B7F0F">
      <w:pPr>
        <w:pStyle w:val="TEKSTIIII"/>
        <w:rPr>
          <w:color w:val="000000"/>
        </w:rPr>
      </w:pPr>
      <w:bookmarkStart w:id="48" w:name="_Toc135703165"/>
      <w:r w:rsidRPr="00E266CD">
        <w:rPr>
          <w:b/>
          <w:color w:val="000000"/>
        </w:rPr>
        <w:t xml:space="preserve">Qëllimi i </w:t>
      </w:r>
      <w:r w:rsidR="00164045">
        <w:rPr>
          <w:b/>
          <w:color w:val="000000"/>
        </w:rPr>
        <w:t>p</w:t>
      </w:r>
      <w:r w:rsidRPr="00E266CD">
        <w:rPr>
          <w:b/>
          <w:color w:val="000000"/>
        </w:rPr>
        <w:t>olitikës 2</w:t>
      </w:r>
      <w:bookmarkEnd w:id="48"/>
    </w:p>
    <w:p w14:paraId="05A34D3C" w14:textId="4F18B448" w:rsidR="007959B4" w:rsidRPr="00E266CD" w:rsidRDefault="007959B4" w:rsidP="003B7F0F">
      <w:pPr>
        <w:pStyle w:val="TEKSTIIII"/>
        <w:rPr>
          <w:b/>
        </w:rPr>
      </w:pPr>
      <w:bookmarkStart w:id="49" w:name="_Toc135703166"/>
      <w:r w:rsidRPr="00E266CD">
        <w:rPr>
          <w:b/>
          <w:color w:val="000000"/>
        </w:rPr>
        <w:t xml:space="preserve">Qëllimi i </w:t>
      </w:r>
      <w:r w:rsidR="00164045">
        <w:rPr>
          <w:b/>
          <w:color w:val="000000"/>
        </w:rPr>
        <w:t>p</w:t>
      </w:r>
      <w:r w:rsidRPr="00E266CD">
        <w:rPr>
          <w:b/>
          <w:color w:val="000000"/>
        </w:rPr>
        <w:t xml:space="preserve">olitikës 2: </w:t>
      </w:r>
      <w:r w:rsidRPr="00E266CD">
        <w:rPr>
          <w:b/>
        </w:rPr>
        <w:t>Krijimi i një mjedisi që lehtëson dhe inkurajon mekanizmat e ndërveprimit dhe transferimit të teknologjive për bashkëpunim midis komunitetit të kërkimit, ekonomisë,</w:t>
      </w:r>
      <w:r w:rsidR="007715D0" w:rsidRPr="00E266CD">
        <w:rPr>
          <w:b/>
        </w:rPr>
        <w:t xml:space="preserve"> </w:t>
      </w:r>
      <w:r w:rsidRPr="00E266CD">
        <w:rPr>
          <w:b/>
        </w:rPr>
        <w:t>inovacionit dhe institucioneve publike</w:t>
      </w:r>
      <w:bookmarkEnd w:id="49"/>
    </w:p>
    <w:p w14:paraId="64D6BCA1" w14:textId="77777777" w:rsidR="007959B4" w:rsidRPr="00E266CD" w:rsidRDefault="007959B4" w:rsidP="003B7F0F">
      <w:pPr>
        <w:pStyle w:val="TEKSTIIII"/>
      </w:pPr>
      <w:r w:rsidRPr="00E266CD">
        <w:t>Ky qëllim i politikës synohet të realizohet gjatë kohëzgjatjes së zbatimit të strategjisë dhe do të ndërtojë kapacitete për gjenerimin dhe transferimin e teknologjive nëpërmjet realizimit të objektivave specifikë që janë:</w:t>
      </w:r>
    </w:p>
    <w:p w14:paraId="1D0F516B" w14:textId="702BEA05" w:rsidR="007959B4" w:rsidRPr="00E266CD" w:rsidRDefault="007959B4" w:rsidP="003B7F0F">
      <w:pPr>
        <w:pStyle w:val="TEKSTIIII"/>
      </w:pPr>
      <w:r w:rsidRPr="00E266CD">
        <w:rPr>
          <w:b/>
        </w:rPr>
        <w:t xml:space="preserve">Objektivi </w:t>
      </w:r>
      <w:r w:rsidR="00164045">
        <w:rPr>
          <w:b/>
        </w:rPr>
        <w:t>s</w:t>
      </w:r>
      <w:r w:rsidRPr="00E266CD">
        <w:rPr>
          <w:b/>
        </w:rPr>
        <w:t xml:space="preserve">pecifik 1: </w:t>
      </w:r>
      <w:r w:rsidRPr="00E266CD">
        <w:t xml:space="preserve">Rritja e bashkëpunimit ndërmjet </w:t>
      </w:r>
      <w:r w:rsidR="00164045" w:rsidRPr="00E266CD">
        <w:t>institucioneve të arsimit të lartë</w:t>
      </w:r>
      <w:r w:rsidRPr="00E266CD">
        <w:t>, institucioneve të pushtetit qendror dhe pushtetit vendor, sektorit të biznesit dhe shoqërisë civile nëpërmjet zgjerimit të kërkimit dhe zhvillimit të projekteve të përbashkëta (</w:t>
      </w:r>
      <w:r w:rsidRPr="00E266CD">
        <w:rPr>
          <w:i/>
        </w:rPr>
        <w:t>Quadruple Helix Model</w:t>
      </w:r>
      <w:r w:rsidRPr="00E266CD">
        <w:t>).</w:t>
      </w:r>
    </w:p>
    <w:p w14:paraId="6FB3430B" w14:textId="3B922DCB" w:rsidR="007959B4" w:rsidRPr="00E266CD" w:rsidRDefault="007959B4" w:rsidP="003B7F0F">
      <w:pPr>
        <w:pStyle w:val="TEKSTIIII"/>
      </w:pPr>
      <w:r w:rsidRPr="00E266CD">
        <w:rPr>
          <w:b/>
        </w:rPr>
        <w:t xml:space="preserve">Objektivi </w:t>
      </w:r>
      <w:r w:rsidR="00164045">
        <w:rPr>
          <w:b/>
        </w:rPr>
        <w:t>s</w:t>
      </w:r>
      <w:r w:rsidRPr="00E266CD">
        <w:rPr>
          <w:b/>
        </w:rPr>
        <w:t xml:space="preserve">pecifik 2: </w:t>
      </w:r>
      <w:r w:rsidRPr="00E266CD">
        <w:t>Përmirësimi i mekanizmave dhe rritja e mbështetjes së transferimit ndërkombëtar të teknologjisë (TNT).</w:t>
      </w:r>
    </w:p>
    <w:p w14:paraId="4B2000A5" w14:textId="27BEED32" w:rsidR="007959B4" w:rsidRPr="00E266CD" w:rsidRDefault="007959B4" w:rsidP="003B7F0F">
      <w:pPr>
        <w:pStyle w:val="TEKSTIIII"/>
      </w:pPr>
      <w:r w:rsidRPr="00E266CD">
        <w:rPr>
          <w:b/>
        </w:rPr>
        <w:t xml:space="preserve">Objektivi </w:t>
      </w:r>
      <w:r w:rsidR="00164045">
        <w:rPr>
          <w:b/>
        </w:rPr>
        <w:t>s</w:t>
      </w:r>
      <w:r w:rsidRPr="00E266CD">
        <w:rPr>
          <w:b/>
        </w:rPr>
        <w:t xml:space="preserve">pecifik 3: </w:t>
      </w:r>
      <w:r w:rsidRPr="00E266CD">
        <w:t>Rritja e rolit të shkencës dhe inovacionit në zhvillimin teknologjik.</w:t>
      </w:r>
    </w:p>
    <w:p w14:paraId="25C59954" w14:textId="0C1F9EB5" w:rsidR="007959B4" w:rsidRPr="00E266CD" w:rsidRDefault="007959B4" w:rsidP="003B7F0F">
      <w:pPr>
        <w:pStyle w:val="TEKSTIIII"/>
      </w:pPr>
      <w:r w:rsidRPr="00E266CD">
        <w:rPr>
          <w:b/>
        </w:rPr>
        <w:t xml:space="preserve">Objektivi </w:t>
      </w:r>
      <w:r w:rsidR="00164045">
        <w:rPr>
          <w:b/>
        </w:rPr>
        <w:t>s</w:t>
      </w:r>
      <w:r w:rsidRPr="00E266CD">
        <w:rPr>
          <w:b/>
        </w:rPr>
        <w:t xml:space="preserve">pecifik 4: </w:t>
      </w:r>
      <w:r w:rsidRPr="00E266CD">
        <w:t>Fuqizimi dhe rritja e kapaciteteve të qendrave të transferimit të teknologjisë për të avancuar njohuritë në një fushë të caktuar ose për të zhvilluar më tej teknologjinë.</w:t>
      </w:r>
    </w:p>
    <w:p w14:paraId="2897E7C2" w14:textId="5297E157" w:rsidR="007959B4" w:rsidRPr="00E266CD" w:rsidRDefault="007959B4" w:rsidP="003B7F0F">
      <w:pPr>
        <w:pStyle w:val="TEKSTIIII"/>
      </w:pPr>
      <w:r w:rsidRPr="00E266CD">
        <w:t>Institucionet përgjegjëse drejtuese janë:</w:t>
      </w:r>
    </w:p>
    <w:p w14:paraId="232137C5" w14:textId="77777777" w:rsidR="00B65BFD" w:rsidRPr="00E266CD" w:rsidRDefault="007959B4" w:rsidP="003B7F0F">
      <w:pPr>
        <w:pStyle w:val="TEKSTIIII"/>
      </w:pPr>
      <w:r w:rsidRPr="00E266CD">
        <w:t>MBZHR, AKKSHI, MAS, MFE, DPPI, AKFAL</w:t>
      </w:r>
      <w:r w:rsidR="00B65BFD" w:rsidRPr="00E266CD">
        <w:t xml:space="preserve"> </w:t>
      </w:r>
    </w:p>
    <w:p w14:paraId="66A2D8D0" w14:textId="27AC96C8" w:rsidR="007959B4" w:rsidRPr="00E266CD" w:rsidRDefault="007959B4" w:rsidP="003B7F0F">
      <w:pPr>
        <w:pStyle w:val="TEKSTIIII"/>
      </w:pPr>
      <w:r w:rsidRPr="00E266CD">
        <w:t>Ndërkohë institucionet kryesore pjesëmarrëse janë:</w:t>
      </w:r>
    </w:p>
    <w:p w14:paraId="10648D84" w14:textId="20BCF995" w:rsidR="007959B4" w:rsidRPr="00E266CD" w:rsidRDefault="007959B4" w:rsidP="003B7F0F">
      <w:pPr>
        <w:pStyle w:val="TEKSTIIII"/>
      </w:pPr>
      <w:r w:rsidRPr="00E266CD">
        <w:t xml:space="preserve">MAS, IAL, AIDA, ML, </w:t>
      </w:r>
      <w:r w:rsidRPr="00E266CD">
        <w:rPr>
          <w:shd w:val="clear" w:color="auto" w:fill="FFFFFF" w:themeFill="background1"/>
        </w:rPr>
        <w:t>DPPI,</w:t>
      </w:r>
      <w:r w:rsidRPr="00E266CD">
        <w:t xml:space="preserve"> AKKSHI; NJQV, ML, AKSHI, QTT, </w:t>
      </w:r>
      <w:r w:rsidR="00164045">
        <w:t>i</w:t>
      </w:r>
      <w:r w:rsidRPr="00E266CD">
        <w:t>nstitutet kërkimore</w:t>
      </w:r>
    </w:p>
    <w:p w14:paraId="7C95AE48" w14:textId="686530D6" w:rsidR="007959B4" w:rsidRPr="00E266CD" w:rsidRDefault="007959B4" w:rsidP="003B7F0F">
      <w:pPr>
        <w:pStyle w:val="TEKSTIIII"/>
      </w:pPr>
      <w:r w:rsidRPr="00E266CD">
        <w:t xml:space="preserve">Programet kryesore buxhetore, fondet e të cilëve do </w:t>
      </w:r>
      <w:r w:rsidR="00A74C97">
        <w:t xml:space="preserve">të </w:t>
      </w:r>
      <w:r w:rsidRPr="00E266CD">
        <w:t>kontribuojnë drejtpërdrejtë në realizimin e qëllimit janë:</w:t>
      </w:r>
    </w:p>
    <w:p w14:paraId="154BFC3E"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Financave dhe Ekonomisë</w:t>
      </w:r>
    </w:p>
    <w:tbl>
      <w:tblPr>
        <w:tblStyle w:val="18"/>
        <w:tblW w:w="8190" w:type="dxa"/>
        <w:tblInd w:w="-23" w:type="dxa"/>
        <w:tblLayout w:type="fixed"/>
        <w:tblLook w:val="0400" w:firstRow="0" w:lastRow="0" w:firstColumn="0" w:lastColumn="0" w:noHBand="0" w:noVBand="1"/>
      </w:tblPr>
      <w:tblGrid>
        <w:gridCol w:w="1095"/>
        <w:gridCol w:w="7095"/>
      </w:tblGrid>
      <w:tr w:rsidR="007959B4" w:rsidRPr="00E266CD" w14:paraId="075FE240" w14:textId="77777777" w:rsidTr="00695B0D">
        <w:trPr>
          <w:trHeight w:val="255"/>
        </w:trPr>
        <w:tc>
          <w:tcPr>
            <w:tcW w:w="1095" w:type="dxa"/>
            <w:tcBorders>
              <w:top w:val="dotted" w:sz="4" w:space="0" w:color="000000"/>
              <w:left w:val="single" w:sz="6" w:space="0" w:color="000000"/>
              <w:bottom w:val="dotted" w:sz="4" w:space="0" w:color="000000"/>
              <w:right w:val="nil"/>
            </w:tcBorders>
            <w:shd w:val="clear" w:color="auto" w:fill="auto"/>
            <w:vAlign w:val="bottom"/>
          </w:tcPr>
          <w:p w14:paraId="1F188235"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04130</w:t>
            </w:r>
          </w:p>
        </w:tc>
        <w:tc>
          <w:tcPr>
            <w:tcW w:w="7095" w:type="dxa"/>
            <w:tcBorders>
              <w:top w:val="dotted" w:sz="4" w:space="0" w:color="000000"/>
              <w:left w:val="single" w:sz="4" w:space="0" w:color="000000"/>
              <w:bottom w:val="dotted" w:sz="4" w:space="0" w:color="000000"/>
              <w:right w:val="single" w:sz="4" w:space="0" w:color="000000"/>
            </w:tcBorders>
            <w:shd w:val="clear" w:color="auto" w:fill="auto"/>
            <w:vAlign w:val="bottom"/>
          </w:tcPr>
          <w:p w14:paraId="0A480120" w14:textId="2A6C68DA"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164045" w:rsidRPr="00E266CD">
              <w:rPr>
                <w:rFonts w:ascii="Garamond" w:eastAsia="Times New Roman" w:hAnsi="Garamond"/>
                <w:sz w:val="24"/>
                <w:szCs w:val="24"/>
              </w:rPr>
              <w:t>zhvillim ekonomik</w:t>
            </w:r>
          </w:p>
        </w:tc>
      </w:tr>
      <w:tr w:rsidR="007959B4" w:rsidRPr="00E266CD" w14:paraId="0EE088BD" w14:textId="77777777" w:rsidTr="00695B0D">
        <w:trPr>
          <w:trHeight w:val="255"/>
        </w:trPr>
        <w:tc>
          <w:tcPr>
            <w:tcW w:w="1095" w:type="dxa"/>
            <w:tcBorders>
              <w:top w:val="nil"/>
              <w:left w:val="single" w:sz="6" w:space="0" w:color="000000"/>
              <w:bottom w:val="dotted" w:sz="4" w:space="0" w:color="000000"/>
              <w:right w:val="nil"/>
            </w:tcBorders>
            <w:shd w:val="clear" w:color="auto" w:fill="auto"/>
            <w:vAlign w:val="bottom"/>
          </w:tcPr>
          <w:p w14:paraId="0477588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04160</w:t>
            </w:r>
          </w:p>
        </w:tc>
        <w:tc>
          <w:tcPr>
            <w:tcW w:w="7095" w:type="dxa"/>
            <w:tcBorders>
              <w:top w:val="nil"/>
              <w:left w:val="single" w:sz="4" w:space="0" w:color="000000"/>
              <w:bottom w:val="dotted" w:sz="4" w:space="0" w:color="000000"/>
              <w:right w:val="single" w:sz="4" w:space="0" w:color="000000"/>
            </w:tcBorders>
            <w:shd w:val="clear" w:color="auto" w:fill="auto"/>
            <w:vAlign w:val="bottom"/>
          </w:tcPr>
          <w:p w14:paraId="718B7A52" w14:textId="2B84874E"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164045" w:rsidRPr="00E266CD">
              <w:rPr>
                <w:rFonts w:ascii="Garamond" w:eastAsia="Times New Roman" w:hAnsi="Garamond"/>
                <w:sz w:val="24"/>
                <w:szCs w:val="24"/>
              </w:rPr>
              <w:t>mbikq. e tregut, infrast. e cilës. dhe pron. industr</w:t>
            </w:r>
            <w:r w:rsidRPr="00E266CD">
              <w:rPr>
                <w:rFonts w:ascii="Garamond" w:eastAsia="Times New Roman" w:hAnsi="Garamond"/>
                <w:sz w:val="24"/>
                <w:szCs w:val="24"/>
              </w:rPr>
              <w:t>.</w:t>
            </w:r>
          </w:p>
        </w:tc>
      </w:tr>
    </w:tbl>
    <w:p w14:paraId="56EA7255"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Arsimit dhe Sporteve</w:t>
      </w:r>
    </w:p>
    <w:tbl>
      <w:tblPr>
        <w:tblStyle w:val="17"/>
        <w:tblW w:w="6616" w:type="dxa"/>
        <w:tblInd w:w="-23" w:type="dxa"/>
        <w:tblLayout w:type="fixed"/>
        <w:tblLook w:val="0400" w:firstRow="0" w:lastRow="0" w:firstColumn="0" w:lastColumn="0" w:noHBand="0" w:noVBand="1"/>
      </w:tblPr>
      <w:tblGrid>
        <w:gridCol w:w="1095"/>
        <w:gridCol w:w="5521"/>
      </w:tblGrid>
      <w:tr w:rsidR="007959B4" w:rsidRPr="00E266CD" w14:paraId="525745B6" w14:textId="77777777" w:rsidTr="00695B0D">
        <w:trPr>
          <w:trHeight w:val="255"/>
        </w:trPr>
        <w:tc>
          <w:tcPr>
            <w:tcW w:w="1095" w:type="dxa"/>
            <w:tcBorders>
              <w:top w:val="dotted" w:sz="4" w:space="0" w:color="000000"/>
              <w:left w:val="single" w:sz="6" w:space="0" w:color="000000"/>
              <w:bottom w:val="dotted" w:sz="4" w:space="0" w:color="000000"/>
              <w:right w:val="nil"/>
            </w:tcBorders>
            <w:shd w:val="clear" w:color="auto" w:fill="auto"/>
            <w:vAlign w:val="bottom"/>
          </w:tcPr>
          <w:p w14:paraId="7B30FF2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09450</w:t>
            </w:r>
          </w:p>
        </w:tc>
        <w:tc>
          <w:tcPr>
            <w:tcW w:w="5521" w:type="dxa"/>
            <w:tcBorders>
              <w:top w:val="dotted" w:sz="4" w:space="0" w:color="000000"/>
              <w:left w:val="single" w:sz="4" w:space="0" w:color="000000"/>
              <w:bottom w:val="dotted" w:sz="4" w:space="0" w:color="000000"/>
              <w:right w:val="single" w:sz="4" w:space="0" w:color="000000"/>
            </w:tcBorders>
            <w:shd w:val="clear" w:color="auto" w:fill="auto"/>
            <w:vAlign w:val="bottom"/>
          </w:tcPr>
          <w:p w14:paraId="21B9073C"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Arsimi Universitar</w:t>
            </w:r>
          </w:p>
        </w:tc>
      </w:tr>
      <w:tr w:rsidR="007959B4" w:rsidRPr="00E266CD" w14:paraId="2E399298" w14:textId="77777777" w:rsidTr="00695B0D">
        <w:trPr>
          <w:trHeight w:val="255"/>
        </w:trPr>
        <w:tc>
          <w:tcPr>
            <w:tcW w:w="1095" w:type="dxa"/>
            <w:tcBorders>
              <w:top w:val="nil"/>
              <w:left w:val="single" w:sz="6" w:space="0" w:color="000000"/>
              <w:bottom w:val="nil"/>
              <w:right w:val="nil"/>
            </w:tcBorders>
            <w:shd w:val="clear" w:color="auto" w:fill="auto"/>
            <w:vAlign w:val="bottom"/>
          </w:tcPr>
          <w:p w14:paraId="791A4ACE"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09770</w:t>
            </w:r>
          </w:p>
        </w:tc>
        <w:tc>
          <w:tcPr>
            <w:tcW w:w="5521" w:type="dxa"/>
            <w:tcBorders>
              <w:top w:val="nil"/>
              <w:left w:val="single" w:sz="4" w:space="0" w:color="000000"/>
              <w:bottom w:val="nil"/>
              <w:right w:val="single" w:sz="4" w:space="0" w:color="000000"/>
            </w:tcBorders>
            <w:shd w:val="clear" w:color="auto" w:fill="auto"/>
            <w:vAlign w:val="bottom"/>
          </w:tcPr>
          <w:p w14:paraId="00B4AC10"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Fonde për Shkencën</w:t>
            </w:r>
          </w:p>
        </w:tc>
      </w:tr>
    </w:tbl>
    <w:p w14:paraId="71B98E35" w14:textId="77777777" w:rsidR="007959B4" w:rsidRPr="00E266CD" w:rsidRDefault="007959B4" w:rsidP="007959B4">
      <w:pPr>
        <w:rPr>
          <w:rFonts w:ascii="Garamond" w:eastAsia="Times New Roman" w:hAnsi="Garamond"/>
          <w:sz w:val="24"/>
          <w:szCs w:val="24"/>
        </w:rPr>
      </w:pPr>
    </w:p>
    <w:p w14:paraId="76918D69" w14:textId="77777777" w:rsidR="003B7F0F" w:rsidRPr="00E266CD" w:rsidRDefault="007959B4" w:rsidP="003B7F0F">
      <w:pPr>
        <w:pStyle w:val="TEKSTIIII"/>
      </w:pPr>
      <w:r w:rsidRPr="00E266CD">
        <w:t>Ministria e Bujqësisë dhe Zhvillimit Rural: 04860 Këshillimi dhe Informacioni Bujqësor</w:t>
      </w:r>
    </w:p>
    <w:p w14:paraId="48EAEB02" w14:textId="567D1BDC" w:rsidR="007959B4" w:rsidRPr="00E266CD" w:rsidRDefault="007959B4" w:rsidP="003B7F0F">
      <w:pPr>
        <w:pStyle w:val="TEKSTIIII"/>
      </w:pPr>
      <w:r w:rsidRPr="00E266CD">
        <w:t>Qëllimi i dytë i politikës reflekton OZHQ 9 “</w:t>
      </w:r>
      <w:r w:rsidRPr="00D52E02">
        <w:t xml:space="preserve">Industri, </w:t>
      </w:r>
      <w:r w:rsidR="00164045" w:rsidRPr="00D52E02">
        <w:t>inovacion dhe infrastrukturë</w:t>
      </w:r>
      <w:r w:rsidR="00164045" w:rsidRPr="00E266CD">
        <w:rPr>
          <w:b/>
        </w:rPr>
        <w:t xml:space="preserve"> </w:t>
      </w:r>
      <w:r w:rsidRPr="00E266CD">
        <w:rPr>
          <w:b/>
        </w:rPr>
        <w:t>-</w:t>
      </w:r>
      <w:r w:rsidR="003B7F0F" w:rsidRPr="00E266CD">
        <w:t xml:space="preserve"> </w:t>
      </w:r>
      <w:r w:rsidRPr="00E266CD">
        <w:t>sipas të cilit shtetet janë zotuar të ndërtojnë një infrastruktur</w:t>
      </w:r>
      <w:r w:rsidR="00164045">
        <w:t>ë</w:t>
      </w:r>
      <w:r w:rsidRPr="00E266CD">
        <w:t xml:space="preserve"> elastike, të promovojnë industrializimin e qëndrueshëm dhe gjithëpërfshirës dhe të nxisin inovacionin.”.</w:t>
      </w:r>
    </w:p>
    <w:p w14:paraId="77467AEC" w14:textId="53982754" w:rsidR="007959B4" w:rsidRPr="00E266CD" w:rsidRDefault="007959B4" w:rsidP="003B7F0F">
      <w:pPr>
        <w:pStyle w:val="TEKSTIIII"/>
      </w:pPr>
      <w:r w:rsidRPr="00E266CD">
        <w:t xml:space="preserve">Në </w:t>
      </w:r>
      <w:r w:rsidR="00B65BFD" w:rsidRPr="00E266CD">
        <w:t>v</w:t>
      </w:r>
      <w:r w:rsidR="00164045">
        <w:t>eç</w:t>
      </w:r>
      <w:r w:rsidR="00B65BFD" w:rsidRPr="00E266CD">
        <w:t>anti</w:t>
      </w:r>
      <w:r w:rsidRPr="00E266CD">
        <w:t>, ky q</w:t>
      </w:r>
      <w:r w:rsidRPr="00E266CD">
        <w:rPr>
          <w:rFonts w:cs="Garamond"/>
        </w:rPr>
        <w:t>ë</w:t>
      </w:r>
      <w:r w:rsidRPr="00E266CD">
        <w:t xml:space="preserve">llim reflekton </w:t>
      </w:r>
      <w:r w:rsidRPr="00D52E02">
        <w:t>synimet 9.5 të OZHQ 9</w:t>
      </w:r>
      <w:r w:rsidRPr="00E266CD">
        <w:t xml:space="preserve">, në kontekstin e </w:t>
      </w:r>
      <w:r w:rsidR="00164045" w:rsidRPr="00E266CD">
        <w:t xml:space="preserve">objektivave të zhvillimit të qëndrueshëm </w:t>
      </w:r>
      <w:r w:rsidRPr="00E266CD">
        <w:t>2015</w:t>
      </w:r>
      <w:r w:rsidR="00B65BFD" w:rsidRPr="00E266CD">
        <w:rPr>
          <w:rFonts w:eastAsia="Times New Roman"/>
        </w:rPr>
        <w:t>–</w:t>
      </w:r>
      <w:r w:rsidRPr="00E266CD">
        <w:t>2030</w:t>
      </w:r>
      <w:r w:rsidR="00164045">
        <w:t>,</w:t>
      </w:r>
      <w:r w:rsidRPr="00E266CD">
        <w:t xml:space="preserve"> për të inkurajuar maksimizimin e kërkimit shkencor, përmirësimin e aftësive teknologjike të sektorëve industrialë në të gjitha vendet, në veçanti vendet në zhvillim, duke përfshirë, deri në vitin 2030, inkurajimin e inovacionit dhe rritjen e konsiderueshme të numrit të kërkuesve shkencor</w:t>
      </w:r>
      <w:r w:rsidR="00164045">
        <w:t>ë</w:t>
      </w:r>
      <w:r w:rsidRPr="00E266CD">
        <w:t xml:space="preserve"> dhe shpenzimeve publike dhe private të kërkimit dhe zhvillimit.</w:t>
      </w:r>
    </w:p>
    <w:p w14:paraId="5DEFBC3F" w14:textId="6A5E138C" w:rsidR="007959B4" w:rsidRPr="00D52E02" w:rsidRDefault="007959B4" w:rsidP="00D52E02">
      <w:pPr>
        <w:pStyle w:val="TEKSTIIII"/>
        <w:rPr>
          <w:b/>
        </w:rPr>
      </w:pPr>
      <w:bookmarkStart w:id="50" w:name="_Toc135703167"/>
      <w:r w:rsidRPr="00E266CD">
        <w:rPr>
          <w:b/>
        </w:rPr>
        <w:t xml:space="preserve">Objektivi </w:t>
      </w:r>
      <w:r w:rsidR="00164045">
        <w:rPr>
          <w:b/>
        </w:rPr>
        <w:t>s</w:t>
      </w:r>
      <w:r w:rsidRPr="00E266CD">
        <w:rPr>
          <w:b/>
        </w:rPr>
        <w:t>pecifik 2.1:</w:t>
      </w:r>
      <w:r w:rsidR="00164045">
        <w:rPr>
          <w:b/>
        </w:rPr>
        <w:t xml:space="preserve"> </w:t>
      </w:r>
      <w:r w:rsidRPr="00E266CD">
        <w:rPr>
          <w:b/>
        </w:rPr>
        <w:t xml:space="preserve">Rritja e bashkëpunimit ndërmjet </w:t>
      </w:r>
      <w:r w:rsidR="00164045" w:rsidRPr="00E266CD">
        <w:rPr>
          <w:b/>
        </w:rPr>
        <w:t>institucioneve të arsimit të lartë, institucioneve të pushte</w:t>
      </w:r>
      <w:r w:rsidRPr="00E266CD">
        <w:rPr>
          <w:b/>
        </w:rPr>
        <w:t>tit qendror dhe pushtetit vendor, sektorit të biznesit dhe shoqërisë civile nëpërmjet zgjerimit të kërkimit dhe zhvillimit të projekteve të përbashkëta (</w:t>
      </w:r>
      <w:r w:rsidRPr="00E266CD">
        <w:rPr>
          <w:b/>
          <w:i/>
        </w:rPr>
        <w:t>Quadruple Helix Model</w:t>
      </w:r>
      <w:r w:rsidRPr="00E266CD">
        <w:rPr>
          <w:b/>
        </w:rPr>
        <w:t>)</w:t>
      </w:r>
      <w:bookmarkEnd w:id="50"/>
    </w:p>
    <w:p w14:paraId="5115A2A3" w14:textId="5997EE41" w:rsidR="007959B4" w:rsidRPr="00E266CD" w:rsidRDefault="007959B4" w:rsidP="003B7F0F">
      <w:pPr>
        <w:pStyle w:val="TEKSTIIII"/>
        <w:rPr>
          <w:b/>
        </w:rPr>
      </w:pPr>
      <w:bookmarkStart w:id="51" w:name="_Toc135703168"/>
      <w:r w:rsidRPr="00E266CD">
        <w:rPr>
          <w:b/>
        </w:rPr>
        <w:t xml:space="preserve">Analiza e </w:t>
      </w:r>
      <w:r w:rsidR="00164045" w:rsidRPr="00E266CD">
        <w:rPr>
          <w:b/>
        </w:rPr>
        <w:t>situatës dhe sfidat</w:t>
      </w:r>
      <w:bookmarkEnd w:id="51"/>
    </w:p>
    <w:p w14:paraId="460D3AAE" w14:textId="5AF04580" w:rsidR="007959B4" w:rsidRPr="00E266CD" w:rsidRDefault="007959B4" w:rsidP="00164045">
      <w:pPr>
        <w:pStyle w:val="TEKSTIIII"/>
      </w:pPr>
      <w:r w:rsidRPr="00E266CD">
        <w:t>Realizimi i këtij objektivi vazhdon të mbetet një sfidë për Shqipërinë. Megjithatë, gjatë periudhës 2020</w:t>
      </w:r>
      <w:r w:rsidR="00B65BFD" w:rsidRPr="00E266CD">
        <w:rPr>
          <w:rFonts w:eastAsia="Times New Roman"/>
        </w:rPr>
        <w:t>–</w:t>
      </w:r>
      <w:r w:rsidRPr="00E266CD">
        <w:t>2021</w:t>
      </w:r>
      <w:r w:rsidR="00164045">
        <w:t>,</w:t>
      </w:r>
      <w:r w:rsidRPr="00E266CD">
        <w:t xml:space="preserve"> ka pasur një sërë përpjekjesh me synimin për të krijuar ura bashkëpunimi mes katër aktorëve kryesorë që janë të përfshirë në skemë. Kështu, gjatë 2021</w:t>
      </w:r>
      <w:r w:rsidR="00164045">
        <w:t>-shit</w:t>
      </w:r>
      <w:r w:rsidRPr="00E266CD">
        <w:t xml:space="preserve"> ka filluar zbatimi i një projekti për ngritje kapacitetesh në arsimin e lartë në kuadër të programit Erasmus+ me titull “</w:t>
      </w:r>
      <w:r w:rsidRPr="00E266CD">
        <w:rPr>
          <w:i/>
        </w:rPr>
        <w:t>University</w:t>
      </w:r>
      <w:r w:rsidRPr="00E266CD">
        <w:t xml:space="preserve"> </w:t>
      </w:r>
      <w:r w:rsidRPr="00E266CD">
        <w:rPr>
          <w:i/>
        </w:rPr>
        <w:t>to Society Innomediaries in Albania</w:t>
      </w:r>
      <w:r w:rsidRPr="00E266CD">
        <w:t xml:space="preserve">: </w:t>
      </w:r>
      <w:r w:rsidRPr="00E266CD">
        <w:rPr>
          <w:i/>
        </w:rPr>
        <w:t>Co-Production of knowledge and research that matters</w:t>
      </w:r>
      <w:r w:rsidRPr="00E266CD">
        <w:t>” (</w:t>
      </w:r>
      <w:r w:rsidR="00164045">
        <w:t>p</w:t>
      </w:r>
      <w:r w:rsidRPr="00E266CD">
        <w:t>rojekti USIA). Ky projekt bashkon universitetet, organizatat e shoqërisë civile, institucionet publike dhe organizatat e biznesit për të përmirësuar një mjedis aftësues të arsimit të lartë që mbështet bashkëpunimin e universitetit me shoqërinë</w:t>
      </w:r>
      <w:r w:rsidR="00164045">
        <w:t>,</w:t>
      </w:r>
      <w:r w:rsidRPr="00E266CD">
        <w:t xml:space="preserve"> në mënyrë që të bashkëprodhojnë njohuri dhe kërkime me një ndikim jo vetëm akademik, por edhe të zbatueshëm për zhvillimi</w:t>
      </w:r>
      <w:r w:rsidR="00164045">
        <w:t>n</w:t>
      </w:r>
      <w:r w:rsidRPr="00E266CD">
        <w:t xml:space="preserve"> </w:t>
      </w:r>
      <w:r w:rsidR="00164045">
        <w:t>e</w:t>
      </w:r>
      <w:r w:rsidRPr="00E266CD">
        <w:t xml:space="preserve"> Shqipërisë në dritën e integrimit evropian dhe sfidave të shumta aktuale.</w:t>
      </w:r>
      <w:r w:rsidRPr="00E266CD">
        <w:rPr>
          <w:vertAlign w:val="superscript"/>
        </w:rPr>
        <w:footnoteReference w:id="43"/>
      </w:r>
    </w:p>
    <w:p w14:paraId="0490FB88" w14:textId="72E0CEC1" w:rsidR="007959B4" w:rsidRPr="00E266CD" w:rsidRDefault="007959B4" w:rsidP="003B7F0F">
      <w:pPr>
        <w:pStyle w:val="TEKSTIIII"/>
      </w:pPr>
      <w:r w:rsidRPr="00E266CD">
        <w:t xml:space="preserve">Në të njëjtën kohë, projekti synonte forcimin e kapaciteteve institucionale dhe të burimeve njerëzore në universitetet në Shqipëri nëpërmjet krijimit të njësisë së </w:t>
      </w:r>
      <w:r w:rsidR="00164045" w:rsidRPr="00E266CD">
        <w:t>transferimit të njohurive dhe brokerimit të inovacionit</w:t>
      </w:r>
      <w:r w:rsidR="00164045">
        <w:t>,</w:t>
      </w:r>
      <w:r w:rsidR="00164045" w:rsidRPr="00E266CD">
        <w:t xml:space="preserve"> </w:t>
      </w:r>
      <w:r w:rsidRPr="00E266CD">
        <w:t xml:space="preserve">që lidh në mënyrë të institucionalizuar dhe të qëndrueshme universitetin me biznesin, qeverinë, shoqërinë civile dhe median. Gjithashtu, projekti do të krijonte dhe zgjeronte një rrjet </w:t>
      </w:r>
      <w:r w:rsidRPr="00E266CD">
        <w:rPr>
          <w:i/>
        </w:rPr>
        <w:t>Quadruple Helix</w:t>
      </w:r>
      <w:r w:rsidRPr="00E266CD">
        <w:t xml:space="preserve"> dhe platformë </w:t>
      </w:r>
      <w:r w:rsidRPr="00E266CD">
        <w:rPr>
          <w:i/>
        </w:rPr>
        <w:t>online</w:t>
      </w:r>
      <w:r w:rsidRPr="00E266CD">
        <w:t xml:space="preserve"> e cila do të ofronte rrjetëzim, ndërmjetësim, zhvillim kapacitetesh, mbështetje dhe vlerësim për aktorët akademikë dhe joakademik</w:t>
      </w:r>
      <w:r w:rsidR="00164045">
        <w:t>ë</w:t>
      </w:r>
      <w:r w:rsidRPr="00E266CD">
        <w:t>. Projekti u dha përparësi grave dhe vajzave në akademi, kërkim dhe inovacion.</w:t>
      </w:r>
    </w:p>
    <w:p w14:paraId="490E4D79" w14:textId="315B23F3" w:rsidR="007959B4" w:rsidRPr="00E266CD" w:rsidRDefault="007959B4" w:rsidP="003B7F0F">
      <w:pPr>
        <w:pStyle w:val="TEKSTIIII"/>
      </w:pPr>
      <w:r w:rsidRPr="00E266CD">
        <w:t>Kuadri i politikave në sektorin e arsimit të lartë inkurajojnë rritjen e bashkëpunimit dhe zhvillimin e projekteve të përbashkëta midis katër aktorëve ( IAL, biznes, shoqëri civile dhe qeveri)</w:t>
      </w:r>
      <w:r w:rsidR="00164045">
        <w:t>,</w:t>
      </w:r>
      <w:r w:rsidRPr="00E266CD">
        <w:t xml:space="preserve"> në kuadër të promovimit të </w:t>
      </w:r>
      <w:r w:rsidR="00164045">
        <w:t>m</w:t>
      </w:r>
      <w:r w:rsidRPr="00E266CD">
        <w:t xml:space="preserve">odelit </w:t>
      </w:r>
      <w:r w:rsidRPr="00E266CD">
        <w:rPr>
          <w:i/>
        </w:rPr>
        <w:t>Quadruple Helix</w:t>
      </w:r>
      <w:r w:rsidRPr="00E266CD">
        <w:t xml:space="preserve"> në fushën e kërkimit shkencor, teknologjisë dhe inovacionit. Deri tani, në kuadër të bashkëpunimit sipas këtij modeli, si produkt i projektit, janë ngritur ose forcuar 5 qendra të transferimit të njohurive dhe inovacionit në 5 IAL; janë financuar dhe ka filluar zbatimi i 5 projekteve pilot bashkëpunimi universitet</w:t>
      </w:r>
      <w:r w:rsidR="00164045">
        <w:t>–</w:t>
      </w:r>
      <w:r w:rsidRPr="00E266CD">
        <w:t>biznes</w:t>
      </w:r>
      <w:r w:rsidR="00164045">
        <w:t>,</w:t>
      </w:r>
      <w:r w:rsidRPr="00E266CD">
        <w:t xml:space="preserve"> si edhe janë ngritur 5 </w:t>
      </w:r>
      <w:r w:rsidR="00164045">
        <w:t>l</w:t>
      </w:r>
      <w:r w:rsidRPr="00E266CD">
        <w:t>aboratorë pilot.</w:t>
      </w:r>
      <w:r w:rsidRPr="00E266CD">
        <w:rPr>
          <w:vertAlign w:val="superscript"/>
        </w:rPr>
        <w:footnoteReference w:id="44"/>
      </w:r>
    </w:p>
    <w:p w14:paraId="44BEF638" w14:textId="7301593B" w:rsidR="007959B4" w:rsidRPr="00E266CD" w:rsidRDefault="007959B4" w:rsidP="003B7F0F">
      <w:pPr>
        <w:pStyle w:val="TEKSTIIII"/>
      </w:pPr>
      <w:r w:rsidRPr="00E266CD">
        <w:t>Megjithatë, mbetet sfidë realizimi i një bashkëpunimi sa më efektiv dhe produktiv mes këtyre aktorëve nisur nga disa faktorë si: infrastruktura dhe fondet për kërkim janë të kufizuara; ka mungesë të incentivave për të bashkëpunuar me bizneset; ekziston një ndjenjë e përgjithshme mosbesimi në lidhje me cilësinë e kërkimit shkencor</w:t>
      </w:r>
      <w:r w:rsidR="00164045">
        <w:t>,</w:t>
      </w:r>
      <w:r w:rsidRPr="00E266CD">
        <w:t xml:space="preserve"> si dhe kapacitete të kufizuara për të përthithur inovacionin</w:t>
      </w:r>
      <w:r w:rsidRPr="00E266CD">
        <w:rPr>
          <w:vertAlign w:val="superscript"/>
        </w:rPr>
        <w:footnoteReference w:id="45"/>
      </w:r>
      <w:r w:rsidRPr="00E266CD">
        <w:t>, mungon njohuria e të gjithë aktorëve lidhur me mekanizmat dhe mundësitë e financimit etj.</w:t>
      </w:r>
    </w:p>
    <w:p w14:paraId="19EB38F9" w14:textId="3620C24B" w:rsidR="007959B4" w:rsidRPr="00E266CD" w:rsidRDefault="007959B4" w:rsidP="00D52E02">
      <w:pPr>
        <w:pStyle w:val="TEKSTIIII"/>
      </w:pPr>
      <w:r w:rsidRPr="00E266CD">
        <w:t xml:space="preserve">Me futjen e </w:t>
      </w:r>
      <w:r w:rsidR="00164045">
        <w:t>a</w:t>
      </w:r>
      <w:r w:rsidRPr="00E266CD">
        <w:t xml:space="preserve">rteve në fushat e kërkim-zhvillimit, (sipas </w:t>
      </w:r>
      <w:r w:rsidR="00164045">
        <w:t>m</w:t>
      </w:r>
      <w:r w:rsidRPr="00E266CD">
        <w:t>anuali</w:t>
      </w:r>
      <w:r w:rsidR="00164045">
        <w:t>t</w:t>
      </w:r>
      <w:r w:rsidRPr="00E266CD">
        <w:t xml:space="preserve"> Frascati - </w:t>
      </w:r>
      <w:r w:rsidR="00164045">
        <w:t>f</w:t>
      </w:r>
      <w:r w:rsidRPr="00E266CD">
        <w:t xml:space="preserve">usha 6/ 6.4/0ECD 2015) bashkëpunimi ndërmjet institucioneve të arsimit të lartë, institucioneve të pushtetit qendror dhe pushtetit vendor, sektorit të biznesit dhe shoqërisë civile, do të kishte në ndërveprim në gjendje për </w:t>
      </w:r>
      <w:r w:rsidR="00417E27" w:rsidRPr="00E266CD">
        <w:t>t’u</w:t>
      </w:r>
      <w:r w:rsidRPr="00E266CD">
        <w:t xml:space="preserve"> shfrytëzuar progresivisht në një të ardhme jo të largët. Ekosistemet e krijuara nga efektiviteti i bashkëpunimit të katër elementeve përbërës</w:t>
      </w:r>
      <w:r w:rsidR="00164045">
        <w:t>e</w:t>
      </w:r>
      <w:r w:rsidRPr="00E266CD">
        <w:t xml:space="preserve"> të sistemit </w:t>
      </w:r>
      <w:r w:rsidRPr="00E266CD">
        <w:rPr>
          <w:i/>
        </w:rPr>
        <w:t>Quadruple Helix</w:t>
      </w:r>
      <w:r w:rsidRPr="00E266CD">
        <w:t>, vendosin një standard të ri për vetë rolin që mund të marrin dhe të luajnë universitetet në drejtim të ekspertizës së lartë dhe të certifikuar profesionale në dobi të hartimit, zhvillimit, monitorimit dhe të politikave në nivel lokal, qendror</w:t>
      </w:r>
      <w:r w:rsidR="00164045">
        <w:t>,</w:t>
      </w:r>
      <w:r w:rsidRPr="00E266CD">
        <w:t xml:space="preserve"> si dhe në lidhje me përfshirjen transversale të shoqërisë civile në sfidat e zhvillimit të vendit. Në rastin e Universitetit të Arteve, politikat kulturore, ndërveprimi i tyre me fusha të tjera të zhvillimit të qëndrueshëm ekonomik në nivel lokal e qendror, si turizmi dhe mjedisi, do të përfitonin në mënyrë reciproke nga ky pozicionim i </w:t>
      </w:r>
      <w:r w:rsidR="00164045">
        <w:t>a</w:t>
      </w:r>
      <w:r w:rsidRPr="00E266CD">
        <w:t xml:space="preserve">rteve, në funksion të rritjes së bashkëpunimit ndërmjet institucioneve të </w:t>
      </w:r>
      <w:r w:rsidR="00164045">
        <w:t>a</w:t>
      </w:r>
      <w:r w:rsidRPr="00E266CD">
        <w:t xml:space="preserve">rsimit të lartë, institucioneve të pushtetit qendror dhe pushtetit vendor, sektorit të biznesit dhe shoqërisë civile nëpërmjet zgjerimit të kërkimit dhe zhvillimit të projekteve </w:t>
      </w:r>
      <w:r w:rsidR="00BF1624" w:rsidRPr="00E266CD">
        <w:rPr>
          <w:rFonts w:eastAsia="Times New Roman"/>
        </w:rPr>
        <w:t>të</w:t>
      </w:r>
      <w:r w:rsidRPr="00E266CD">
        <w:t xml:space="preserve"> përbashkëta (</w:t>
      </w:r>
      <w:r w:rsidRPr="00E266CD">
        <w:rPr>
          <w:i/>
        </w:rPr>
        <w:t>Quadruple Helix Mode</w:t>
      </w:r>
      <w:r w:rsidRPr="00E266CD">
        <w:t>l).</w:t>
      </w:r>
    </w:p>
    <w:p w14:paraId="6FF5576F" w14:textId="77777777" w:rsidR="007959B4" w:rsidRPr="00E266CD" w:rsidRDefault="007959B4" w:rsidP="005D2B76">
      <w:pPr>
        <w:pStyle w:val="TEKSTIIII"/>
        <w:rPr>
          <w:b/>
          <w:color w:val="000000"/>
        </w:rPr>
      </w:pPr>
      <w:bookmarkStart w:id="52" w:name="_Toc135703169"/>
      <w:r w:rsidRPr="00E266CD">
        <w:rPr>
          <w:b/>
          <w:color w:val="000000"/>
        </w:rPr>
        <w:t>Rezultatet që pritet të arrihen përmes zbatimit të masave që lidhen me objektivin specifik.</w:t>
      </w:r>
      <w:bookmarkEnd w:id="52"/>
    </w:p>
    <w:p w14:paraId="32283942" w14:textId="77777777" w:rsidR="007959B4" w:rsidRPr="00E266CD" w:rsidRDefault="007959B4" w:rsidP="005D2B76">
      <w:pPr>
        <w:pStyle w:val="TEKSTIIII"/>
      </w:pPr>
      <w:r w:rsidRPr="00E266CD">
        <w:t>Përmes realizimit të masave të detajuara në planin e veprimit synohet të arrihen këto rezultate:</w:t>
      </w:r>
    </w:p>
    <w:p w14:paraId="4C295D3C" w14:textId="3AE3AC50" w:rsidR="007959B4" w:rsidRPr="00E266CD" w:rsidRDefault="005D2B76" w:rsidP="005D2B76">
      <w:pPr>
        <w:pStyle w:val="TEKSTIIII"/>
        <w:rPr>
          <w:color w:val="000000"/>
        </w:rPr>
      </w:pPr>
      <w:r w:rsidRPr="00E266CD">
        <w:rPr>
          <w:color w:val="000000"/>
        </w:rPr>
        <w:t xml:space="preserve">- </w:t>
      </w:r>
      <w:r w:rsidR="007959B4" w:rsidRPr="00E266CD">
        <w:rPr>
          <w:color w:val="000000"/>
        </w:rPr>
        <w:t>Skema novatore për bashkëfinancimin e programeve të kërkimit shkencor që forcojnë bashkëpunimin me sektorin e biznesit për zgjidhjen e sfidave aktuale shoqërore të zbatuara</w:t>
      </w:r>
      <w:r w:rsidR="00164045">
        <w:rPr>
          <w:color w:val="000000"/>
        </w:rPr>
        <w:t>;</w:t>
      </w:r>
    </w:p>
    <w:p w14:paraId="69EAB2D7" w14:textId="1D00632C" w:rsidR="007959B4" w:rsidRPr="00E266CD" w:rsidRDefault="005D2B76" w:rsidP="005D2B76">
      <w:pPr>
        <w:pStyle w:val="TEKSTIIII"/>
        <w:rPr>
          <w:color w:val="000000"/>
        </w:rPr>
      </w:pPr>
      <w:r w:rsidRPr="00E266CD">
        <w:rPr>
          <w:color w:val="000000"/>
        </w:rPr>
        <w:t xml:space="preserve">- </w:t>
      </w:r>
      <w:r w:rsidR="007959B4" w:rsidRPr="00E266CD">
        <w:rPr>
          <w:color w:val="000000"/>
        </w:rPr>
        <w:t xml:space="preserve">Ditë informimi të të gjitha grupeve të interesit për mekanizmat dhe </w:t>
      </w:r>
      <w:r w:rsidR="00B65BFD" w:rsidRPr="00E266CD">
        <w:rPr>
          <w:color w:val="000000"/>
        </w:rPr>
        <w:t>instrumentet</w:t>
      </w:r>
      <w:r w:rsidR="007959B4" w:rsidRPr="00E266CD">
        <w:rPr>
          <w:color w:val="000000"/>
        </w:rPr>
        <w:t xml:space="preserve"> e financimit</w:t>
      </w:r>
      <w:r w:rsidR="00164045">
        <w:rPr>
          <w:color w:val="000000"/>
        </w:rPr>
        <w:t>;</w:t>
      </w:r>
    </w:p>
    <w:p w14:paraId="6BDBDF75" w14:textId="448D4F61" w:rsidR="007959B4" w:rsidRPr="00E266CD" w:rsidRDefault="005D2B76" w:rsidP="005D2B76">
      <w:pPr>
        <w:pStyle w:val="TEKSTIIII"/>
        <w:rPr>
          <w:color w:val="000000"/>
        </w:rPr>
      </w:pPr>
      <w:r w:rsidRPr="00E266CD">
        <w:rPr>
          <w:color w:val="000000"/>
        </w:rPr>
        <w:t xml:space="preserve">- </w:t>
      </w:r>
      <w:r w:rsidR="007959B4" w:rsidRPr="00E266CD">
        <w:rPr>
          <w:color w:val="000000"/>
        </w:rPr>
        <w:t>Udhëzues (</w:t>
      </w:r>
      <w:r w:rsidR="007959B4" w:rsidRPr="00E266CD">
        <w:rPr>
          <w:i/>
          <w:color w:val="000000"/>
        </w:rPr>
        <w:t>guideline</w:t>
      </w:r>
      <w:r w:rsidR="007959B4" w:rsidRPr="00E266CD">
        <w:rPr>
          <w:color w:val="000000"/>
        </w:rPr>
        <w:t>) për projekte të përbashkëta</w:t>
      </w:r>
      <w:r w:rsidR="00164045">
        <w:rPr>
          <w:color w:val="000000"/>
        </w:rPr>
        <w:t>;</w:t>
      </w:r>
    </w:p>
    <w:p w14:paraId="6D188748" w14:textId="77777777" w:rsidR="007959B4" w:rsidRPr="00E266CD" w:rsidRDefault="005D2B76" w:rsidP="005D2B76">
      <w:pPr>
        <w:pStyle w:val="TEKSTIIII"/>
        <w:rPr>
          <w:color w:val="000000"/>
        </w:rPr>
      </w:pPr>
      <w:r w:rsidRPr="00E266CD">
        <w:rPr>
          <w:color w:val="000000"/>
        </w:rPr>
        <w:t xml:space="preserve">- </w:t>
      </w:r>
      <w:r w:rsidR="007959B4" w:rsidRPr="00E266CD">
        <w:rPr>
          <w:color w:val="000000"/>
        </w:rPr>
        <w:t>Kapacitete të përmirësuara të IAL-ve, përfaqësuesve të biznesit, institucioneve qendrore dhe lokale për hartimin e projekteve të përbashkëta.</w:t>
      </w:r>
    </w:p>
    <w:p w14:paraId="610AD80E" w14:textId="77777777" w:rsidR="007959B4" w:rsidRPr="00E266CD" w:rsidRDefault="007959B4" w:rsidP="0066283C">
      <w:pPr>
        <w:pStyle w:val="TEKSTIIII"/>
      </w:pPr>
    </w:p>
    <w:p w14:paraId="780F7783" w14:textId="21CA8852" w:rsidR="007959B4" w:rsidRPr="00D52E02" w:rsidRDefault="007959B4" w:rsidP="0066283C">
      <w:pPr>
        <w:pStyle w:val="TEKSTIIII"/>
      </w:pPr>
      <w:bookmarkStart w:id="53" w:name="_Toc135703170"/>
      <w:r w:rsidRPr="00D52E02">
        <w:t xml:space="preserve">Institucionet </w:t>
      </w:r>
      <w:r w:rsidR="00164045" w:rsidRPr="00D52E02">
        <w:t>d</w:t>
      </w:r>
      <w:r w:rsidRPr="00D52E02">
        <w:t>rejtuese</w:t>
      </w:r>
      <w:bookmarkEnd w:id="53"/>
      <w:r w:rsidR="00D52E02" w:rsidRPr="00D52E02">
        <w:t>:</w:t>
      </w:r>
    </w:p>
    <w:p w14:paraId="0468C20C" w14:textId="77777777" w:rsidR="007959B4" w:rsidRPr="00E266CD" w:rsidRDefault="007959B4" w:rsidP="0066283C">
      <w:pPr>
        <w:pStyle w:val="TEKSTIIII"/>
      </w:pPr>
      <w:r w:rsidRPr="00E266CD">
        <w:t>MAS, MFE, AKKSHI me programet buxhetore:</w:t>
      </w:r>
    </w:p>
    <w:p w14:paraId="41E8F7BD" w14:textId="32394FF1"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Financave dhe</w:t>
      </w:r>
      <w:r w:rsidR="00D52E02">
        <w:rPr>
          <w:rFonts w:ascii="Garamond" w:eastAsia="Times New Roman" w:hAnsi="Garamond"/>
          <w:sz w:val="24"/>
          <w:szCs w:val="24"/>
        </w:rPr>
        <w:t xml:space="preserve"> </w:t>
      </w:r>
      <w:r w:rsidRPr="00E266CD">
        <w:rPr>
          <w:rFonts w:ascii="Garamond" w:eastAsia="Times New Roman" w:hAnsi="Garamond"/>
          <w:sz w:val="24"/>
          <w:szCs w:val="24"/>
        </w:rPr>
        <w:t>Ekonomisë</w:t>
      </w:r>
    </w:p>
    <w:tbl>
      <w:tblPr>
        <w:tblStyle w:val="16"/>
        <w:tblW w:w="8190" w:type="dxa"/>
        <w:tblInd w:w="-23" w:type="dxa"/>
        <w:tblLayout w:type="fixed"/>
        <w:tblLook w:val="0400" w:firstRow="0" w:lastRow="0" w:firstColumn="0" w:lastColumn="0" w:noHBand="0" w:noVBand="1"/>
      </w:tblPr>
      <w:tblGrid>
        <w:gridCol w:w="1185"/>
        <w:gridCol w:w="7005"/>
      </w:tblGrid>
      <w:tr w:rsidR="007959B4" w:rsidRPr="00E266CD" w14:paraId="39F2871A" w14:textId="77777777" w:rsidTr="00695B0D">
        <w:trPr>
          <w:trHeight w:val="255"/>
        </w:trPr>
        <w:tc>
          <w:tcPr>
            <w:tcW w:w="1185" w:type="dxa"/>
            <w:tcBorders>
              <w:top w:val="dotted" w:sz="4" w:space="0" w:color="000000"/>
              <w:left w:val="single" w:sz="6" w:space="0" w:color="000000"/>
              <w:bottom w:val="dotted" w:sz="4" w:space="0" w:color="000000"/>
              <w:right w:val="nil"/>
            </w:tcBorders>
            <w:shd w:val="clear" w:color="auto" w:fill="auto"/>
            <w:vAlign w:val="bottom"/>
          </w:tcPr>
          <w:p w14:paraId="2174DC0A"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04130</w:t>
            </w:r>
          </w:p>
        </w:tc>
        <w:tc>
          <w:tcPr>
            <w:tcW w:w="7005" w:type="dxa"/>
            <w:tcBorders>
              <w:top w:val="dotted" w:sz="4" w:space="0" w:color="000000"/>
              <w:left w:val="single" w:sz="4" w:space="0" w:color="000000"/>
              <w:bottom w:val="dotted" w:sz="4" w:space="0" w:color="000000"/>
              <w:right w:val="single" w:sz="4" w:space="0" w:color="000000"/>
            </w:tcBorders>
            <w:shd w:val="clear" w:color="auto" w:fill="auto"/>
            <w:vAlign w:val="bottom"/>
          </w:tcPr>
          <w:p w14:paraId="1B2A1EF6" w14:textId="0A41E3F5"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164045" w:rsidRPr="00E266CD">
              <w:rPr>
                <w:rFonts w:ascii="Garamond" w:eastAsia="Times New Roman" w:hAnsi="Garamond"/>
                <w:sz w:val="24"/>
                <w:szCs w:val="24"/>
              </w:rPr>
              <w:t>zhvillim ekonomik</w:t>
            </w:r>
          </w:p>
        </w:tc>
      </w:tr>
      <w:tr w:rsidR="007959B4" w:rsidRPr="00E266CD" w14:paraId="447A49D2" w14:textId="77777777" w:rsidTr="00695B0D">
        <w:trPr>
          <w:trHeight w:val="255"/>
        </w:trPr>
        <w:tc>
          <w:tcPr>
            <w:tcW w:w="1185" w:type="dxa"/>
            <w:tcBorders>
              <w:top w:val="nil"/>
              <w:left w:val="single" w:sz="6" w:space="0" w:color="000000"/>
              <w:bottom w:val="dotted" w:sz="4" w:space="0" w:color="000000"/>
              <w:right w:val="nil"/>
            </w:tcBorders>
            <w:shd w:val="clear" w:color="auto" w:fill="auto"/>
            <w:vAlign w:val="bottom"/>
          </w:tcPr>
          <w:p w14:paraId="2835D21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04160</w:t>
            </w:r>
          </w:p>
        </w:tc>
        <w:tc>
          <w:tcPr>
            <w:tcW w:w="7005" w:type="dxa"/>
            <w:tcBorders>
              <w:top w:val="nil"/>
              <w:left w:val="single" w:sz="4" w:space="0" w:color="000000"/>
              <w:bottom w:val="dotted" w:sz="4" w:space="0" w:color="000000"/>
              <w:right w:val="single" w:sz="4" w:space="0" w:color="000000"/>
            </w:tcBorders>
            <w:shd w:val="clear" w:color="auto" w:fill="auto"/>
            <w:vAlign w:val="bottom"/>
          </w:tcPr>
          <w:p w14:paraId="33C916BE" w14:textId="6EFBE18C"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164045" w:rsidRPr="00E266CD">
              <w:rPr>
                <w:rFonts w:ascii="Garamond" w:eastAsia="Times New Roman" w:hAnsi="Garamond"/>
                <w:sz w:val="24"/>
                <w:szCs w:val="24"/>
              </w:rPr>
              <w:t>mbikq. e tregut, infrast. e cilës. dhe pron. industr</w:t>
            </w:r>
            <w:r w:rsidRPr="00E266CD">
              <w:rPr>
                <w:rFonts w:ascii="Garamond" w:eastAsia="Times New Roman" w:hAnsi="Garamond"/>
                <w:sz w:val="24"/>
                <w:szCs w:val="24"/>
              </w:rPr>
              <w:t>.</w:t>
            </w:r>
          </w:p>
        </w:tc>
      </w:tr>
    </w:tbl>
    <w:p w14:paraId="226ECC1E"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Arsimit dhe Sporteve</w:t>
      </w:r>
    </w:p>
    <w:tbl>
      <w:tblPr>
        <w:tblStyle w:val="15"/>
        <w:tblW w:w="6616" w:type="dxa"/>
        <w:tblInd w:w="-23" w:type="dxa"/>
        <w:tblLayout w:type="fixed"/>
        <w:tblLook w:val="0400" w:firstRow="0" w:lastRow="0" w:firstColumn="0" w:lastColumn="0" w:noHBand="0" w:noVBand="1"/>
      </w:tblPr>
      <w:tblGrid>
        <w:gridCol w:w="1185"/>
        <w:gridCol w:w="5431"/>
      </w:tblGrid>
      <w:tr w:rsidR="007959B4" w:rsidRPr="00E266CD" w14:paraId="11CA2971" w14:textId="77777777" w:rsidTr="00695B0D">
        <w:trPr>
          <w:trHeight w:val="255"/>
        </w:trPr>
        <w:tc>
          <w:tcPr>
            <w:tcW w:w="1185" w:type="dxa"/>
            <w:tcBorders>
              <w:top w:val="dotted" w:sz="4" w:space="0" w:color="000000"/>
              <w:left w:val="single" w:sz="6" w:space="0" w:color="000000"/>
              <w:bottom w:val="dotted" w:sz="4" w:space="0" w:color="000000"/>
              <w:right w:val="nil"/>
            </w:tcBorders>
            <w:shd w:val="clear" w:color="auto" w:fill="auto"/>
            <w:vAlign w:val="bottom"/>
          </w:tcPr>
          <w:p w14:paraId="0F9951AD"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09450</w:t>
            </w:r>
          </w:p>
        </w:tc>
        <w:tc>
          <w:tcPr>
            <w:tcW w:w="5431" w:type="dxa"/>
            <w:tcBorders>
              <w:top w:val="dotted" w:sz="4" w:space="0" w:color="000000"/>
              <w:left w:val="single" w:sz="4" w:space="0" w:color="000000"/>
              <w:bottom w:val="dotted" w:sz="4" w:space="0" w:color="000000"/>
              <w:right w:val="single" w:sz="4" w:space="0" w:color="000000"/>
            </w:tcBorders>
            <w:shd w:val="clear" w:color="auto" w:fill="auto"/>
            <w:vAlign w:val="bottom"/>
          </w:tcPr>
          <w:p w14:paraId="07DF04DC" w14:textId="6D01D189"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Arsimi </w:t>
            </w:r>
            <w:r w:rsidR="00164045">
              <w:rPr>
                <w:rFonts w:ascii="Garamond" w:eastAsia="Times New Roman" w:hAnsi="Garamond"/>
                <w:sz w:val="24"/>
                <w:szCs w:val="24"/>
              </w:rPr>
              <w:t>u</w:t>
            </w:r>
            <w:r w:rsidRPr="00E266CD">
              <w:rPr>
                <w:rFonts w:ascii="Garamond" w:eastAsia="Times New Roman" w:hAnsi="Garamond"/>
                <w:sz w:val="24"/>
                <w:szCs w:val="24"/>
              </w:rPr>
              <w:t>niversitar</w:t>
            </w:r>
          </w:p>
        </w:tc>
      </w:tr>
      <w:tr w:rsidR="007959B4" w:rsidRPr="00E266CD" w14:paraId="7AAB83C3" w14:textId="77777777" w:rsidTr="00695B0D">
        <w:trPr>
          <w:trHeight w:val="255"/>
        </w:trPr>
        <w:tc>
          <w:tcPr>
            <w:tcW w:w="1185" w:type="dxa"/>
            <w:tcBorders>
              <w:top w:val="nil"/>
              <w:left w:val="single" w:sz="6" w:space="0" w:color="000000"/>
              <w:bottom w:val="nil"/>
              <w:right w:val="nil"/>
            </w:tcBorders>
            <w:shd w:val="clear" w:color="auto" w:fill="auto"/>
            <w:vAlign w:val="bottom"/>
          </w:tcPr>
          <w:p w14:paraId="13A48C66"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09770</w:t>
            </w:r>
          </w:p>
        </w:tc>
        <w:tc>
          <w:tcPr>
            <w:tcW w:w="5431" w:type="dxa"/>
            <w:tcBorders>
              <w:top w:val="nil"/>
              <w:left w:val="single" w:sz="4" w:space="0" w:color="000000"/>
              <w:bottom w:val="nil"/>
              <w:right w:val="single" w:sz="4" w:space="0" w:color="000000"/>
            </w:tcBorders>
            <w:shd w:val="clear" w:color="auto" w:fill="auto"/>
            <w:vAlign w:val="bottom"/>
          </w:tcPr>
          <w:p w14:paraId="2AAAEF4F" w14:textId="74F8241E"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Fonde për </w:t>
            </w:r>
            <w:r w:rsidR="00164045">
              <w:rPr>
                <w:rFonts w:ascii="Garamond" w:eastAsia="Times New Roman" w:hAnsi="Garamond"/>
                <w:sz w:val="24"/>
                <w:szCs w:val="24"/>
              </w:rPr>
              <w:t>s</w:t>
            </w:r>
            <w:r w:rsidRPr="00E266CD">
              <w:rPr>
                <w:rFonts w:ascii="Garamond" w:eastAsia="Times New Roman" w:hAnsi="Garamond"/>
                <w:sz w:val="24"/>
                <w:szCs w:val="24"/>
              </w:rPr>
              <w:t>hkencën</w:t>
            </w:r>
          </w:p>
        </w:tc>
      </w:tr>
    </w:tbl>
    <w:p w14:paraId="20EAB66B" w14:textId="77777777" w:rsidR="007959B4" w:rsidRPr="00E266CD" w:rsidRDefault="007959B4" w:rsidP="007959B4">
      <w:pPr>
        <w:rPr>
          <w:rFonts w:ascii="Garamond" w:eastAsia="Times New Roman" w:hAnsi="Garamond"/>
          <w:sz w:val="24"/>
          <w:szCs w:val="24"/>
        </w:rPr>
      </w:pPr>
    </w:p>
    <w:p w14:paraId="6764F3F8" w14:textId="6D522D7C" w:rsidR="007959B4" w:rsidRPr="00D52E02" w:rsidRDefault="007959B4" w:rsidP="00562DB4">
      <w:pPr>
        <w:pStyle w:val="TEKSTIIII"/>
      </w:pPr>
      <w:bookmarkStart w:id="54" w:name="_Toc135703171"/>
      <w:r w:rsidRPr="00D52E02">
        <w:t xml:space="preserve">Institucionet </w:t>
      </w:r>
      <w:r w:rsidR="00164045" w:rsidRPr="00D52E02">
        <w:t>p</w:t>
      </w:r>
      <w:r w:rsidRPr="00D52E02">
        <w:t>jesëmarrës</w:t>
      </w:r>
      <w:bookmarkEnd w:id="54"/>
      <w:r w:rsidR="00D52E02">
        <w:t>e:</w:t>
      </w:r>
    </w:p>
    <w:p w14:paraId="26F06DC7" w14:textId="77777777" w:rsidR="007959B4" w:rsidRPr="00E266CD" w:rsidRDefault="007959B4" w:rsidP="00562DB4">
      <w:pPr>
        <w:pStyle w:val="TEKSTIIII"/>
        <w:rPr>
          <w:rFonts w:eastAsia="Times New Roman"/>
        </w:rPr>
      </w:pPr>
      <w:r w:rsidRPr="00E266CD">
        <w:rPr>
          <w:rFonts w:eastAsia="Times New Roman"/>
        </w:rPr>
        <w:t>MAS, AKKSHI, IAL, AIDA, ML, NJQV, AKSHI</w:t>
      </w:r>
    </w:p>
    <w:p w14:paraId="70B0285B" w14:textId="2654E53F" w:rsidR="007959B4" w:rsidRPr="00E266CD" w:rsidRDefault="007959B4" w:rsidP="00E75BDB">
      <w:pPr>
        <w:pStyle w:val="TEKSTIIII"/>
        <w:rPr>
          <w:b/>
        </w:rPr>
      </w:pPr>
      <w:bookmarkStart w:id="55" w:name="_Toc135703172"/>
      <w:r w:rsidRPr="00E266CD">
        <w:rPr>
          <w:b/>
        </w:rPr>
        <w:t>Lidhja e objektivit specifik me nënkapitullin përkatës të BE-së sipas MSA-së.</w:t>
      </w:r>
      <w:bookmarkEnd w:id="55"/>
    </w:p>
    <w:p w14:paraId="31092CB0" w14:textId="4A300A99" w:rsidR="007959B4" w:rsidRPr="00E266CD" w:rsidRDefault="007959B4" w:rsidP="00E75BDB">
      <w:pPr>
        <w:pStyle w:val="TEKSTIIII"/>
        <w:rPr>
          <w:rFonts w:eastAsia="Times New Roman"/>
        </w:rPr>
      </w:pPr>
      <w:r w:rsidRPr="00E266CD">
        <w:rPr>
          <w:rFonts w:eastAsia="Times New Roman"/>
        </w:rPr>
        <w:t xml:space="preserve">Objektivi specifik 2.1 synon të reflektojë standardet e parashikuara në </w:t>
      </w:r>
      <w:r w:rsidR="00164045">
        <w:rPr>
          <w:rFonts w:eastAsia="Times New Roman"/>
        </w:rPr>
        <w:t>k</w:t>
      </w:r>
      <w:r w:rsidRPr="00E266CD">
        <w:rPr>
          <w:rFonts w:eastAsia="Times New Roman"/>
        </w:rPr>
        <w:t>apitullin 25 “</w:t>
      </w:r>
      <w:r w:rsidRPr="00E266CD">
        <w:rPr>
          <w:rFonts w:eastAsia="Times New Roman"/>
          <w:b/>
        </w:rPr>
        <w:t xml:space="preserve">Shkenca dhe </w:t>
      </w:r>
      <w:r w:rsidR="00164045">
        <w:rPr>
          <w:rFonts w:eastAsia="Times New Roman"/>
          <w:b/>
        </w:rPr>
        <w:t>k</w:t>
      </w:r>
      <w:r w:rsidRPr="00E266CD">
        <w:rPr>
          <w:rFonts w:eastAsia="Times New Roman"/>
          <w:b/>
        </w:rPr>
        <w:t>ërkimi shkencor”</w:t>
      </w:r>
      <w:r w:rsidRPr="00E266CD">
        <w:rPr>
          <w:rFonts w:eastAsia="Times New Roman"/>
        </w:rPr>
        <w:t xml:space="preserve">, si dhe lidhet drejtpërdrejtë me rritjen e kapaciteteve institucionale për të udhëhequr procesin e përafrimit të legjislacionit me </w:t>
      </w:r>
      <w:r w:rsidRPr="00E266CD">
        <w:rPr>
          <w:rFonts w:eastAsia="Times New Roman"/>
          <w:i/>
        </w:rPr>
        <w:t>acquis</w:t>
      </w:r>
      <w:r w:rsidRPr="00E266CD">
        <w:rPr>
          <w:rFonts w:eastAsia="Times New Roman"/>
        </w:rPr>
        <w:t xml:space="preserve"> e BE për këtë kapitull. Detyrimi i Shqipërisë për të ndërmarrë iniciativa politike, ligjore, institucionale dhe financiare në kapitullin 25, në mbështetje të konsolidimit të sistemit të kërkimit, rrjedh nga neni 109 i Marrëveshjes së Stabilizim-Asocimit (MSA), i cili përcakton shtyllat e bashkëpunimit ndërmjet Shqipërisë dhe Bashkimit Evropian në fushën e kërkimit shkencor dhe zhvillimit teknologjik (</w:t>
      </w:r>
      <w:r w:rsidR="00876512">
        <w:rPr>
          <w:rFonts w:eastAsia="Times New Roman"/>
        </w:rPr>
        <w:t>t</w:t>
      </w:r>
      <w:r w:rsidRPr="00E266CD">
        <w:rPr>
          <w:rFonts w:eastAsia="Times New Roman"/>
        </w:rPr>
        <w:t xml:space="preserve">itulli VIII - </w:t>
      </w:r>
      <w:r w:rsidR="00876512" w:rsidRPr="00E266CD">
        <w:rPr>
          <w:rFonts w:eastAsia="Times New Roman"/>
        </w:rPr>
        <w:t>politikat e bashkëpunimit/bashkëpunimit për kërkimin dhe zhvillimin teknologjik</w:t>
      </w:r>
      <w:r w:rsidRPr="00E266CD">
        <w:rPr>
          <w:rFonts w:eastAsia="Times New Roman"/>
        </w:rPr>
        <w:t>).</w:t>
      </w:r>
    </w:p>
    <w:p w14:paraId="480418B4" w14:textId="77777777" w:rsidR="00E75BDB" w:rsidRPr="00E266CD" w:rsidRDefault="00E75BDB" w:rsidP="00E75BDB">
      <w:pPr>
        <w:pStyle w:val="TEKSTIIII"/>
        <w:rPr>
          <w:b/>
        </w:rPr>
      </w:pPr>
      <w:bookmarkStart w:id="56" w:name="_Toc135703173"/>
    </w:p>
    <w:p w14:paraId="5C97338B" w14:textId="0613BFBB" w:rsidR="007959B4" w:rsidRPr="007171BF" w:rsidRDefault="007959B4" w:rsidP="007171BF">
      <w:pPr>
        <w:pStyle w:val="TEKSTIIII"/>
        <w:rPr>
          <w:b/>
        </w:rPr>
      </w:pPr>
      <w:r w:rsidRPr="00E266CD">
        <w:rPr>
          <w:b/>
        </w:rPr>
        <w:t xml:space="preserve">Lista e masave për arritjen e </w:t>
      </w:r>
      <w:r w:rsidR="00876512" w:rsidRPr="00E266CD">
        <w:rPr>
          <w:b/>
        </w:rPr>
        <w:t xml:space="preserve">objektivit specifik </w:t>
      </w:r>
      <w:r w:rsidRPr="00E266CD">
        <w:rPr>
          <w:b/>
        </w:rPr>
        <w:t>2.1:</w:t>
      </w:r>
      <w:bookmarkEnd w:id="56"/>
    </w:p>
    <w:tbl>
      <w:tblPr>
        <w:tblStyle w:val="14"/>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7A047A88" w14:textId="77777777" w:rsidTr="00695B0D">
        <w:trPr>
          <w:cnfStyle w:val="100000000000" w:firstRow="1" w:lastRow="0" w:firstColumn="0" w:lastColumn="0" w:oddVBand="0" w:evenVBand="0" w:oddHBand="0"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940" w:type="dxa"/>
          </w:tcPr>
          <w:p w14:paraId="2FA131D1" w14:textId="77777777" w:rsidR="007959B4" w:rsidRPr="00E266CD" w:rsidRDefault="007959B4" w:rsidP="00695B0D">
            <w:pPr>
              <w:rPr>
                <w:rFonts w:ascii="Garamond" w:eastAsia="Times New Roman" w:hAnsi="Garamond"/>
                <w:sz w:val="20"/>
              </w:rPr>
            </w:pPr>
          </w:p>
        </w:tc>
        <w:tc>
          <w:tcPr>
            <w:tcW w:w="8558" w:type="dxa"/>
          </w:tcPr>
          <w:p w14:paraId="5600DBFE" w14:textId="6F990B71"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876512">
              <w:rPr>
                <w:rFonts w:ascii="Garamond" w:eastAsia="Times New Roman" w:hAnsi="Garamond"/>
                <w:sz w:val="20"/>
              </w:rPr>
              <w:t>i</w:t>
            </w:r>
            <w:r w:rsidRPr="00E266CD">
              <w:rPr>
                <w:rFonts w:ascii="Garamond" w:eastAsia="Times New Roman" w:hAnsi="Garamond"/>
                <w:sz w:val="20"/>
              </w:rPr>
              <w:t xml:space="preserve"> </w:t>
            </w:r>
            <w:r w:rsidR="00876512">
              <w:rPr>
                <w:rFonts w:ascii="Garamond" w:eastAsia="Times New Roman" w:hAnsi="Garamond"/>
                <w:sz w:val="20"/>
              </w:rPr>
              <w:t>s</w:t>
            </w:r>
            <w:r w:rsidRPr="00E266CD">
              <w:rPr>
                <w:rFonts w:ascii="Garamond" w:eastAsia="Times New Roman" w:hAnsi="Garamond"/>
                <w:sz w:val="20"/>
              </w:rPr>
              <w:t>pecifik 2.1</w:t>
            </w:r>
            <w:r w:rsidR="00876512">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 xml:space="preserve">Rritja e bashkëpunimit ndërmjet </w:t>
            </w:r>
            <w:r w:rsidR="00876512" w:rsidRPr="00E266CD">
              <w:rPr>
                <w:rFonts w:ascii="Garamond" w:eastAsia="Times New Roman" w:hAnsi="Garamond"/>
                <w:sz w:val="20"/>
              </w:rPr>
              <w:t>institucioneve të arsimit të lartë</w:t>
            </w:r>
            <w:r w:rsidRPr="00E266CD">
              <w:rPr>
                <w:rFonts w:ascii="Garamond" w:eastAsia="Times New Roman" w:hAnsi="Garamond"/>
                <w:sz w:val="20"/>
              </w:rPr>
              <w:t>, institucioneve të pushtetit qendror dhe pushtetit vendor, sektorit të biznesit dhe shoqërisë civile nëpërmjet zgjerimit të kërkimit dhe zhvillimit të projekteve të përbashkëta (</w:t>
            </w:r>
            <w:r w:rsidRPr="00876512">
              <w:rPr>
                <w:rFonts w:ascii="Garamond" w:eastAsia="Times New Roman" w:hAnsi="Garamond"/>
                <w:i/>
                <w:sz w:val="20"/>
              </w:rPr>
              <w:t>Quadruple Helix Model</w:t>
            </w:r>
            <w:r w:rsidRPr="00E266CD">
              <w:rPr>
                <w:rFonts w:ascii="Garamond" w:eastAsia="Times New Roman" w:hAnsi="Garamond"/>
                <w:sz w:val="20"/>
              </w:rPr>
              <w:t>)</w:t>
            </w:r>
          </w:p>
        </w:tc>
      </w:tr>
      <w:tr w:rsidR="007959B4" w:rsidRPr="00E266CD" w14:paraId="247614E4" w14:textId="77777777" w:rsidTr="007003C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940" w:type="dxa"/>
          </w:tcPr>
          <w:p w14:paraId="18DDBCC1"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 </w:t>
            </w:r>
          </w:p>
        </w:tc>
        <w:tc>
          <w:tcPr>
            <w:tcW w:w="8558" w:type="dxa"/>
          </w:tcPr>
          <w:p w14:paraId="0D9EE9A5"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69E68661" w14:textId="77777777" w:rsidTr="007003CA">
        <w:trPr>
          <w:trHeight w:val="53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10C4046"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2.1.1</w:t>
            </w:r>
          </w:p>
        </w:tc>
        <w:tc>
          <w:tcPr>
            <w:tcW w:w="8558" w:type="dxa"/>
          </w:tcPr>
          <w:p w14:paraId="2E0AA847"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Krijimi i skemave novatore për bashkëfinancimin e programeve të kërkimit shkencor që forcojnë bashkëpunimin me sektorin e biznesit për zgjidhjen e sfidave aktuale shoqërore.</w:t>
            </w:r>
          </w:p>
        </w:tc>
      </w:tr>
      <w:tr w:rsidR="007959B4" w:rsidRPr="00E266CD" w14:paraId="5D9589CA" w14:textId="77777777" w:rsidTr="007003C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4BBE283B"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2.1.2</w:t>
            </w:r>
          </w:p>
        </w:tc>
        <w:tc>
          <w:tcPr>
            <w:tcW w:w="8558" w:type="dxa"/>
          </w:tcPr>
          <w:p w14:paraId="591A35F9"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Informimi dhe njohja e të gjitha grupeve të interesit me mekanizmat dhe instrumentet e financimit.</w:t>
            </w:r>
          </w:p>
        </w:tc>
      </w:tr>
      <w:tr w:rsidR="007959B4" w:rsidRPr="00E266CD" w14:paraId="23E3369D" w14:textId="77777777" w:rsidTr="00695B0D">
        <w:trPr>
          <w:trHeight w:val="411"/>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4CD3FFA5"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2.1.3</w:t>
            </w:r>
          </w:p>
        </w:tc>
        <w:tc>
          <w:tcPr>
            <w:tcW w:w="8558" w:type="dxa"/>
          </w:tcPr>
          <w:p w14:paraId="7C03410B"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Promovimi i modeleve të kërkimit shkencor në pjesëmarrjen e projekteve të përbashkëta (</w:t>
            </w:r>
            <w:r w:rsidRPr="00E266CD">
              <w:rPr>
                <w:rFonts w:ascii="Garamond" w:eastAsia="Times New Roman" w:hAnsi="Garamond"/>
                <w:i/>
                <w:sz w:val="20"/>
              </w:rPr>
              <w:t>Quadruple Helix</w:t>
            </w:r>
            <w:r w:rsidRPr="00E266CD">
              <w:rPr>
                <w:rFonts w:ascii="Garamond" w:eastAsia="Times New Roman" w:hAnsi="Garamond"/>
                <w:sz w:val="20"/>
              </w:rPr>
              <w:t xml:space="preserve"> </w:t>
            </w:r>
            <w:r w:rsidRPr="00E266CD">
              <w:rPr>
                <w:rFonts w:ascii="Garamond" w:eastAsia="Times New Roman" w:hAnsi="Garamond"/>
                <w:i/>
                <w:sz w:val="20"/>
              </w:rPr>
              <w:t>model</w:t>
            </w:r>
            <w:r w:rsidRPr="00E266CD">
              <w:rPr>
                <w:rFonts w:ascii="Garamond" w:eastAsia="Times New Roman" w:hAnsi="Garamond"/>
                <w:sz w:val="20"/>
              </w:rPr>
              <w:t>).</w:t>
            </w:r>
          </w:p>
        </w:tc>
      </w:tr>
      <w:tr w:rsidR="007959B4" w:rsidRPr="00E266CD" w14:paraId="21582B6D" w14:textId="77777777" w:rsidTr="007003CA">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5EB2E300"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2.1.4</w:t>
            </w:r>
          </w:p>
        </w:tc>
        <w:tc>
          <w:tcPr>
            <w:tcW w:w="8558" w:type="dxa"/>
          </w:tcPr>
          <w:p w14:paraId="0FBB5929"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udhëzuesve (që përfshijnë protokollet dhe procedurat) për projekte të përbashkëta.</w:t>
            </w:r>
          </w:p>
        </w:tc>
      </w:tr>
      <w:tr w:rsidR="007959B4" w:rsidRPr="00E266CD" w14:paraId="63E5312F" w14:textId="77777777" w:rsidTr="007003CA">
        <w:trPr>
          <w:trHeight w:val="53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4E86AA8C"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2.1.5</w:t>
            </w:r>
          </w:p>
        </w:tc>
        <w:tc>
          <w:tcPr>
            <w:tcW w:w="8558" w:type="dxa"/>
          </w:tcPr>
          <w:p w14:paraId="1F498E4F"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Forcimi i kapaciteteve të IAL-ve, përfaqësuesve të biznesit, institucioneve qendrore dhe vendore për hartimin e projekteve të përbashkëta.</w:t>
            </w:r>
          </w:p>
        </w:tc>
      </w:tr>
      <w:tr w:rsidR="007959B4" w:rsidRPr="00E266CD" w14:paraId="588C2281" w14:textId="77777777" w:rsidTr="007003CA">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940" w:type="dxa"/>
          </w:tcPr>
          <w:p w14:paraId="6A9CB2A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2.1.6</w:t>
            </w:r>
          </w:p>
        </w:tc>
        <w:tc>
          <w:tcPr>
            <w:tcW w:w="8558" w:type="dxa"/>
          </w:tcPr>
          <w:p w14:paraId="187EEE64" w14:textId="5D58E0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Fuqizimi i kapaciteteve të</w:t>
            </w:r>
            <w:r w:rsidR="007715D0" w:rsidRPr="00E266CD">
              <w:rPr>
                <w:rFonts w:ascii="Garamond" w:eastAsia="Times New Roman" w:hAnsi="Garamond"/>
                <w:sz w:val="20"/>
              </w:rPr>
              <w:t xml:space="preserve"> </w:t>
            </w:r>
            <w:r w:rsidRPr="00E266CD">
              <w:rPr>
                <w:rFonts w:ascii="Garamond" w:eastAsia="Times New Roman" w:hAnsi="Garamond"/>
                <w:sz w:val="20"/>
              </w:rPr>
              <w:t>strukturave të vlerësimit të projekteve të kërkimit shkencor</w:t>
            </w:r>
            <w:r w:rsidR="00876512">
              <w:rPr>
                <w:rFonts w:ascii="Garamond" w:eastAsia="Times New Roman" w:hAnsi="Garamond"/>
                <w:sz w:val="20"/>
              </w:rPr>
              <w:t>,</w:t>
            </w:r>
            <w:r w:rsidRPr="00E266CD">
              <w:rPr>
                <w:rFonts w:ascii="Garamond" w:eastAsia="Times New Roman" w:hAnsi="Garamond"/>
                <w:sz w:val="20"/>
              </w:rPr>
              <w:t xml:space="preserve"> me qëllim përfaqësimin e biznesit në këto struktura.</w:t>
            </w:r>
          </w:p>
        </w:tc>
      </w:tr>
    </w:tbl>
    <w:p w14:paraId="1314A734" w14:textId="0D735EE7" w:rsidR="007959B4" w:rsidRPr="00E266CD" w:rsidRDefault="007959B4" w:rsidP="00104D70">
      <w:pPr>
        <w:pStyle w:val="TEKSTIIII"/>
        <w:rPr>
          <w:i/>
          <w:sz w:val="20"/>
          <w:szCs w:val="20"/>
        </w:rPr>
      </w:pPr>
      <w:r w:rsidRPr="00E266CD">
        <w:rPr>
          <w:i/>
          <w:sz w:val="20"/>
          <w:szCs w:val="20"/>
        </w:rPr>
        <w:t xml:space="preserve">Tabela </w:t>
      </w:r>
      <w:r w:rsidR="00B65BFD" w:rsidRPr="00E266CD">
        <w:rPr>
          <w:i/>
          <w:sz w:val="20"/>
          <w:szCs w:val="20"/>
        </w:rPr>
        <w:t>n</w:t>
      </w:r>
      <w:r w:rsidRPr="00E266CD">
        <w:rPr>
          <w:i/>
          <w:sz w:val="20"/>
          <w:szCs w:val="20"/>
        </w:rPr>
        <w:t>r.</w:t>
      </w:r>
      <w:r w:rsidR="00B65BFD" w:rsidRPr="00E266CD">
        <w:rPr>
          <w:i/>
          <w:sz w:val="20"/>
          <w:szCs w:val="20"/>
        </w:rPr>
        <w:t xml:space="preserve"> </w:t>
      </w:r>
      <w:r w:rsidRPr="00E266CD">
        <w:rPr>
          <w:i/>
          <w:sz w:val="20"/>
          <w:szCs w:val="20"/>
        </w:rPr>
        <w:t>4</w:t>
      </w:r>
      <w:r w:rsidR="00876512">
        <w:rPr>
          <w:i/>
          <w:sz w:val="20"/>
          <w:szCs w:val="20"/>
        </w:rPr>
        <w:t>:</w:t>
      </w:r>
      <w:r w:rsidRPr="00E266CD">
        <w:rPr>
          <w:i/>
          <w:sz w:val="20"/>
          <w:szCs w:val="20"/>
        </w:rPr>
        <w:t xml:space="preserve"> Lista e masave për arritjen e objektivit specifik 2.1</w:t>
      </w:r>
    </w:p>
    <w:p w14:paraId="1A5F1E6E" w14:textId="77777777" w:rsidR="007959B4" w:rsidRPr="00E266CD" w:rsidRDefault="007959B4" w:rsidP="00104D70">
      <w:pPr>
        <w:pStyle w:val="TEKSTIIII"/>
        <w:rPr>
          <w:i/>
        </w:rPr>
      </w:pPr>
    </w:p>
    <w:p w14:paraId="4E1F1FB4" w14:textId="77777777" w:rsidR="007959B4" w:rsidRPr="00E266CD" w:rsidRDefault="007959B4" w:rsidP="00104D70">
      <w:pPr>
        <w:pStyle w:val="TEKSTIIII"/>
        <w:rPr>
          <w:b/>
        </w:rPr>
      </w:pPr>
      <w:bookmarkStart w:id="57" w:name="_Toc135703174"/>
      <w:r w:rsidRPr="00E266CD">
        <w:rPr>
          <w:b/>
        </w:rPr>
        <w:t>Treguesit kryesorë të rezultateve</w:t>
      </w:r>
      <w:bookmarkEnd w:id="57"/>
    </w:p>
    <w:p w14:paraId="1B1009A5" w14:textId="1E0C6F74" w:rsidR="007959B4" w:rsidRPr="00876512" w:rsidRDefault="007959B4" w:rsidP="00104D70">
      <w:pPr>
        <w:pStyle w:val="TEKSTIIII"/>
      </w:pPr>
      <w:r w:rsidRPr="00876512">
        <w:rPr>
          <w:b/>
        </w:rPr>
        <w:t>Tregues 1</w:t>
      </w:r>
      <w:r w:rsidRPr="00876512">
        <w:t>:</w:t>
      </w:r>
      <w:r w:rsidR="00876512">
        <w:t xml:space="preserve"> </w:t>
      </w:r>
      <w:r w:rsidRPr="00876512">
        <w:t xml:space="preserve">Përqindja e projekteve të përbashkëta sipas modelit </w:t>
      </w:r>
      <w:r w:rsidRPr="00876512">
        <w:rPr>
          <w:i/>
        </w:rPr>
        <w:t>Quadruple Helix</w:t>
      </w:r>
      <w:r w:rsidRPr="00876512">
        <w:t xml:space="preserve"> financuar nga AKKSHI.</w:t>
      </w:r>
    </w:p>
    <w:p w14:paraId="514EBCD5" w14:textId="77777777" w:rsidR="007959B4" w:rsidRPr="00876512" w:rsidRDefault="007959B4" w:rsidP="00104D70">
      <w:pPr>
        <w:pStyle w:val="TEKSTIIII"/>
      </w:pPr>
      <w:r w:rsidRPr="00876512">
        <w:rPr>
          <w:b/>
        </w:rPr>
        <w:t>Tregues 2</w:t>
      </w:r>
      <w:r w:rsidRPr="00876512">
        <w:t>: Përqindja e personelit akademik të trajnuar mbi hartimin e projekteve të përbashkëta (</w:t>
      </w:r>
      <w:r w:rsidRPr="00876512">
        <w:rPr>
          <w:i/>
        </w:rPr>
        <w:t>Quadruple Helix</w:t>
      </w:r>
      <w:r w:rsidRPr="00876512">
        <w:t>).</w:t>
      </w:r>
    </w:p>
    <w:p w14:paraId="54AF1291" w14:textId="7D1CB5E4" w:rsidR="007959B4" w:rsidRPr="00E266CD" w:rsidRDefault="007959B4" w:rsidP="00104D70">
      <w:pPr>
        <w:pStyle w:val="TEKSTIIII"/>
      </w:pPr>
      <w:r w:rsidRPr="00876512">
        <w:rPr>
          <w:b/>
        </w:rPr>
        <w:t>Tregues 3:</w:t>
      </w:r>
      <w:r w:rsidRPr="00876512">
        <w:t xml:space="preserve"> Përqindja e fondeve të AKKSHI</w:t>
      </w:r>
      <w:r w:rsidR="00876512">
        <w:t>-t,</w:t>
      </w:r>
      <w:r w:rsidRPr="00876512">
        <w:t xml:space="preserve"> dedikuar për garantët e përbashkët të komunitetit të kërkuesve shkencor</w:t>
      </w:r>
      <w:r w:rsidR="00876512">
        <w:t>–</w:t>
      </w:r>
      <w:r w:rsidRPr="00E266CD">
        <w:t>biznes.</w:t>
      </w:r>
    </w:p>
    <w:p w14:paraId="5B6820B0" w14:textId="77777777" w:rsidR="007959B4" w:rsidRPr="00E266CD" w:rsidRDefault="007959B4" w:rsidP="007959B4">
      <w:pPr>
        <w:shd w:val="clear" w:color="auto" w:fill="FFFFFF"/>
        <w:rPr>
          <w:rFonts w:ascii="Garamond" w:eastAsia="Times New Roman" w:hAnsi="Garamond"/>
          <w:sz w:val="24"/>
          <w:szCs w:val="24"/>
        </w:rPr>
      </w:pPr>
    </w:p>
    <w:p w14:paraId="4F91F558" w14:textId="49F1C84E" w:rsidR="007959B4" w:rsidRPr="005274ED" w:rsidRDefault="007959B4" w:rsidP="005274ED">
      <w:pPr>
        <w:pStyle w:val="TEKSTIIII"/>
        <w:rPr>
          <w:b/>
        </w:rPr>
      </w:pPr>
      <w:bookmarkStart w:id="58" w:name="_Toc135703175"/>
      <w:r w:rsidRPr="00E266CD">
        <w:rPr>
          <w:b/>
        </w:rPr>
        <w:t xml:space="preserve">Objektivi </w:t>
      </w:r>
      <w:r w:rsidR="005274ED">
        <w:rPr>
          <w:b/>
        </w:rPr>
        <w:t>s</w:t>
      </w:r>
      <w:r w:rsidRPr="00E266CD">
        <w:rPr>
          <w:b/>
        </w:rPr>
        <w:t>pecifik 2.2: Përmirësimi i mekanizmave dhe rritja e mbështetjes së transferimit ndërkombëtar të teknologjisë (TNT)</w:t>
      </w:r>
      <w:bookmarkEnd w:id="58"/>
    </w:p>
    <w:p w14:paraId="2D7E0A0F" w14:textId="03C529B4" w:rsidR="007959B4" w:rsidRPr="00E266CD" w:rsidRDefault="007959B4" w:rsidP="00104D70">
      <w:pPr>
        <w:pStyle w:val="TEKSTIIII"/>
        <w:rPr>
          <w:b/>
        </w:rPr>
      </w:pPr>
      <w:bookmarkStart w:id="59" w:name="_Toc135703176"/>
      <w:r w:rsidRPr="00E266CD">
        <w:rPr>
          <w:b/>
        </w:rPr>
        <w:t xml:space="preserve">Analiza e </w:t>
      </w:r>
      <w:r w:rsidR="005274ED" w:rsidRPr="00E266CD">
        <w:rPr>
          <w:b/>
        </w:rPr>
        <w:t>situatës dhe sfidat</w:t>
      </w:r>
      <w:bookmarkEnd w:id="59"/>
    </w:p>
    <w:p w14:paraId="5754BA2A" w14:textId="77777777" w:rsidR="007959B4" w:rsidRPr="00E266CD" w:rsidRDefault="007959B4" w:rsidP="00104D70">
      <w:pPr>
        <w:pStyle w:val="TEKSTIIII"/>
      </w:pPr>
      <w:r w:rsidRPr="00E266CD">
        <w:t xml:space="preserve">Një sërë institucionesh janë të përfshira në ngritjen dhe përmirësimin e mekanizmave për të bërë të mundur transferimin e teknologjisë. </w:t>
      </w:r>
    </w:p>
    <w:p w14:paraId="6876B97E" w14:textId="6374E816" w:rsidR="007959B4" w:rsidRPr="00E266CD" w:rsidRDefault="007959B4" w:rsidP="00104D70">
      <w:pPr>
        <w:pStyle w:val="TEKSTIIII"/>
      </w:pPr>
      <w:r w:rsidRPr="00E266CD">
        <w:t>Ky produkt nuk përfshin angazhimin e AKKSHI</w:t>
      </w:r>
      <w:r w:rsidR="00292B8F">
        <w:t>-t</w:t>
      </w:r>
      <w:r w:rsidRPr="00E266CD">
        <w:t xml:space="preserve"> në tërësinë e saj, por pjesërisht. Në këtë kuadër AKKSHI shpërndan informacion mbi </w:t>
      </w:r>
      <w:r w:rsidR="00292B8F" w:rsidRPr="00E266CD">
        <w:t xml:space="preserve">pronësinë industriale dhe intelektuale </w:t>
      </w:r>
      <w:r w:rsidRPr="00E266CD">
        <w:t>gjatë ditëve informative (</w:t>
      </w:r>
      <w:r w:rsidRPr="00E266CD">
        <w:rPr>
          <w:i/>
        </w:rPr>
        <w:t>Info-Day</w:t>
      </w:r>
      <w:r w:rsidRPr="00E266CD">
        <w:t>), të cilat synojnë auditorin e akademisë dhe biznesit.</w:t>
      </w:r>
    </w:p>
    <w:p w14:paraId="2DB7079E" w14:textId="336CD46B" w:rsidR="007959B4" w:rsidRPr="00E266CD" w:rsidRDefault="007959B4" w:rsidP="00104D70">
      <w:pPr>
        <w:pStyle w:val="TEKSTIIII"/>
      </w:pPr>
      <w:r w:rsidRPr="00E266CD">
        <w:t>Ditët informative organizohen nga Drejtoria e Programeve Ndërkombëtare (DPN) me pjesëmarrjen e Drejtorisë së Programeve Kombëtare (DPK). DPK</w:t>
      </w:r>
      <w:r w:rsidR="00893E0A">
        <w:t>-ja</w:t>
      </w:r>
      <w:r w:rsidRPr="00E266CD">
        <w:t xml:space="preserve"> përfaqësohet në këto </w:t>
      </w:r>
      <w:r w:rsidRPr="00E266CD">
        <w:rPr>
          <w:i/>
        </w:rPr>
        <w:t>Info-Day</w:t>
      </w:r>
      <w:r w:rsidRPr="00E266CD">
        <w:t xml:space="preserve"> nga Sektori i Inovacionit. Në këto evente, janë të ftuar si referues dhe përfaqësues së DPPI-së. </w:t>
      </w:r>
    </w:p>
    <w:p w14:paraId="61AC0101" w14:textId="36B121CC" w:rsidR="007959B4" w:rsidRPr="00E266CD" w:rsidRDefault="007959B4" w:rsidP="00104D70">
      <w:pPr>
        <w:pStyle w:val="TEKSTIIII"/>
      </w:pPr>
      <w:r w:rsidRPr="00E266CD">
        <w:t>Gjatë periudhës 2017</w:t>
      </w:r>
      <w:r w:rsidR="007003CA" w:rsidRPr="00E266CD">
        <w:t>–</w:t>
      </w:r>
      <w:r w:rsidRPr="00E266CD">
        <w:t xml:space="preserve">2021 janë kryer 30 </w:t>
      </w:r>
      <w:r w:rsidRPr="00E266CD">
        <w:rPr>
          <w:i/>
        </w:rPr>
        <w:t>Info-Day</w:t>
      </w:r>
      <w:r w:rsidRPr="00E266CD">
        <w:t>, në të cilat është trajtuar pronësia industriale dhe intelektuale.</w:t>
      </w:r>
    </w:p>
    <w:p w14:paraId="1EAF5D94" w14:textId="64C1EEA9" w:rsidR="007959B4" w:rsidRPr="00E266CD" w:rsidRDefault="007959B4" w:rsidP="00104D70">
      <w:pPr>
        <w:pStyle w:val="TEKSTIIII"/>
      </w:pPr>
      <w:r w:rsidRPr="00E266CD">
        <w:t>DPPI</w:t>
      </w:r>
      <w:r w:rsidR="00893E0A">
        <w:t>-ja</w:t>
      </w:r>
      <w:r w:rsidRPr="00E266CD">
        <w:t xml:space="preserve"> në bashkëpunim dhe IAL-të në Republikën e Shqipërisë:</w:t>
      </w:r>
    </w:p>
    <w:p w14:paraId="48A5C4EA" w14:textId="49D93B8A" w:rsidR="007959B4" w:rsidRPr="00E266CD" w:rsidRDefault="007959B4" w:rsidP="00104D70">
      <w:pPr>
        <w:pStyle w:val="TEKSTIIII"/>
      </w:pPr>
      <w:r w:rsidRPr="00E266CD">
        <w:t xml:space="preserve">Drejtoria e Përgjithshme e Pronësisë Industriale ka nënshkruar 11 marrëveshje me </w:t>
      </w:r>
      <w:r w:rsidR="00893E0A">
        <w:t>I</w:t>
      </w:r>
      <w:r w:rsidR="00893E0A" w:rsidRPr="00E266CD">
        <w:t xml:space="preserve">nstitucionet </w:t>
      </w:r>
      <w:r w:rsidRPr="00E266CD">
        <w:t>e Arsimit të Lartë (IAL) në vendin tonë dhe më të fundit janë:</w:t>
      </w:r>
    </w:p>
    <w:p w14:paraId="1A803028" w14:textId="21CC9F6E" w:rsidR="007959B4" w:rsidRPr="00E266CD" w:rsidRDefault="007959B4" w:rsidP="00104D70">
      <w:pPr>
        <w:pStyle w:val="TEKSTIIII"/>
      </w:pPr>
      <w:r w:rsidRPr="00E266CD">
        <w:t>- Marrëveshje bashkëpunimi nënshkruar me datë 29.9.2021</w:t>
      </w:r>
      <w:r w:rsidR="00B65BFD" w:rsidRPr="00E266CD">
        <w:t>,</w:t>
      </w:r>
      <w:r w:rsidRPr="00E266CD">
        <w:t xml:space="preserve"> ndërmjet DPPI</w:t>
      </w:r>
      <w:r w:rsidR="00893E0A">
        <w:t>-së</w:t>
      </w:r>
      <w:r w:rsidRPr="00E266CD">
        <w:t xml:space="preserve"> dhe Universitetit POLIS;</w:t>
      </w:r>
    </w:p>
    <w:p w14:paraId="42C43EA1" w14:textId="5A656148" w:rsidR="007959B4" w:rsidRPr="00E266CD" w:rsidRDefault="007959B4" w:rsidP="00104D70">
      <w:pPr>
        <w:pStyle w:val="TEKSTIIII"/>
      </w:pPr>
      <w:r w:rsidRPr="00E266CD">
        <w:t>- Marrëveshje bashkëpunimi nënshkruar me datë 29.4.2021</w:t>
      </w:r>
      <w:r w:rsidR="00B65BFD" w:rsidRPr="00E266CD">
        <w:t>,</w:t>
      </w:r>
      <w:r w:rsidRPr="00E266CD">
        <w:t xml:space="preserve"> ndërmjet DPPI</w:t>
      </w:r>
      <w:r w:rsidR="00893E0A">
        <w:t>-së</w:t>
      </w:r>
      <w:r w:rsidRPr="00E266CD">
        <w:t xml:space="preserve"> dhe Universitetit Aleksandër Moisiu Durrës;</w:t>
      </w:r>
    </w:p>
    <w:p w14:paraId="7DA386FE" w14:textId="331A4F75" w:rsidR="007959B4" w:rsidRPr="00E266CD" w:rsidRDefault="007959B4" w:rsidP="00104D70">
      <w:pPr>
        <w:pStyle w:val="TEKSTIIII"/>
      </w:pPr>
      <w:r w:rsidRPr="00E266CD">
        <w:t>- Marrëveshje bashkëpunimi nënshkruar me datë 17.5.2021</w:t>
      </w:r>
      <w:r w:rsidR="00B65BFD" w:rsidRPr="00E266CD">
        <w:t>,</w:t>
      </w:r>
      <w:r w:rsidRPr="00E266CD">
        <w:t xml:space="preserve"> ndërmjet DPPI</w:t>
      </w:r>
      <w:r w:rsidR="00893E0A">
        <w:t>-së</w:t>
      </w:r>
      <w:r w:rsidRPr="00E266CD">
        <w:t xml:space="preserve"> dhe Universitetit të Tiranës/Instituti i Studimeve Evropiane;</w:t>
      </w:r>
    </w:p>
    <w:p w14:paraId="057EBCAE" w14:textId="578878D6" w:rsidR="007959B4" w:rsidRPr="00E266CD" w:rsidRDefault="007959B4" w:rsidP="00104D70">
      <w:pPr>
        <w:pStyle w:val="TEKSTIIII"/>
      </w:pPr>
      <w:r w:rsidRPr="00E266CD">
        <w:t>Qëllimi i nënshkrimit të këtyre marrëveshjeve është përcaktimi i mënyrave dhe modaliteteve të caktuara për të rritur ndërgjegjësimin për konceptin e pronësisë industriale dhe intelektuale në tërësi, informimin dhe sensibilizimin e studentëve, stafit akademik të përfshirë në punë kërkimore dhe shkencore, lidhur me rëndësinë e mbrojtjes së të drejtave të pronësisë industrial</w:t>
      </w:r>
      <w:r w:rsidR="00893E0A">
        <w:t>e,</w:t>
      </w:r>
      <w:r w:rsidRPr="00E266CD">
        <w:t xml:space="preserve"> si dhe organizimin e aktiviteteve të përbashkëta, </w:t>
      </w:r>
      <w:r w:rsidRPr="00E266CD">
        <w:rPr>
          <w:i/>
        </w:rPr>
        <w:t>internship</w:t>
      </w:r>
      <w:r w:rsidRPr="00E266CD">
        <w:t xml:space="preserve">-eve, sesioneve të ndryshme </w:t>
      </w:r>
      <w:r w:rsidR="00893E0A">
        <w:t xml:space="preserve">të </w:t>
      </w:r>
      <w:r w:rsidRPr="00E266CD">
        <w:t>informimi</w:t>
      </w:r>
      <w:r w:rsidR="00893E0A">
        <w:t>t</w:t>
      </w:r>
      <w:r w:rsidRPr="00E266CD">
        <w:t xml:space="preserve"> sipas fushës së përgjegjësisë etj.</w:t>
      </w:r>
    </w:p>
    <w:p w14:paraId="6A19232B" w14:textId="3A6AF754" w:rsidR="007959B4" w:rsidRPr="00E266CD" w:rsidRDefault="007959B4" w:rsidP="00104D70">
      <w:pPr>
        <w:pStyle w:val="TEKSTIIII"/>
      </w:pPr>
      <w:r w:rsidRPr="00E266CD">
        <w:t>Në kuadër të këtij bashkëpunimi midis DPPI</w:t>
      </w:r>
      <w:r w:rsidR="00893E0A">
        <w:t>-së</w:t>
      </w:r>
      <w:r w:rsidRPr="00E266CD">
        <w:t xml:space="preserve"> dhe IAL</w:t>
      </w:r>
      <w:r w:rsidR="00893E0A">
        <w:t>-ve</w:t>
      </w:r>
      <w:r w:rsidRPr="00E266CD">
        <w:t>, vlen të theksohet se DPPI</w:t>
      </w:r>
      <w:r w:rsidR="00893E0A">
        <w:t>-ja</w:t>
      </w:r>
      <w:r w:rsidRPr="00E266CD">
        <w:t xml:space="preserve"> është angazhuar dhe ka ngritur 4 qendra të informacionit tekniko-shkencor pranë IAL-ve në shkallë vendi. Ngritja e këtyre qendrave është mjaft e rëndësishme dhe shërben për rritjen e ndërgjegjësimit të studentëve, stafit akademik shkencor, shpikësve dhe profesionistëve të përfshirë në punë kërkimore</w:t>
      </w:r>
      <w:r w:rsidR="00893E0A">
        <w:t>-</w:t>
      </w:r>
      <w:r w:rsidRPr="00E266CD">
        <w:t>shkencore, në nxitjen e tyre</w:t>
      </w:r>
      <w:r w:rsidR="00893E0A">
        <w:t>,</w:t>
      </w:r>
      <w:r w:rsidRPr="00E266CD">
        <w:t xml:space="preserve"> si dhe në të drejtat që i përkasin nëpërmjet regjistrimin pranë DPPI-së. Qendrat janë të pajisura me logjistikën e nevojshme dhe me sistem kërkimi, “</w:t>
      </w:r>
      <w:r w:rsidRPr="00893E0A">
        <w:rPr>
          <w:i/>
        </w:rPr>
        <w:t>Espacenet</w:t>
      </w:r>
      <w:r w:rsidRPr="00E266CD">
        <w:t>”, i cili është në gjuhën shqipe. Krahas informacionit të nevojshëm në lidhje me fushën, pranë këtyre qendrave shpërndahen edhe materiale informuese në lidhje me markat tregtar</w:t>
      </w:r>
      <w:r w:rsidR="00893E0A">
        <w:t>e</w:t>
      </w:r>
      <w:r w:rsidRPr="00E266CD">
        <w:t>, patentës, disenjot industriale dhe treguesit gjeografik. Stafi i DPPI</w:t>
      </w:r>
      <w:r w:rsidR="00893E0A">
        <w:t>-së,</w:t>
      </w:r>
      <w:r w:rsidRPr="00E266CD">
        <w:t xml:space="preserve"> në mënyrë periodike</w:t>
      </w:r>
      <w:r w:rsidR="00893E0A">
        <w:t>,</w:t>
      </w:r>
      <w:r w:rsidRPr="00E266CD">
        <w:t xml:space="preserve"> në bazë vjetore realizon trajnimin e studentëve dhe stafit akademik në lidhje me të drejtat e pronësisë industriale dhe kryesisht mbi patentat dhe shpikjet.</w:t>
      </w:r>
    </w:p>
    <w:p w14:paraId="4C232902" w14:textId="4FCB4EF5" w:rsidR="007959B4" w:rsidRPr="00893E0A" w:rsidRDefault="007959B4" w:rsidP="00893E0A">
      <w:pPr>
        <w:pStyle w:val="TEKSTIIII"/>
        <w:rPr>
          <w:rFonts w:eastAsia="Times New Roman"/>
          <w:color w:val="000000"/>
        </w:rPr>
      </w:pPr>
      <w:r w:rsidRPr="00E266CD">
        <w:rPr>
          <w:rFonts w:eastAsia="Times New Roman"/>
          <w:color w:val="000000"/>
        </w:rPr>
        <w:t>Është në fokusin dhe veprimtarinë e DPPI</w:t>
      </w:r>
      <w:r w:rsidR="00893E0A">
        <w:rPr>
          <w:rFonts w:eastAsia="Times New Roman"/>
          <w:color w:val="000000"/>
        </w:rPr>
        <w:t>-së</w:t>
      </w:r>
      <w:r w:rsidRPr="00E266CD">
        <w:rPr>
          <w:rFonts w:eastAsia="Times New Roman"/>
          <w:color w:val="000000"/>
        </w:rPr>
        <w:t xml:space="preserve"> informimi i biznesit dhe i </w:t>
      </w:r>
      <w:r w:rsidRPr="00E266CD">
        <w:rPr>
          <w:rFonts w:eastAsia="Times New Roman"/>
          <w:i/>
          <w:color w:val="000000"/>
        </w:rPr>
        <w:t>startup</w:t>
      </w:r>
      <w:r w:rsidRPr="00E266CD">
        <w:rPr>
          <w:rFonts w:eastAsia="Times New Roman"/>
          <w:color w:val="000000"/>
        </w:rPr>
        <w:t>-eve, në lidhje me përfitimet që vijnë nga regjistrimi i të drejtave të pronësisë industriale. Nga burime zyrtare statistikore të të dhënave të DPPI</w:t>
      </w:r>
      <w:r w:rsidR="00893E0A">
        <w:rPr>
          <w:rFonts w:eastAsia="Times New Roman"/>
          <w:color w:val="000000"/>
        </w:rPr>
        <w:t>-së</w:t>
      </w:r>
      <w:r w:rsidRPr="00E266CD">
        <w:rPr>
          <w:rFonts w:eastAsia="Times New Roman"/>
          <w:color w:val="000000"/>
        </w:rPr>
        <w:t>, rezulton se kryhen mbi 120 takime pranë biznesit duke përfshirë mbi 20 qytete të Republikës së Shqipërisë. Përveç ndërgjegjësimit që DPPI</w:t>
      </w:r>
      <w:r w:rsidR="00893E0A">
        <w:rPr>
          <w:rFonts w:eastAsia="Times New Roman"/>
          <w:color w:val="000000"/>
        </w:rPr>
        <w:t>-ja</w:t>
      </w:r>
      <w:r w:rsidRPr="00E266CD">
        <w:rPr>
          <w:rFonts w:eastAsia="Times New Roman"/>
          <w:color w:val="000000"/>
        </w:rPr>
        <w:t xml:space="preserve"> kryen në këto subjekte, stafi i kësaj të fundit ka kryer dhe IPD (</w:t>
      </w:r>
      <w:r w:rsidRPr="00E266CD">
        <w:rPr>
          <w:rFonts w:eastAsia="Times New Roman"/>
          <w:i/>
          <w:color w:val="000000"/>
        </w:rPr>
        <w:t>interview pre-diagnosis</w:t>
      </w:r>
      <w:r w:rsidRPr="00E266CD">
        <w:rPr>
          <w:rFonts w:eastAsia="Times New Roman"/>
          <w:color w:val="000000"/>
        </w:rPr>
        <w:t>) në biznese inovative, me potencial të mundshëm regjistrimi patente dhe/ose disenjo industriale.</w:t>
      </w:r>
    </w:p>
    <w:p w14:paraId="7BE905A5" w14:textId="1174FAEF" w:rsidR="007959B4" w:rsidRPr="00E266CD" w:rsidRDefault="007959B4" w:rsidP="00104D70">
      <w:pPr>
        <w:pStyle w:val="TEKSTIIII"/>
        <w:rPr>
          <w:b/>
          <w:color w:val="000000"/>
        </w:rPr>
      </w:pPr>
      <w:bookmarkStart w:id="60" w:name="_Toc135703177"/>
      <w:r w:rsidRPr="00E266CD">
        <w:rPr>
          <w:b/>
          <w:color w:val="000000"/>
        </w:rPr>
        <w:t>Rezultatet që pritet të arrihen përmes zbatimit të masave që lidhen me objektivin specifik</w:t>
      </w:r>
      <w:bookmarkEnd w:id="60"/>
    </w:p>
    <w:p w14:paraId="358A7591" w14:textId="77777777" w:rsidR="007959B4" w:rsidRPr="00E266CD" w:rsidRDefault="007959B4" w:rsidP="00104D70">
      <w:pPr>
        <w:pStyle w:val="TEKSTIIII"/>
      </w:pPr>
      <w:r w:rsidRPr="00E266CD">
        <w:t>Përmes realizimit të masave të detajuara në planin e veprimit synohet të arrihen këto rezultate:</w:t>
      </w:r>
    </w:p>
    <w:p w14:paraId="1BCD0170" w14:textId="48B09F0C" w:rsidR="007959B4" w:rsidRPr="00E266CD" w:rsidRDefault="00104D70" w:rsidP="00104D70">
      <w:pPr>
        <w:pStyle w:val="TEKSTIIII"/>
        <w:rPr>
          <w:color w:val="000000"/>
        </w:rPr>
      </w:pPr>
      <w:r w:rsidRPr="00E266CD">
        <w:rPr>
          <w:color w:val="000000"/>
        </w:rPr>
        <w:t xml:space="preserve">- </w:t>
      </w:r>
      <w:r w:rsidR="007959B4" w:rsidRPr="00E266CD">
        <w:rPr>
          <w:color w:val="000000"/>
        </w:rPr>
        <w:t>Kapacitete të përmirësuara</w:t>
      </w:r>
      <w:r w:rsidR="00893E0A">
        <w:rPr>
          <w:color w:val="000000"/>
        </w:rPr>
        <w:t>;</w:t>
      </w:r>
    </w:p>
    <w:p w14:paraId="22BCDD49" w14:textId="0E2BC976" w:rsidR="007959B4" w:rsidRPr="00E266CD" w:rsidRDefault="00104D70" w:rsidP="00104D70">
      <w:pPr>
        <w:pStyle w:val="TEKSTIIII"/>
        <w:rPr>
          <w:color w:val="000000"/>
        </w:rPr>
      </w:pPr>
      <w:r w:rsidRPr="00E266CD">
        <w:rPr>
          <w:color w:val="000000"/>
        </w:rPr>
        <w:t xml:space="preserve">- </w:t>
      </w:r>
      <w:r w:rsidR="007959B4" w:rsidRPr="00E266CD">
        <w:rPr>
          <w:color w:val="000000"/>
        </w:rPr>
        <w:t>Infrastrukturë ekzistuese funksionale</w:t>
      </w:r>
      <w:r w:rsidR="00893E0A">
        <w:rPr>
          <w:color w:val="000000"/>
        </w:rPr>
        <w:t>;</w:t>
      </w:r>
    </w:p>
    <w:p w14:paraId="42820AD1" w14:textId="64BFD242" w:rsidR="007959B4" w:rsidRPr="00E266CD" w:rsidRDefault="00104D70" w:rsidP="00104D70">
      <w:pPr>
        <w:pStyle w:val="TEKSTIIII"/>
        <w:rPr>
          <w:color w:val="000000"/>
        </w:rPr>
      </w:pPr>
      <w:r w:rsidRPr="00E266CD">
        <w:rPr>
          <w:color w:val="000000"/>
        </w:rPr>
        <w:t xml:space="preserve">- </w:t>
      </w:r>
      <w:r w:rsidR="007959B4" w:rsidRPr="00E266CD">
        <w:rPr>
          <w:color w:val="000000"/>
        </w:rPr>
        <w:t>Zhvillimi i infrastrukturave të reja</w:t>
      </w:r>
      <w:r w:rsidR="00893E0A">
        <w:rPr>
          <w:color w:val="000000"/>
        </w:rPr>
        <w:t>;</w:t>
      </w:r>
    </w:p>
    <w:p w14:paraId="11E5D0D7" w14:textId="44669BF0" w:rsidR="007959B4" w:rsidRPr="00E266CD" w:rsidRDefault="00104D70" w:rsidP="00104D70">
      <w:pPr>
        <w:pStyle w:val="TEKSTIIII"/>
        <w:rPr>
          <w:color w:val="000000"/>
        </w:rPr>
      </w:pPr>
      <w:r w:rsidRPr="00E266CD">
        <w:rPr>
          <w:color w:val="000000"/>
        </w:rPr>
        <w:t xml:space="preserve">- </w:t>
      </w:r>
      <w:r w:rsidR="007959B4" w:rsidRPr="00E266CD">
        <w:rPr>
          <w:color w:val="000000"/>
        </w:rPr>
        <w:t>Transferimi i teknologjisë</w:t>
      </w:r>
      <w:r w:rsidR="00893E0A">
        <w:rPr>
          <w:color w:val="000000"/>
        </w:rPr>
        <w:t>,</w:t>
      </w:r>
      <w:r w:rsidR="007959B4" w:rsidRPr="00E266CD">
        <w:rPr>
          <w:color w:val="000000"/>
        </w:rPr>
        <w:t xml:space="preserve"> i forcuar</w:t>
      </w:r>
      <w:r w:rsidR="00893E0A">
        <w:rPr>
          <w:color w:val="000000"/>
        </w:rPr>
        <w:t>;</w:t>
      </w:r>
    </w:p>
    <w:p w14:paraId="38898493" w14:textId="7A91BF58" w:rsidR="007959B4" w:rsidRPr="00E266CD" w:rsidRDefault="00104D70" w:rsidP="00104D70">
      <w:pPr>
        <w:pStyle w:val="TEKSTIIII"/>
        <w:rPr>
          <w:color w:val="000000"/>
        </w:rPr>
      </w:pPr>
      <w:r w:rsidRPr="00E266CD">
        <w:rPr>
          <w:color w:val="000000"/>
        </w:rPr>
        <w:t xml:space="preserve">- </w:t>
      </w:r>
      <w:r w:rsidR="007959B4" w:rsidRPr="00E266CD">
        <w:rPr>
          <w:color w:val="000000"/>
        </w:rPr>
        <w:t xml:space="preserve">Platforma e </w:t>
      </w:r>
      <w:r w:rsidR="007959B4" w:rsidRPr="00E266CD">
        <w:rPr>
          <w:i/>
          <w:color w:val="000000"/>
        </w:rPr>
        <w:t>Network</w:t>
      </w:r>
      <w:r w:rsidR="007959B4" w:rsidRPr="00E266CD">
        <w:rPr>
          <w:color w:val="000000"/>
        </w:rPr>
        <w:t>-ut</w:t>
      </w:r>
      <w:r w:rsidR="00893E0A">
        <w:rPr>
          <w:color w:val="000000"/>
        </w:rPr>
        <w:t>,</w:t>
      </w:r>
      <w:r w:rsidR="007959B4" w:rsidRPr="00E266CD">
        <w:rPr>
          <w:color w:val="000000"/>
        </w:rPr>
        <w:t xml:space="preserve"> e forcuar</w:t>
      </w:r>
      <w:r w:rsidR="00893E0A">
        <w:rPr>
          <w:color w:val="000000"/>
        </w:rPr>
        <w:t>;</w:t>
      </w:r>
    </w:p>
    <w:p w14:paraId="0EAFC549" w14:textId="77777777" w:rsidR="007959B4" w:rsidRPr="00E266CD" w:rsidRDefault="00104D70" w:rsidP="00104D70">
      <w:pPr>
        <w:pStyle w:val="TEKSTIIII"/>
      </w:pPr>
      <w:r w:rsidRPr="00E266CD">
        <w:t xml:space="preserve">- </w:t>
      </w:r>
      <w:r w:rsidR="007959B4" w:rsidRPr="00E266CD">
        <w:t>Protokolle dhe procedura të hartuara.</w:t>
      </w:r>
    </w:p>
    <w:p w14:paraId="083038BF" w14:textId="47945F32" w:rsidR="007959B4" w:rsidRPr="00D52E02" w:rsidRDefault="007959B4" w:rsidP="00104D70">
      <w:pPr>
        <w:pStyle w:val="TEKSTIIII"/>
        <w:rPr>
          <w:color w:val="000000"/>
        </w:rPr>
      </w:pPr>
      <w:bookmarkStart w:id="61" w:name="_Toc135703178"/>
      <w:r w:rsidRPr="00D52E02">
        <w:rPr>
          <w:color w:val="000000"/>
        </w:rPr>
        <w:t xml:space="preserve">Institucionet </w:t>
      </w:r>
      <w:r w:rsidR="00893E0A" w:rsidRPr="00D52E02">
        <w:rPr>
          <w:color w:val="000000"/>
        </w:rPr>
        <w:t>d</w:t>
      </w:r>
      <w:r w:rsidRPr="00D52E02">
        <w:rPr>
          <w:color w:val="000000"/>
        </w:rPr>
        <w:t>rejtuese</w:t>
      </w:r>
      <w:bookmarkEnd w:id="61"/>
      <w:r w:rsidR="00D52E02">
        <w:rPr>
          <w:color w:val="000000"/>
        </w:rPr>
        <w:t>:</w:t>
      </w:r>
    </w:p>
    <w:p w14:paraId="3CFDA5D8" w14:textId="77777777" w:rsidR="007959B4" w:rsidRPr="00E266CD" w:rsidRDefault="007959B4" w:rsidP="00104D70">
      <w:pPr>
        <w:pStyle w:val="TEKSTIIII"/>
      </w:pPr>
      <w:r w:rsidRPr="00E266CD">
        <w:t>DPPI, AKKSHI, MFE</w:t>
      </w:r>
    </w:p>
    <w:p w14:paraId="69D01A9F" w14:textId="161C9BC9" w:rsidR="007959B4" w:rsidRPr="00D52E02" w:rsidRDefault="007959B4" w:rsidP="00104D70">
      <w:pPr>
        <w:pStyle w:val="TEKSTIIII"/>
      </w:pPr>
      <w:bookmarkStart w:id="62" w:name="_Toc135703179"/>
      <w:r w:rsidRPr="00D52E02">
        <w:t xml:space="preserve">Institucionet </w:t>
      </w:r>
      <w:r w:rsidR="00893E0A" w:rsidRPr="00D52E02">
        <w:t>p</w:t>
      </w:r>
      <w:r w:rsidRPr="00D52E02">
        <w:t>jesëmarrës</w:t>
      </w:r>
      <w:bookmarkEnd w:id="62"/>
      <w:r w:rsidR="00D52E02">
        <w:t>e:</w:t>
      </w:r>
    </w:p>
    <w:p w14:paraId="6F9A26B7" w14:textId="77777777" w:rsidR="007959B4" w:rsidRPr="00E266CD" w:rsidRDefault="007959B4" w:rsidP="00104D70">
      <w:pPr>
        <w:pStyle w:val="TEKSTIIII"/>
      </w:pPr>
      <w:r w:rsidRPr="00E266CD">
        <w:t xml:space="preserve">MAS, IAL, ML </w:t>
      </w:r>
    </w:p>
    <w:p w14:paraId="07CC3C56" w14:textId="0DEEDC06" w:rsidR="007959B4" w:rsidRPr="00E266CD" w:rsidRDefault="007959B4" w:rsidP="00104D70">
      <w:pPr>
        <w:pStyle w:val="TEKSTIIII"/>
      </w:pPr>
      <w:r w:rsidRPr="00E266CD">
        <w:t xml:space="preserve">Programet kryesore buxhetore, fondet e të cilëve do </w:t>
      </w:r>
      <w:r w:rsidR="00893E0A">
        <w:t xml:space="preserve">të </w:t>
      </w:r>
      <w:r w:rsidRPr="00E266CD">
        <w:t>kontribuojnë drejtpërdrejtë në realizimin e objektivit janë:</w:t>
      </w:r>
    </w:p>
    <w:p w14:paraId="41335A7A"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Financave dhe Ekonomisë</w:t>
      </w:r>
    </w:p>
    <w:tbl>
      <w:tblPr>
        <w:tblStyle w:val="13"/>
        <w:tblW w:w="8190" w:type="dxa"/>
        <w:tblInd w:w="-23" w:type="dxa"/>
        <w:tblLayout w:type="fixed"/>
        <w:tblLook w:val="0400" w:firstRow="0" w:lastRow="0" w:firstColumn="0" w:lastColumn="0" w:noHBand="0" w:noVBand="1"/>
      </w:tblPr>
      <w:tblGrid>
        <w:gridCol w:w="1275"/>
        <w:gridCol w:w="6915"/>
      </w:tblGrid>
      <w:tr w:rsidR="007959B4" w:rsidRPr="00E266CD" w14:paraId="542B72E4" w14:textId="77777777" w:rsidTr="00695B0D">
        <w:trPr>
          <w:trHeight w:val="255"/>
        </w:trPr>
        <w:tc>
          <w:tcPr>
            <w:tcW w:w="1275" w:type="dxa"/>
            <w:tcBorders>
              <w:top w:val="nil"/>
              <w:left w:val="single" w:sz="6" w:space="0" w:color="000000"/>
              <w:bottom w:val="dotted" w:sz="4" w:space="0" w:color="000000"/>
              <w:right w:val="nil"/>
            </w:tcBorders>
            <w:shd w:val="clear" w:color="auto" w:fill="auto"/>
            <w:vAlign w:val="bottom"/>
          </w:tcPr>
          <w:p w14:paraId="6A22CCBD"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04160</w:t>
            </w:r>
          </w:p>
        </w:tc>
        <w:tc>
          <w:tcPr>
            <w:tcW w:w="6915" w:type="dxa"/>
            <w:tcBorders>
              <w:top w:val="nil"/>
              <w:left w:val="single" w:sz="4" w:space="0" w:color="000000"/>
              <w:bottom w:val="dotted" w:sz="4" w:space="0" w:color="000000"/>
              <w:right w:val="single" w:sz="4" w:space="0" w:color="000000"/>
            </w:tcBorders>
            <w:shd w:val="clear" w:color="auto" w:fill="auto"/>
            <w:vAlign w:val="bottom"/>
          </w:tcPr>
          <w:p w14:paraId="5415675E" w14:textId="685D7A6F"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893E0A" w:rsidRPr="00E266CD">
              <w:rPr>
                <w:rFonts w:ascii="Garamond" w:eastAsia="Times New Roman" w:hAnsi="Garamond"/>
                <w:sz w:val="24"/>
                <w:szCs w:val="24"/>
              </w:rPr>
              <w:t>mbikq. e tregut, infrast. e cilës. dhe pron. industr</w:t>
            </w:r>
            <w:r w:rsidRPr="00E266CD">
              <w:rPr>
                <w:rFonts w:ascii="Garamond" w:eastAsia="Times New Roman" w:hAnsi="Garamond"/>
                <w:sz w:val="24"/>
                <w:szCs w:val="24"/>
              </w:rPr>
              <w:t>.</w:t>
            </w:r>
          </w:p>
        </w:tc>
      </w:tr>
    </w:tbl>
    <w:p w14:paraId="21E36454"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Arsimit dhe Sporteve</w:t>
      </w:r>
    </w:p>
    <w:tbl>
      <w:tblPr>
        <w:tblStyle w:val="12"/>
        <w:tblW w:w="6616" w:type="dxa"/>
        <w:tblInd w:w="-23" w:type="dxa"/>
        <w:tblLayout w:type="fixed"/>
        <w:tblLook w:val="0400" w:firstRow="0" w:lastRow="0" w:firstColumn="0" w:lastColumn="0" w:noHBand="0" w:noVBand="1"/>
      </w:tblPr>
      <w:tblGrid>
        <w:gridCol w:w="1275"/>
        <w:gridCol w:w="5341"/>
      </w:tblGrid>
      <w:tr w:rsidR="007959B4" w:rsidRPr="00E266CD" w14:paraId="21E1C0F6" w14:textId="77777777" w:rsidTr="00695B0D">
        <w:trPr>
          <w:trHeight w:val="255"/>
        </w:trPr>
        <w:tc>
          <w:tcPr>
            <w:tcW w:w="1275" w:type="dxa"/>
            <w:tcBorders>
              <w:top w:val="dotted" w:sz="4" w:space="0" w:color="000000"/>
              <w:left w:val="single" w:sz="6" w:space="0" w:color="000000"/>
              <w:bottom w:val="dotted" w:sz="4" w:space="0" w:color="000000"/>
              <w:right w:val="nil"/>
            </w:tcBorders>
            <w:shd w:val="clear" w:color="auto" w:fill="auto"/>
            <w:vAlign w:val="bottom"/>
          </w:tcPr>
          <w:p w14:paraId="2B8CB9A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09450</w:t>
            </w:r>
          </w:p>
        </w:tc>
        <w:tc>
          <w:tcPr>
            <w:tcW w:w="5341" w:type="dxa"/>
            <w:tcBorders>
              <w:top w:val="dotted" w:sz="4" w:space="0" w:color="000000"/>
              <w:left w:val="single" w:sz="4" w:space="0" w:color="000000"/>
              <w:bottom w:val="dotted" w:sz="4" w:space="0" w:color="000000"/>
              <w:right w:val="single" w:sz="4" w:space="0" w:color="000000"/>
            </w:tcBorders>
            <w:shd w:val="clear" w:color="auto" w:fill="auto"/>
            <w:vAlign w:val="bottom"/>
          </w:tcPr>
          <w:p w14:paraId="50BA9B39" w14:textId="4FFE2F0D"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Arsimi </w:t>
            </w:r>
            <w:r w:rsidR="00893E0A">
              <w:rPr>
                <w:rFonts w:ascii="Garamond" w:eastAsia="Times New Roman" w:hAnsi="Garamond"/>
                <w:sz w:val="24"/>
                <w:szCs w:val="24"/>
              </w:rPr>
              <w:t>u</w:t>
            </w:r>
            <w:r w:rsidRPr="00E266CD">
              <w:rPr>
                <w:rFonts w:ascii="Garamond" w:eastAsia="Times New Roman" w:hAnsi="Garamond"/>
                <w:sz w:val="24"/>
                <w:szCs w:val="24"/>
              </w:rPr>
              <w:t>niversitar</w:t>
            </w:r>
          </w:p>
        </w:tc>
      </w:tr>
      <w:tr w:rsidR="007959B4" w:rsidRPr="00E266CD" w14:paraId="2E9B31A2" w14:textId="77777777" w:rsidTr="00695B0D">
        <w:trPr>
          <w:trHeight w:val="189"/>
        </w:trPr>
        <w:tc>
          <w:tcPr>
            <w:tcW w:w="1275" w:type="dxa"/>
            <w:tcBorders>
              <w:top w:val="nil"/>
              <w:left w:val="single" w:sz="6" w:space="0" w:color="000000"/>
              <w:bottom w:val="nil"/>
              <w:right w:val="nil"/>
            </w:tcBorders>
            <w:shd w:val="clear" w:color="auto" w:fill="auto"/>
            <w:vAlign w:val="bottom"/>
          </w:tcPr>
          <w:p w14:paraId="6CB45C61"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09770</w:t>
            </w:r>
          </w:p>
        </w:tc>
        <w:tc>
          <w:tcPr>
            <w:tcW w:w="5341" w:type="dxa"/>
            <w:tcBorders>
              <w:top w:val="nil"/>
              <w:left w:val="single" w:sz="4" w:space="0" w:color="000000"/>
              <w:bottom w:val="nil"/>
              <w:right w:val="single" w:sz="4" w:space="0" w:color="000000"/>
            </w:tcBorders>
            <w:shd w:val="clear" w:color="auto" w:fill="auto"/>
            <w:vAlign w:val="bottom"/>
          </w:tcPr>
          <w:p w14:paraId="5E48EC39" w14:textId="28B77881"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Fonde për </w:t>
            </w:r>
            <w:r w:rsidR="00893E0A">
              <w:rPr>
                <w:rFonts w:ascii="Garamond" w:eastAsia="Times New Roman" w:hAnsi="Garamond"/>
                <w:sz w:val="24"/>
                <w:szCs w:val="24"/>
              </w:rPr>
              <w:t>s</w:t>
            </w:r>
            <w:r w:rsidRPr="00E266CD">
              <w:rPr>
                <w:rFonts w:ascii="Garamond" w:eastAsia="Times New Roman" w:hAnsi="Garamond"/>
                <w:sz w:val="24"/>
                <w:szCs w:val="24"/>
              </w:rPr>
              <w:t>hkencën</w:t>
            </w:r>
          </w:p>
        </w:tc>
      </w:tr>
    </w:tbl>
    <w:p w14:paraId="12CBCF0C" w14:textId="77777777" w:rsidR="007959B4" w:rsidRPr="00E266CD" w:rsidRDefault="007959B4" w:rsidP="007959B4">
      <w:pPr>
        <w:rPr>
          <w:rFonts w:ascii="Garamond" w:eastAsia="Times New Roman" w:hAnsi="Garamond"/>
          <w:sz w:val="24"/>
          <w:szCs w:val="24"/>
        </w:rPr>
      </w:pPr>
    </w:p>
    <w:p w14:paraId="2FD2C5DE" w14:textId="77777777" w:rsidR="007959B4" w:rsidRPr="00E266CD" w:rsidRDefault="007959B4" w:rsidP="007959B4">
      <w:pPr>
        <w:rPr>
          <w:rFonts w:ascii="Garamond" w:eastAsia="Times New Roman" w:hAnsi="Garamond"/>
          <w:sz w:val="24"/>
          <w:szCs w:val="24"/>
        </w:rPr>
      </w:pPr>
      <w:r w:rsidRPr="00E266CD">
        <w:rPr>
          <w:rFonts w:ascii="Garamond" w:eastAsia="Times New Roman" w:hAnsi="Garamond"/>
          <w:sz w:val="24"/>
          <w:szCs w:val="24"/>
        </w:rPr>
        <w:t>Ministria e Bujqësisë dhe Zhvillimit Rural</w:t>
      </w:r>
    </w:p>
    <w:p w14:paraId="43FDAC91" w14:textId="67D2A90A" w:rsidR="007959B4" w:rsidRPr="00E266CD" w:rsidRDefault="007959B4" w:rsidP="007959B4">
      <w:pPr>
        <w:rPr>
          <w:rFonts w:ascii="Garamond" w:eastAsia="Times New Roman" w:hAnsi="Garamond"/>
          <w:sz w:val="24"/>
          <w:szCs w:val="24"/>
        </w:rPr>
      </w:pPr>
      <w:r w:rsidRPr="00E266CD">
        <w:rPr>
          <w:rFonts w:ascii="Garamond" w:eastAsia="Times New Roman" w:hAnsi="Garamond"/>
          <w:sz w:val="24"/>
          <w:szCs w:val="24"/>
        </w:rPr>
        <w:t>04860 Këshillimi dhe Informacioni Bujqëso</w:t>
      </w:r>
      <w:r w:rsidR="00B65BFD" w:rsidRPr="00E266CD">
        <w:rPr>
          <w:rFonts w:ascii="Garamond" w:eastAsia="Times New Roman" w:hAnsi="Garamond"/>
          <w:sz w:val="24"/>
          <w:szCs w:val="24"/>
        </w:rPr>
        <w:t>r</w:t>
      </w:r>
      <w:r w:rsidRPr="00E266CD">
        <w:rPr>
          <w:rFonts w:ascii="Garamond" w:eastAsia="Times New Roman" w:hAnsi="Garamond"/>
          <w:sz w:val="24"/>
          <w:szCs w:val="24"/>
        </w:rPr>
        <w:t>:</w:t>
      </w:r>
    </w:p>
    <w:p w14:paraId="75D2051F" w14:textId="089A1F1C" w:rsidR="00104D70" w:rsidRPr="00E266CD" w:rsidRDefault="007959B4" w:rsidP="00104D70">
      <w:pPr>
        <w:pStyle w:val="TEKSTIIII"/>
        <w:rPr>
          <w:b/>
        </w:rPr>
      </w:pPr>
      <w:bookmarkStart w:id="63" w:name="_Toc135703181"/>
      <w:r w:rsidRPr="00E266CD">
        <w:rPr>
          <w:b/>
        </w:rPr>
        <w:t>Lidhja e objektivit specifik me nënkapitullin përkatës të BE-së sipas MSA-së</w:t>
      </w:r>
      <w:bookmarkEnd w:id="63"/>
    </w:p>
    <w:p w14:paraId="151B7D49" w14:textId="0EBE9906" w:rsidR="007959B4" w:rsidRPr="00E266CD" w:rsidRDefault="007959B4" w:rsidP="00104D70">
      <w:pPr>
        <w:pStyle w:val="TEKSTIIII"/>
        <w:rPr>
          <w:b/>
        </w:rPr>
      </w:pPr>
      <w:r w:rsidRPr="00E266CD">
        <w:rPr>
          <w:rFonts w:eastAsia="Times New Roman"/>
        </w:rPr>
        <w:t xml:space="preserve">Objektivi specifik 2.2 synon të reflektojë standardet e parashikuara në </w:t>
      </w:r>
      <w:r w:rsidR="00BD53B9">
        <w:rPr>
          <w:rFonts w:eastAsia="Times New Roman"/>
          <w:b/>
        </w:rPr>
        <w:t>k</w:t>
      </w:r>
      <w:r w:rsidRPr="00E266CD">
        <w:rPr>
          <w:rFonts w:eastAsia="Times New Roman"/>
          <w:b/>
        </w:rPr>
        <w:t xml:space="preserve">apitullin 25 “Shkenca dhe </w:t>
      </w:r>
      <w:r w:rsidR="00BD53B9">
        <w:rPr>
          <w:rFonts w:eastAsia="Times New Roman"/>
          <w:b/>
        </w:rPr>
        <w:t>k</w:t>
      </w:r>
      <w:r w:rsidRPr="00E266CD">
        <w:rPr>
          <w:rFonts w:eastAsia="Times New Roman"/>
          <w:b/>
        </w:rPr>
        <w:t>ërkimi shkencor”</w:t>
      </w:r>
      <w:r w:rsidRPr="00E266CD">
        <w:rPr>
          <w:rFonts w:eastAsia="Times New Roman"/>
        </w:rPr>
        <w:t xml:space="preserve">, si dhe lidhet drejtpërdrejtë me rritjen e kapaciteteve institucionale për të udhëhequr procesin e përafrimit të legjislacionit me </w:t>
      </w:r>
      <w:r w:rsidRPr="00E266CD">
        <w:rPr>
          <w:rFonts w:eastAsia="Times New Roman"/>
          <w:i/>
        </w:rPr>
        <w:t>acquis</w:t>
      </w:r>
      <w:r w:rsidRPr="00E266CD">
        <w:rPr>
          <w:rFonts w:eastAsia="Times New Roman"/>
        </w:rPr>
        <w:t xml:space="preserve"> </w:t>
      </w:r>
      <w:r w:rsidR="00BD53B9">
        <w:rPr>
          <w:rFonts w:eastAsia="Times New Roman"/>
        </w:rPr>
        <w:t>të</w:t>
      </w:r>
      <w:r w:rsidRPr="00E266CD">
        <w:rPr>
          <w:rFonts w:eastAsia="Times New Roman"/>
        </w:rPr>
        <w:t xml:space="preserve"> BE</w:t>
      </w:r>
      <w:r w:rsidR="00BD53B9">
        <w:rPr>
          <w:rFonts w:eastAsia="Times New Roman"/>
        </w:rPr>
        <w:t>-së</w:t>
      </w:r>
      <w:r w:rsidRPr="00E266CD">
        <w:rPr>
          <w:rFonts w:eastAsia="Times New Roman"/>
        </w:rPr>
        <w:t xml:space="preserve"> për këtë kapitull. Detyrimi i Shqipërisë për të ndërmarrë iniciativa politike, ligjore, institucionale dhe financiare në kapitullin 25, në mbështetje të konsolidimit të sistemit të kërkimit, rrjedh nga neni 109 i Marrëveshjes së Stabilizim-Asocimit (MSA), i cili përcakton shtyllat e bashkëpunimit ndërmjet Shqipërisë dhe Bashkimit Evropian në fushën e kërkimit shkencor dhe zhvillimit teknologjik (</w:t>
      </w:r>
      <w:r w:rsidR="007003CA" w:rsidRPr="00E266CD">
        <w:rPr>
          <w:rFonts w:eastAsia="Times New Roman"/>
        </w:rPr>
        <w:t>t</w:t>
      </w:r>
      <w:r w:rsidRPr="00E266CD">
        <w:rPr>
          <w:rFonts w:eastAsia="Times New Roman"/>
        </w:rPr>
        <w:t xml:space="preserve">itulli VIII - </w:t>
      </w:r>
      <w:r w:rsidR="00BD53B9" w:rsidRPr="00E266CD">
        <w:rPr>
          <w:rFonts w:eastAsia="Times New Roman"/>
        </w:rPr>
        <w:t>politikat e bashkëpunimit/bashkëpunimit për kërkimin dhe zhvillimin teknologjik)</w:t>
      </w:r>
      <w:r w:rsidRPr="00E266CD">
        <w:rPr>
          <w:rFonts w:eastAsia="Times New Roman"/>
        </w:rPr>
        <w:t>.</w:t>
      </w:r>
    </w:p>
    <w:p w14:paraId="5AA21948" w14:textId="67BAB9EE" w:rsidR="007959B4" w:rsidRPr="00E266CD" w:rsidRDefault="007959B4" w:rsidP="00104D70">
      <w:pPr>
        <w:pStyle w:val="TEKSTIIII"/>
        <w:rPr>
          <w:b/>
        </w:rPr>
      </w:pPr>
      <w:bookmarkStart w:id="64" w:name="_Toc135703182"/>
      <w:r w:rsidRPr="00E266CD">
        <w:rPr>
          <w:b/>
        </w:rPr>
        <w:t xml:space="preserve">Lista e masave për arritjen e </w:t>
      </w:r>
      <w:r w:rsidR="00BD53B9" w:rsidRPr="00E266CD">
        <w:rPr>
          <w:b/>
        </w:rPr>
        <w:t>objektivit s</w:t>
      </w:r>
      <w:r w:rsidRPr="00E266CD">
        <w:rPr>
          <w:b/>
        </w:rPr>
        <w:t>pecifik 2.2:</w:t>
      </w:r>
      <w:bookmarkEnd w:id="64"/>
    </w:p>
    <w:p w14:paraId="17B0CF1A" w14:textId="77777777" w:rsidR="007959B4" w:rsidRPr="00E266CD" w:rsidRDefault="007959B4" w:rsidP="00104D70">
      <w:pPr>
        <w:pStyle w:val="TEKSTIIII"/>
        <w:rPr>
          <w:rFonts w:eastAsia="Times New Roman"/>
        </w:rPr>
      </w:pPr>
      <w:r w:rsidRPr="00E266CD">
        <w:rPr>
          <w:rFonts w:eastAsia="Times New Roman"/>
        </w:rPr>
        <w:t xml:space="preserve">Lista e masave është detajuar në planin e veprimit. </w:t>
      </w:r>
    </w:p>
    <w:tbl>
      <w:tblPr>
        <w:tblStyle w:val="11"/>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18457C66" w14:textId="77777777" w:rsidTr="00695B0D">
        <w:trPr>
          <w:cnfStyle w:val="100000000000" w:firstRow="1" w:lastRow="0" w:firstColumn="0" w:lastColumn="0" w:oddVBand="0" w:evenVBand="0" w:oddHBand="0"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940" w:type="dxa"/>
          </w:tcPr>
          <w:p w14:paraId="7505DA28" w14:textId="77777777" w:rsidR="007959B4" w:rsidRPr="00E266CD" w:rsidRDefault="007959B4" w:rsidP="00695B0D">
            <w:pPr>
              <w:rPr>
                <w:rFonts w:ascii="Garamond" w:eastAsia="Times New Roman" w:hAnsi="Garamond"/>
                <w:sz w:val="20"/>
              </w:rPr>
            </w:pPr>
          </w:p>
        </w:tc>
        <w:tc>
          <w:tcPr>
            <w:tcW w:w="8558" w:type="dxa"/>
          </w:tcPr>
          <w:p w14:paraId="7C8F15D5" w14:textId="72586230"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BD53B9">
              <w:rPr>
                <w:rFonts w:ascii="Garamond" w:eastAsia="Times New Roman" w:hAnsi="Garamond"/>
                <w:sz w:val="20"/>
              </w:rPr>
              <w:t>i</w:t>
            </w:r>
            <w:r w:rsidRPr="00E266CD">
              <w:rPr>
                <w:rFonts w:ascii="Garamond" w:eastAsia="Times New Roman" w:hAnsi="Garamond"/>
                <w:sz w:val="20"/>
              </w:rPr>
              <w:t xml:space="preserve"> </w:t>
            </w:r>
            <w:r w:rsidR="00BD53B9">
              <w:rPr>
                <w:rFonts w:ascii="Garamond" w:eastAsia="Times New Roman" w:hAnsi="Garamond"/>
                <w:sz w:val="20"/>
              </w:rPr>
              <w:t>s</w:t>
            </w:r>
            <w:r w:rsidRPr="00E266CD">
              <w:rPr>
                <w:rFonts w:ascii="Garamond" w:eastAsia="Times New Roman" w:hAnsi="Garamond"/>
                <w:sz w:val="20"/>
              </w:rPr>
              <w:t>pecifik 2.2</w:t>
            </w:r>
            <w:r w:rsidR="00BD53B9">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Përmirësimi i mekanizmave dhe rritja e mbështetjes së transferimit ndërkombëtar të teknologjisë (TNT)</w:t>
            </w:r>
          </w:p>
        </w:tc>
      </w:tr>
      <w:tr w:rsidR="007959B4" w:rsidRPr="00E266CD" w14:paraId="260F209B" w14:textId="77777777" w:rsidTr="00695B0D">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40" w:type="dxa"/>
          </w:tcPr>
          <w:p w14:paraId="3CC21DD0"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 </w:t>
            </w:r>
          </w:p>
        </w:tc>
        <w:tc>
          <w:tcPr>
            <w:tcW w:w="8558" w:type="dxa"/>
          </w:tcPr>
          <w:p w14:paraId="7DFE7659"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2F6A5E3B" w14:textId="77777777" w:rsidTr="007003CA">
        <w:trPr>
          <w:trHeight w:val="228"/>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2D629FEB"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2.2.1</w:t>
            </w:r>
          </w:p>
        </w:tc>
        <w:tc>
          <w:tcPr>
            <w:tcW w:w="8558" w:type="dxa"/>
            <w:vAlign w:val="bottom"/>
          </w:tcPr>
          <w:p w14:paraId="3B9DCA65"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Plotësimi i bazës ligjore të nevojshme për transferimin ndërkombëtar të teknologjive (TNT).</w:t>
            </w:r>
          </w:p>
        </w:tc>
      </w:tr>
      <w:tr w:rsidR="007959B4" w:rsidRPr="00E266CD" w14:paraId="1A021373" w14:textId="77777777" w:rsidTr="00BD53B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1EADD99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2.2.2</w:t>
            </w:r>
          </w:p>
        </w:tc>
        <w:tc>
          <w:tcPr>
            <w:tcW w:w="8558" w:type="dxa"/>
            <w:vAlign w:val="bottom"/>
          </w:tcPr>
          <w:p w14:paraId="0E818619"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Fuqizimi i kapaciteteve të IAL-ve për transferimin ndërkombëtar të teknologjisë.</w:t>
            </w:r>
          </w:p>
        </w:tc>
      </w:tr>
      <w:tr w:rsidR="007959B4" w:rsidRPr="00E266CD" w14:paraId="4A59C2E9" w14:textId="77777777" w:rsidTr="00BD53B9">
        <w:trPr>
          <w:trHeight w:val="192"/>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5CB0D640"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2.2.3</w:t>
            </w:r>
          </w:p>
        </w:tc>
        <w:tc>
          <w:tcPr>
            <w:tcW w:w="8558" w:type="dxa"/>
            <w:vAlign w:val="bottom"/>
          </w:tcPr>
          <w:p w14:paraId="07184D4A"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Zhvillimi i infrastrukturave të reja që mundësojnë transferimin ndërkombëtar të teknologjive.</w:t>
            </w:r>
          </w:p>
        </w:tc>
      </w:tr>
      <w:tr w:rsidR="007959B4" w:rsidRPr="00E266CD" w14:paraId="2B980B42" w14:textId="77777777" w:rsidTr="00695B0D">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709732DE"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2.2.4</w:t>
            </w:r>
          </w:p>
        </w:tc>
        <w:tc>
          <w:tcPr>
            <w:tcW w:w="8558" w:type="dxa"/>
            <w:vAlign w:val="bottom"/>
          </w:tcPr>
          <w:p w14:paraId="738760C3" w14:textId="3EBFFED4"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Promovimi i programeve ndërkombëtare që mbështesin transferimin e teknologjisë dhe njohja e të gjithë grupeve të interesit me mekanizmat, instrumentet e financimit/mbështetjes së transferimit</w:t>
            </w:r>
            <w:r w:rsidR="007715D0" w:rsidRPr="00E266CD">
              <w:rPr>
                <w:rFonts w:ascii="Garamond" w:eastAsia="Times New Roman" w:hAnsi="Garamond"/>
                <w:sz w:val="20"/>
              </w:rPr>
              <w:t xml:space="preserve"> </w:t>
            </w:r>
            <w:r w:rsidRPr="00E266CD">
              <w:rPr>
                <w:rFonts w:ascii="Garamond" w:eastAsia="Times New Roman" w:hAnsi="Garamond"/>
                <w:sz w:val="20"/>
              </w:rPr>
              <w:t>ndërkombëtar të teknologjisë.</w:t>
            </w:r>
          </w:p>
        </w:tc>
      </w:tr>
      <w:tr w:rsidR="007959B4" w:rsidRPr="00E266CD" w14:paraId="3B341566" w14:textId="77777777" w:rsidTr="007003CA">
        <w:trPr>
          <w:trHeight w:val="300"/>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02F4A48B"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2.2.5</w:t>
            </w:r>
          </w:p>
        </w:tc>
        <w:tc>
          <w:tcPr>
            <w:tcW w:w="8558" w:type="dxa"/>
            <w:vAlign w:val="bottom"/>
          </w:tcPr>
          <w:p w14:paraId="7E59197F" w14:textId="77777777"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udhëzuesve (që përfshijnë protokollet dhe procedurat) për hartimin e projekteve të përbashkëta.</w:t>
            </w:r>
          </w:p>
        </w:tc>
      </w:tr>
    </w:tbl>
    <w:p w14:paraId="5825C8FD" w14:textId="1DE22554" w:rsidR="007959B4" w:rsidRPr="00E266CD" w:rsidRDefault="007959B4" w:rsidP="007959B4">
      <w:pPr>
        <w:rPr>
          <w:rFonts w:ascii="Garamond" w:eastAsia="Times New Roman" w:hAnsi="Garamond"/>
          <w:i/>
          <w:color w:val="000000"/>
          <w:sz w:val="20"/>
          <w:szCs w:val="20"/>
        </w:rPr>
      </w:pPr>
      <w:r w:rsidRPr="00E266CD">
        <w:rPr>
          <w:rFonts w:ascii="Garamond" w:eastAsia="Times New Roman" w:hAnsi="Garamond"/>
          <w:i/>
          <w:color w:val="000000"/>
          <w:sz w:val="20"/>
          <w:szCs w:val="20"/>
        </w:rPr>
        <w:t xml:space="preserve">Tabela </w:t>
      </w:r>
      <w:r w:rsidR="00B65BFD" w:rsidRPr="00E266CD">
        <w:rPr>
          <w:rFonts w:ascii="Garamond" w:eastAsia="Times New Roman" w:hAnsi="Garamond"/>
          <w:i/>
          <w:color w:val="000000"/>
          <w:sz w:val="20"/>
          <w:szCs w:val="20"/>
        </w:rPr>
        <w:t>n</w:t>
      </w:r>
      <w:r w:rsidRPr="00E266CD">
        <w:rPr>
          <w:rFonts w:ascii="Garamond" w:eastAsia="Times New Roman" w:hAnsi="Garamond"/>
          <w:i/>
          <w:color w:val="000000"/>
          <w:sz w:val="20"/>
          <w:szCs w:val="20"/>
        </w:rPr>
        <w:t>r.</w:t>
      </w:r>
      <w:r w:rsidR="00B65BFD" w:rsidRPr="00E266CD">
        <w:rPr>
          <w:rFonts w:ascii="Garamond" w:eastAsia="Times New Roman" w:hAnsi="Garamond"/>
          <w:i/>
          <w:color w:val="000000"/>
          <w:sz w:val="20"/>
          <w:szCs w:val="20"/>
        </w:rPr>
        <w:t xml:space="preserve"> </w:t>
      </w:r>
      <w:r w:rsidRPr="00E266CD">
        <w:rPr>
          <w:rFonts w:ascii="Garamond" w:eastAsia="Times New Roman" w:hAnsi="Garamond"/>
          <w:i/>
          <w:color w:val="000000"/>
          <w:sz w:val="20"/>
          <w:szCs w:val="20"/>
        </w:rPr>
        <w:t>5</w:t>
      </w:r>
      <w:r w:rsidR="00BD53B9">
        <w:rPr>
          <w:rFonts w:ascii="Garamond" w:eastAsia="Times New Roman" w:hAnsi="Garamond"/>
          <w:i/>
          <w:color w:val="000000"/>
          <w:sz w:val="20"/>
          <w:szCs w:val="20"/>
        </w:rPr>
        <w:t>:</w:t>
      </w:r>
      <w:r w:rsidRPr="00E266CD">
        <w:rPr>
          <w:rFonts w:ascii="Garamond" w:eastAsia="Times New Roman" w:hAnsi="Garamond"/>
          <w:i/>
          <w:color w:val="000000"/>
          <w:sz w:val="20"/>
          <w:szCs w:val="20"/>
        </w:rPr>
        <w:t xml:space="preserve"> Lista e masave për arritjen e objektivit specifik 2.2</w:t>
      </w:r>
    </w:p>
    <w:p w14:paraId="3C9C7112" w14:textId="77777777" w:rsidR="007959B4" w:rsidRPr="00E266CD" w:rsidRDefault="007959B4" w:rsidP="00104D70">
      <w:pPr>
        <w:pStyle w:val="TEKSTIIII"/>
      </w:pPr>
    </w:p>
    <w:p w14:paraId="21F944DD" w14:textId="7C568F44" w:rsidR="007959B4" w:rsidRPr="00E266CD" w:rsidRDefault="007959B4" w:rsidP="00B65BFD">
      <w:pPr>
        <w:pStyle w:val="TEKSTIIII"/>
        <w:rPr>
          <w:b/>
          <w:color w:val="000000"/>
        </w:rPr>
      </w:pPr>
      <w:bookmarkStart w:id="65" w:name="_Toc135703183"/>
      <w:r w:rsidRPr="00E266CD">
        <w:rPr>
          <w:b/>
          <w:color w:val="000000"/>
        </w:rPr>
        <w:t xml:space="preserve">Objektivi </w:t>
      </w:r>
      <w:r w:rsidR="00BD53B9">
        <w:rPr>
          <w:b/>
          <w:color w:val="000000"/>
        </w:rPr>
        <w:t>s</w:t>
      </w:r>
      <w:r w:rsidRPr="00E266CD">
        <w:rPr>
          <w:b/>
          <w:color w:val="000000"/>
        </w:rPr>
        <w:t>pecifik 2.3: Rritja e rolit të shkencës dhe inovacionit në zhvillimin teknologjik</w:t>
      </w:r>
      <w:bookmarkEnd w:id="65"/>
    </w:p>
    <w:p w14:paraId="72D394BE" w14:textId="35725BFE" w:rsidR="007959B4" w:rsidRPr="00E266CD" w:rsidRDefault="007959B4" w:rsidP="00104D70">
      <w:pPr>
        <w:pStyle w:val="TEKSTIIII"/>
        <w:rPr>
          <w:b/>
          <w:color w:val="000000"/>
        </w:rPr>
      </w:pPr>
      <w:bookmarkStart w:id="66" w:name="_Toc135703184"/>
      <w:r w:rsidRPr="00E266CD">
        <w:rPr>
          <w:b/>
          <w:color w:val="000000"/>
        </w:rPr>
        <w:t xml:space="preserve">Analiza e </w:t>
      </w:r>
      <w:r w:rsidR="00BD53B9" w:rsidRPr="00E266CD">
        <w:rPr>
          <w:b/>
          <w:color w:val="000000"/>
        </w:rPr>
        <w:t>situatës dhe sfidat</w:t>
      </w:r>
      <w:bookmarkEnd w:id="66"/>
    </w:p>
    <w:p w14:paraId="39FE41A6" w14:textId="342887F1" w:rsidR="007959B4" w:rsidRPr="00E266CD" w:rsidRDefault="007959B4" w:rsidP="00104D70">
      <w:pPr>
        <w:pStyle w:val="TEKSTIIII"/>
      </w:pPr>
      <w:r w:rsidRPr="00E266CD">
        <w:t>Së pari AKKSHI duhet që të nxisë bashkëpunimin IAL</w:t>
      </w:r>
      <w:r w:rsidR="00BE44F0">
        <w:t>–</w:t>
      </w:r>
      <w:r w:rsidRPr="00E266CD">
        <w:t>biznes dhe për këtë arsye duhet të lëvrojë grante për bashkëpunime IAL</w:t>
      </w:r>
      <w:r w:rsidR="00BE44F0">
        <w:t>–</w:t>
      </w:r>
      <w:r w:rsidRPr="00E266CD">
        <w:t>biznes. Hapat e parë janë hedhur, por duhet që të përshpejtohen veprimet. Kështu, pas hartimit të udhëzuesve përkatës duhet që të konsultohen këto udhëzime dhe pastaj të bëhet thirrja e parë me profil të tillë.</w:t>
      </w:r>
    </w:p>
    <w:p w14:paraId="6A294442" w14:textId="0ACFA688" w:rsidR="007959B4" w:rsidRPr="00E266CD" w:rsidRDefault="007959B4" w:rsidP="00104D70">
      <w:pPr>
        <w:pStyle w:val="TEKSTIIII"/>
      </w:pPr>
      <w:r w:rsidRPr="00E266CD">
        <w:t xml:space="preserve">Por, nga ana tjetër, ka pasur përpjekje të dukshme për rritjen e financimit të SME-ve nëpërmjet fondeve dhe programeve me kontributin e qeverisë dhe </w:t>
      </w:r>
      <w:r w:rsidR="00BE44F0">
        <w:t>d</w:t>
      </w:r>
      <w:r w:rsidRPr="00E266CD">
        <w:t>onatorëve. Kështu AIDA ka kontribuar për periudhën 2017</w:t>
      </w:r>
      <w:r w:rsidR="007003CA" w:rsidRPr="00E266CD">
        <w:t>–</w:t>
      </w:r>
      <w:r w:rsidRPr="00E266CD">
        <w:t>2019 një vlerë prej 194,000,000 lekë</w:t>
      </w:r>
      <w:r w:rsidRPr="00E266CD">
        <w:rPr>
          <w:vertAlign w:val="superscript"/>
        </w:rPr>
        <w:footnoteReference w:id="46"/>
      </w:r>
      <w:r w:rsidRPr="00E266CD">
        <w:t>. Në 2021</w:t>
      </w:r>
      <w:r w:rsidR="00BE44F0">
        <w:t>-shin</w:t>
      </w:r>
      <w:r w:rsidRPr="00E266CD">
        <w:t xml:space="preserve"> u përfundua hartimi i skemave të reja të grantit për NVM</w:t>
      </w:r>
      <w:r w:rsidR="00BE44F0">
        <w:t>-të</w:t>
      </w:r>
      <w:r w:rsidRPr="00E266CD">
        <w:t xml:space="preserve"> dhe është hartuar ligji i ri për NVM</w:t>
      </w:r>
      <w:r w:rsidR="00BE44F0">
        <w:t>-të</w:t>
      </w:r>
      <w:r w:rsidRPr="00E266CD">
        <w:t>.</w:t>
      </w:r>
    </w:p>
    <w:p w14:paraId="4C2C98B4" w14:textId="0F9CD2D4" w:rsidR="007959B4" w:rsidRPr="00E266CD" w:rsidRDefault="007959B4" w:rsidP="00104D70">
      <w:pPr>
        <w:pStyle w:val="TEKSTIIII"/>
      </w:pPr>
      <w:r w:rsidRPr="00E266CD">
        <w:t>Për</w:t>
      </w:r>
      <w:r w:rsidR="00BE44F0">
        <w:t xml:space="preserve"> </w:t>
      </w:r>
      <w:r w:rsidRPr="00E266CD">
        <w:t xml:space="preserve">sa i përket shërbimeve </w:t>
      </w:r>
      <w:r w:rsidRPr="00E266CD">
        <w:rPr>
          <w:i/>
          <w:iCs/>
        </w:rPr>
        <w:t>online</w:t>
      </w:r>
      <w:r w:rsidRPr="00E266CD">
        <w:t xml:space="preserve">, platforma Akses në Financë është krijuar për </w:t>
      </w:r>
      <w:r w:rsidR="00417E27" w:rsidRPr="00E266CD">
        <w:t>t’u</w:t>
      </w:r>
      <w:r w:rsidRPr="00E266CD">
        <w:t xml:space="preserve"> shërbyer NMVM-ve shqiptare, të cilat duan të zgjerojnë dhe investojnë në aktivitetin e tyre duke përfituar mundësitë financiare që tregu ofron, me grante, kredi apo nisma të tjera financuese. Kjo platformë </w:t>
      </w:r>
      <w:r w:rsidRPr="00BE44F0">
        <w:rPr>
          <w:i/>
        </w:rPr>
        <w:t>online</w:t>
      </w:r>
      <w:r w:rsidRPr="00E266CD">
        <w:t xml:space="preserve"> ofron një shërbim </w:t>
      </w:r>
      <w:r w:rsidRPr="00E266CD">
        <w:rPr>
          <w:i/>
        </w:rPr>
        <w:t>one-stop-shop</w:t>
      </w:r>
      <w:r w:rsidRPr="00E266CD">
        <w:t xml:space="preserve"> me informacione që lidhen drejtpërdrejtë me aksesin në financë për NMVM-të</w:t>
      </w:r>
      <w:r w:rsidR="00BE44F0">
        <w:t>,</w:t>
      </w:r>
      <w:r w:rsidRPr="00E266CD">
        <w:t xml:space="preserve"> i cili ofrohet n</w:t>
      </w:r>
      <w:r w:rsidR="00BE44F0">
        <w:t>ë</w:t>
      </w:r>
      <w:r w:rsidRPr="00E266CD">
        <w:t xml:space="preserve"> institucione, organizata apo kompani të ndryshme private dhe publike, kombëtare e ndërkombëtare. Ajo u lancua në </w:t>
      </w:r>
      <w:r w:rsidR="00B65BFD" w:rsidRPr="00E266CD">
        <w:t>m</w:t>
      </w:r>
      <w:r w:rsidRPr="00E266CD">
        <w:t>aj 2021, dhe në të mesatarisht publikohen 4 thirrje të reja në muaj</w:t>
      </w:r>
      <w:r w:rsidR="00BE44F0">
        <w:t xml:space="preserve"> </w:t>
      </w:r>
      <w:r w:rsidRPr="00E266CD">
        <w:t>(</w:t>
      </w:r>
      <w:hyperlink r:id="rId15">
        <w:r w:rsidRPr="00E266CD">
          <w:rPr>
            <w:color w:val="0563C1"/>
            <w:u w:val="single"/>
          </w:rPr>
          <w:t>https://aida-smefinance.gov.al/</w:t>
        </w:r>
      </w:hyperlink>
      <w:r w:rsidRPr="00E266CD">
        <w:t>)</w:t>
      </w:r>
      <w:r w:rsidR="00BE44F0">
        <w:t>.</w:t>
      </w:r>
    </w:p>
    <w:p w14:paraId="65EB0D7A" w14:textId="7F2C0FF1" w:rsidR="007959B4" w:rsidRPr="00E266CD" w:rsidRDefault="007959B4" w:rsidP="00104D70">
      <w:pPr>
        <w:pStyle w:val="TEKSTIIII"/>
      </w:pPr>
      <w:r w:rsidRPr="00E266CD">
        <w:t>Gjithashtu, rol të rëndësishëm ka edhe AKKSHI me rritjet për projekte për STI</w:t>
      </w:r>
      <w:r w:rsidR="008257CD">
        <w:t>-në</w:t>
      </w:r>
      <w:r w:rsidRPr="00E266CD">
        <w:t>. Kështu</w:t>
      </w:r>
      <w:r w:rsidR="008257CD">
        <w:t>,</w:t>
      </w:r>
      <w:r w:rsidRPr="00E266CD">
        <w:t xml:space="preserve"> në 2019</w:t>
      </w:r>
      <w:r w:rsidR="008257CD">
        <w:t>-n</w:t>
      </w:r>
      <w:r w:rsidRPr="00E266CD">
        <w:t xml:space="preserve">, në PKKZH (Projekte Kombëtare </w:t>
      </w:r>
      <w:r w:rsidR="00BF1624" w:rsidRPr="00E266CD">
        <w:rPr>
          <w:rFonts w:eastAsia="Times New Roman"/>
        </w:rPr>
        <w:t>të</w:t>
      </w:r>
      <w:r w:rsidRPr="00E266CD">
        <w:t xml:space="preserve"> Kërkim</w:t>
      </w:r>
      <w:r w:rsidR="00AB67E7">
        <w:t>-</w:t>
      </w:r>
      <w:r w:rsidRPr="00E266CD">
        <w:t>Zhvillimit), 20% e fondit ishte për projekte për STI</w:t>
      </w:r>
      <w:r w:rsidR="008257CD">
        <w:t>-në</w:t>
      </w:r>
      <w:r w:rsidRPr="00E266CD">
        <w:t>, në 2021</w:t>
      </w:r>
      <w:r w:rsidR="008257CD">
        <w:t>-shin</w:t>
      </w:r>
      <w:r w:rsidRPr="00E266CD">
        <w:t xml:space="preserve"> ishte 10% dhe në 2022</w:t>
      </w:r>
      <w:r w:rsidR="008257CD">
        <w:t>-shin</w:t>
      </w:r>
      <w:r w:rsidRPr="00E266CD">
        <w:t xml:space="preserve"> kjo përqindje ishte 13%. Luhatja tregon rëndësinë e promovimit</w:t>
      </w:r>
      <w:r w:rsidR="007715D0" w:rsidRPr="00E266CD">
        <w:t xml:space="preserve"> </w:t>
      </w:r>
      <w:r w:rsidRPr="00E266CD">
        <w:t>dhe nxitjes së aplikimit për projekte në këtë fushë</w:t>
      </w:r>
      <w:r w:rsidR="008257CD">
        <w:t>.</w:t>
      </w:r>
    </w:p>
    <w:p w14:paraId="0570E43B" w14:textId="04F5C828" w:rsidR="007959B4" w:rsidRPr="00E266CD" w:rsidRDefault="007959B4" w:rsidP="00104D70">
      <w:pPr>
        <w:pStyle w:val="TEKSTIIII"/>
      </w:pPr>
      <w:r w:rsidRPr="00E266CD">
        <w:t xml:space="preserve">Një institucion tjetër që ka kontributin e vet është Agjencia Kombëtare e Shoqërisë së Informacionit (AKSHI). Ky institucion promovon teknologji të reja, harton strategji dhe plane veprimi për zbatimin e politikave në fushën e teknologjisë së informacionit dhe komunikimit elektronik </w:t>
      </w:r>
      <w:r w:rsidRPr="00E266CD">
        <w:rPr>
          <w:i/>
        </w:rPr>
        <w:t>e-Gov</w:t>
      </w:r>
      <w:r w:rsidR="00B65BFD" w:rsidRPr="00E266CD">
        <w:t>,</w:t>
      </w:r>
      <w:r w:rsidRPr="00E266CD">
        <w:t xml:space="preserve"> si dhe promovon aktivitetet e sektorit të TIK-ut brenda kornizës së detyrimeve, konventave dhe marrëveshjeve ndërkombëtare, bilaterale dhe shumëpalëshe, në fushën e komunikimeve elektronike </w:t>
      </w:r>
      <w:r w:rsidRPr="00E266CD">
        <w:rPr>
          <w:i/>
        </w:rPr>
        <w:t>e-Gov</w:t>
      </w:r>
      <w:r w:rsidRPr="00E266CD">
        <w:t xml:space="preserve">. </w:t>
      </w:r>
      <w:r w:rsidRPr="00AD350D">
        <w:t>“</w:t>
      </w:r>
      <w:r w:rsidRPr="00AD350D">
        <w:rPr>
          <w:i/>
        </w:rPr>
        <w:t>TechSpace</w:t>
      </w:r>
      <w:r w:rsidRPr="00AD350D">
        <w:t>”</w:t>
      </w:r>
      <w:r w:rsidRPr="00E266CD">
        <w:t xml:space="preserve"> është qendra e inovacionit dhe inkubatori shtetëror TIK në shërbim të </w:t>
      </w:r>
      <w:r w:rsidRPr="00E266CD">
        <w:rPr>
          <w:i/>
        </w:rPr>
        <w:t>startup</w:t>
      </w:r>
      <w:r w:rsidRPr="00E266CD">
        <w:t xml:space="preserve">-eve, studentëve dhe entuziastëve të fushës së teknologjisë dhe informacionit. </w:t>
      </w:r>
      <w:r w:rsidRPr="00E266CD">
        <w:rPr>
          <w:i/>
        </w:rPr>
        <w:t>TechSpace</w:t>
      </w:r>
      <w:r w:rsidRPr="00E266CD">
        <w:t xml:space="preserve"> ka për qëllim të mbështesë me hapësira pune, trajnime, mentorime, asistencë dhe udhëzime të gjithë pjesëtarët e saj, në mënyrë që të ketë sa më shumë produkte në ndihmë të zhvillimit teknologjik. </w:t>
      </w:r>
      <w:r w:rsidRPr="00E266CD">
        <w:rPr>
          <w:i/>
        </w:rPr>
        <w:t>Techspace</w:t>
      </w:r>
      <w:r w:rsidRPr="00E266CD">
        <w:t>, si një inkubator i sipërmarrjeve të reja</w:t>
      </w:r>
      <w:r w:rsidR="00AD350D">
        <w:t>,</w:t>
      </w:r>
      <w:r w:rsidRPr="00E266CD">
        <w:t xml:space="preserve"> ofron bashkëpunim, ambiente të posaçme për zhvillimin e idesë, rrjetëzim, mbështetje profesionale me konsulencë e mentorim, si dhe krijimin e mundësive për investime të mundshme. </w:t>
      </w:r>
      <w:r w:rsidRPr="00E266CD">
        <w:rPr>
          <w:i/>
        </w:rPr>
        <w:t>TechSpace</w:t>
      </w:r>
      <w:r w:rsidRPr="00E266CD">
        <w:t xml:space="preserve"> nxit bashkëpunimin </w:t>
      </w:r>
      <w:r w:rsidRPr="00E266CD">
        <w:rPr>
          <w:i/>
        </w:rPr>
        <w:t>triple helix</w:t>
      </w:r>
      <w:r w:rsidRPr="00E266CD">
        <w:t xml:space="preserve"> mes administratës publike, akademisë dhe bizneseve.</w:t>
      </w:r>
    </w:p>
    <w:p w14:paraId="56F055EB" w14:textId="50EDE3C5" w:rsidR="007959B4" w:rsidRPr="00E266CD" w:rsidRDefault="007959B4" w:rsidP="00104D70">
      <w:pPr>
        <w:pStyle w:val="TEKSTIIII"/>
        <w:rPr>
          <w:b/>
          <w:color w:val="000000"/>
        </w:rPr>
      </w:pPr>
      <w:bookmarkStart w:id="67" w:name="_Toc135703185"/>
      <w:r w:rsidRPr="00E266CD">
        <w:rPr>
          <w:b/>
          <w:color w:val="000000"/>
        </w:rPr>
        <w:t>Rezultatet që pritet të arrihen përmes zbatimit të masave që lidhen me objektivin specifik</w:t>
      </w:r>
      <w:bookmarkEnd w:id="67"/>
    </w:p>
    <w:p w14:paraId="5D1CF1D6" w14:textId="77777777" w:rsidR="007959B4" w:rsidRPr="00E266CD" w:rsidRDefault="007959B4" w:rsidP="00104D70">
      <w:pPr>
        <w:pStyle w:val="TEKSTIIII"/>
      </w:pPr>
      <w:r w:rsidRPr="00E266CD">
        <w:t>Përmes realizimit të masave të detajuara në planin e veprimit synohet të arrihen këto rezultate:</w:t>
      </w:r>
    </w:p>
    <w:p w14:paraId="3A7673F0" w14:textId="77777777" w:rsidR="007959B4" w:rsidRPr="00E266CD" w:rsidRDefault="007959B4" w:rsidP="00104D70">
      <w:pPr>
        <w:pStyle w:val="TEKSTIIII"/>
        <w:rPr>
          <w:color w:val="000000"/>
        </w:rPr>
      </w:pPr>
      <w:r w:rsidRPr="00E266CD">
        <w:rPr>
          <w:color w:val="000000"/>
        </w:rPr>
        <w:t xml:space="preserve">Udhëzimi për lëvrimin e granteve i hartuar. </w:t>
      </w:r>
    </w:p>
    <w:p w14:paraId="6D4A85D1" w14:textId="77777777" w:rsidR="007959B4" w:rsidRPr="00E266CD" w:rsidRDefault="007959B4" w:rsidP="00104D70">
      <w:pPr>
        <w:pStyle w:val="TEKSTIIII"/>
        <w:rPr>
          <w:color w:val="000000"/>
        </w:rPr>
      </w:pPr>
      <w:r w:rsidRPr="00E266CD">
        <w:rPr>
          <w:color w:val="000000"/>
        </w:rPr>
        <w:t>Baza ligjore e hartuar.</w:t>
      </w:r>
    </w:p>
    <w:p w14:paraId="5EFC95A4" w14:textId="643B85B5" w:rsidR="007959B4" w:rsidRPr="00E266CD" w:rsidRDefault="007959B4" w:rsidP="00104D70">
      <w:pPr>
        <w:pStyle w:val="TEKSTIIII"/>
      </w:pPr>
      <w:r w:rsidRPr="00E266CD">
        <w:t>Projekte shkencore me ndikim në inovacion dhe zhvillimin teknologjik të promovuar.</w:t>
      </w:r>
    </w:p>
    <w:p w14:paraId="1B059204" w14:textId="154F21CC" w:rsidR="007959B4" w:rsidRPr="00A7797C" w:rsidRDefault="007959B4" w:rsidP="00104D70">
      <w:pPr>
        <w:pStyle w:val="TEKSTIIII"/>
        <w:rPr>
          <w:color w:val="000000"/>
        </w:rPr>
      </w:pPr>
      <w:bookmarkStart w:id="68" w:name="_Toc135703186"/>
      <w:r w:rsidRPr="00A7797C">
        <w:rPr>
          <w:color w:val="000000"/>
        </w:rPr>
        <w:t>Institucionet përgjegjëse drejtuese</w:t>
      </w:r>
      <w:bookmarkEnd w:id="68"/>
      <w:r w:rsidR="001E1C90">
        <w:rPr>
          <w:color w:val="000000"/>
        </w:rPr>
        <w:t>:</w:t>
      </w:r>
    </w:p>
    <w:p w14:paraId="3FBF6A56" w14:textId="77777777" w:rsidR="007959B4" w:rsidRPr="00E266CD" w:rsidRDefault="007959B4" w:rsidP="00104D70">
      <w:pPr>
        <w:pStyle w:val="TEKSTIIII"/>
      </w:pPr>
      <w:r w:rsidRPr="00E266CD">
        <w:t xml:space="preserve">AKKSHI, AKFAL, MFE </w:t>
      </w:r>
    </w:p>
    <w:p w14:paraId="2D5F38A4" w14:textId="0F0DB135" w:rsidR="007959B4" w:rsidRPr="00E266CD" w:rsidRDefault="007959B4" w:rsidP="00104D70">
      <w:pPr>
        <w:pStyle w:val="TEKSTIIII"/>
      </w:pPr>
      <w:r w:rsidRPr="00E266CD">
        <w:t xml:space="preserve">Programet buxhetore, buxheti i të cilave do </w:t>
      </w:r>
      <w:r w:rsidR="00AD350D">
        <w:t xml:space="preserve">të </w:t>
      </w:r>
      <w:r w:rsidRPr="00E266CD">
        <w:t>kontribuojë në realizimin e objektivit janë</w:t>
      </w:r>
      <w:r w:rsidR="00BE22CB">
        <w:t>:</w:t>
      </w:r>
      <w:r w:rsidRPr="00E266CD">
        <w:t xml:space="preserve"> </w:t>
      </w:r>
    </w:p>
    <w:p w14:paraId="390CA56C"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Financave dhe Ekonomisë</w:t>
      </w:r>
    </w:p>
    <w:tbl>
      <w:tblPr>
        <w:tblStyle w:val="13"/>
        <w:tblW w:w="6585" w:type="dxa"/>
        <w:tblInd w:w="-23" w:type="dxa"/>
        <w:tblLayout w:type="fixed"/>
        <w:tblLook w:val="0400" w:firstRow="0" w:lastRow="0" w:firstColumn="0" w:lastColumn="0" w:noHBand="0" w:noVBand="1"/>
      </w:tblPr>
      <w:tblGrid>
        <w:gridCol w:w="1275"/>
        <w:gridCol w:w="5310"/>
      </w:tblGrid>
      <w:tr w:rsidR="007959B4" w:rsidRPr="00E266CD" w14:paraId="288FE81C" w14:textId="77777777" w:rsidTr="00695B0D">
        <w:trPr>
          <w:trHeight w:val="255"/>
        </w:trPr>
        <w:tc>
          <w:tcPr>
            <w:tcW w:w="1275" w:type="dxa"/>
            <w:tcBorders>
              <w:top w:val="nil"/>
              <w:left w:val="single" w:sz="6" w:space="0" w:color="000000"/>
              <w:bottom w:val="dotted" w:sz="4" w:space="0" w:color="000000"/>
              <w:right w:val="nil"/>
            </w:tcBorders>
            <w:shd w:val="clear" w:color="auto" w:fill="auto"/>
            <w:vAlign w:val="bottom"/>
          </w:tcPr>
          <w:p w14:paraId="353302C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04160</w:t>
            </w:r>
          </w:p>
        </w:tc>
        <w:tc>
          <w:tcPr>
            <w:tcW w:w="5310" w:type="dxa"/>
            <w:tcBorders>
              <w:top w:val="nil"/>
              <w:left w:val="single" w:sz="4" w:space="0" w:color="000000"/>
              <w:bottom w:val="dotted" w:sz="4" w:space="0" w:color="000000"/>
              <w:right w:val="single" w:sz="4" w:space="0" w:color="000000"/>
            </w:tcBorders>
            <w:shd w:val="clear" w:color="auto" w:fill="auto"/>
            <w:vAlign w:val="bottom"/>
          </w:tcPr>
          <w:p w14:paraId="00FDED94" w14:textId="01D17D8E"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Mbështetje për </w:t>
            </w:r>
            <w:r w:rsidR="00BE22CB" w:rsidRPr="00E266CD">
              <w:rPr>
                <w:rFonts w:ascii="Garamond" w:eastAsia="Times New Roman" w:hAnsi="Garamond"/>
                <w:sz w:val="24"/>
                <w:szCs w:val="24"/>
              </w:rPr>
              <w:t>zhvillimin ekonomik</w:t>
            </w:r>
          </w:p>
        </w:tc>
      </w:tr>
    </w:tbl>
    <w:p w14:paraId="33C84D7F"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Arsimit dhe Sporteve</w:t>
      </w:r>
    </w:p>
    <w:tbl>
      <w:tblPr>
        <w:tblStyle w:val="12"/>
        <w:tblW w:w="6616" w:type="dxa"/>
        <w:tblInd w:w="-23" w:type="dxa"/>
        <w:tblLayout w:type="fixed"/>
        <w:tblLook w:val="0400" w:firstRow="0" w:lastRow="0" w:firstColumn="0" w:lastColumn="0" w:noHBand="0" w:noVBand="1"/>
      </w:tblPr>
      <w:tblGrid>
        <w:gridCol w:w="1275"/>
        <w:gridCol w:w="5341"/>
      </w:tblGrid>
      <w:tr w:rsidR="007959B4" w:rsidRPr="00E266CD" w14:paraId="3D7B743C" w14:textId="77777777" w:rsidTr="00695B0D">
        <w:trPr>
          <w:trHeight w:val="255"/>
        </w:trPr>
        <w:tc>
          <w:tcPr>
            <w:tcW w:w="1275" w:type="dxa"/>
            <w:tcBorders>
              <w:top w:val="dotted" w:sz="4" w:space="0" w:color="000000"/>
              <w:left w:val="single" w:sz="6" w:space="0" w:color="000000"/>
              <w:bottom w:val="dotted" w:sz="4" w:space="0" w:color="000000"/>
              <w:right w:val="nil"/>
            </w:tcBorders>
            <w:shd w:val="clear" w:color="auto" w:fill="auto"/>
            <w:vAlign w:val="bottom"/>
          </w:tcPr>
          <w:p w14:paraId="2651BF84"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09450</w:t>
            </w:r>
          </w:p>
        </w:tc>
        <w:tc>
          <w:tcPr>
            <w:tcW w:w="5341" w:type="dxa"/>
            <w:tcBorders>
              <w:top w:val="dotted" w:sz="4" w:space="0" w:color="000000"/>
              <w:left w:val="single" w:sz="4" w:space="0" w:color="000000"/>
              <w:bottom w:val="dotted" w:sz="4" w:space="0" w:color="000000"/>
              <w:right w:val="single" w:sz="4" w:space="0" w:color="000000"/>
            </w:tcBorders>
            <w:shd w:val="clear" w:color="auto" w:fill="auto"/>
            <w:vAlign w:val="bottom"/>
          </w:tcPr>
          <w:p w14:paraId="292CF9E4" w14:textId="58D2A97D"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Arsimi </w:t>
            </w:r>
            <w:r w:rsidR="00BE22CB">
              <w:rPr>
                <w:rFonts w:ascii="Garamond" w:eastAsia="Times New Roman" w:hAnsi="Garamond"/>
                <w:sz w:val="24"/>
                <w:szCs w:val="24"/>
              </w:rPr>
              <w:t>u</w:t>
            </w:r>
            <w:r w:rsidRPr="00E266CD">
              <w:rPr>
                <w:rFonts w:ascii="Garamond" w:eastAsia="Times New Roman" w:hAnsi="Garamond"/>
                <w:sz w:val="24"/>
                <w:szCs w:val="24"/>
              </w:rPr>
              <w:t>niversitar</w:t>
            </w:r>
          </w:p>
        </w:tc>
      </w:tr>
      <w:tr w:rsidR="007959B4" w:rsidRPr="00E266CD" w14:paraId="1D770D4E" w14:textId="77777777" w:rsidTr="00695B0D">
        <w:trPr>
          <w:trHeight w:val="255"/>
        </w:trPr>
        <w:tc>
          <w:tcPr>
            <w:tcW w:w="1275" w:type="dxa"/>
            <w:tcBorders>
              <w:top w:val="nil"/>
              <w:left w:val="single" w:sz="6" w:space="0" w:color="000000"/>
              <w:bottom w:val="nil"/>
              <w:right w:val="nil"/>
            </w:tcBorders>
            <w:shd w:val="clear" w:color="auto" w:fill="auto"/>
            <w:vAlign w:val="bottom"/>
          </w:tcPr>
          <w:p w14:paraId="4427002B"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09770</w:t>
            </w:r>
          </w:p>
        </w:tc>
        <w:tc>
          <w:tcPr>
            <w:tcW w:w="5341" w:type="dxa"/>
            <w:tcBorders>
              <w:top w:val="nil"/>
              <w:left w:val="single" w:sz="4" w:space="0" w:color="000000"/>
              <w:bottom w:val="nil"/>
              <w:right w:val="single" w:sz="4" w:space="0" w:color="000000"/>
            </w:tcBorders>
            <w:shd w:val="clear" w:color="auto" w:fill="auto"/>
            <w:vAlign w:val="bottom"/>
          </w:tcPr>
          <w:p w14:paraId="273E5607" w14:textId="03C7792C"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Fonde për </w:t>
            </w:r>
            <w:r w:rsidR="00BE22CB">
              <w:rPr>
                <w:rFonts w:ascii="Garamond" w:eastAsia="Times New Roman" w:hAnsi="Garamond"/>
                <w:sz w:val="24"/>
                <w:szCs w:val="24"/>
              </w:rPr>
              <w:t>s</w:t>
            </w:r>
            <w:r w:rsidRPr="00E266CD">
              <w:rPr>
                <w:rFonts w:ascii="Garamond" w:eastAsia="Times New Roman" w:hAnsi="Garamond"/>
                <w:sz w:val="24"/>
                <w:szCs w:val="24"/>
              </w:rPr>
              <w:t>hkencën</w:t>
            </w:r>
          </w:p>
        </w:tc>
      </w:tr>
    </w:tbl>
    <w:p w14:paraId="7B463D1A" w14:textId="77777777" w:rsidR="00F668D9" w:rsidRPr="00E266CD" w:rsidRDefault="00F668D9" w:rsidP="00F668D9">
      <w:pPr>
        <w:pStyle w:val="TEKSTIIII"/>
      </w:pPr>
      <w:bookmarkStart w:id="69" w:name="_Toc135703187"/>
    </w:p>
    <w:p w14:paraId="50A3117F" w14:textId="17D04104" w:rsidR="007959B4" w:rsidRPr="00A7797C" w:rsidRDefault="007959B4" w:rsidP="00F668D9">
      <w:pPr>
        <w:pStyle w:val="TEKSTIIII"/>
      </w:pPr>
      <w:r w:rsidRPr="00A7797C">
        <w:t>Institucionet kryesore pjesëmarrëse</w:t>
      </w:r>
      <w:bookmarkEnd w:id="69"/>
      <w:r w:rsidR="001E1C90">
        <w:t>:</w:t>
      </w:r>
    </w:p>
    <w:p w14:paraId="1AE30324" w14:textId="77777777" w:rsidR="007959B4" w:rsidRPr="00E266CD" w:rsidRDefault="007959B4" w:rsidP="00F668D9">
      <w:pPr>
        <w:pStyle w:val="TEKSTIIII"/>
      </w:pPr>
      <w:r w:rsidRPr="00E266CD">
        <w:t>MAS, DPPI, IAL, ML, AKSHI</w:t>
      </w:r>
    </w:p>
    <w:p w14:paraId="11FC32EE" w14:textId="16803E97" w:rsidR="007959B4" w:rsidRPr="00E266CD" w:rsidRDefault="007959B4" w:rsidP="00F668D9">
      <w:pPr>
        <w:pStyle w:val="TEKSTIIII"/>
        <w:rPr>
          <w:b/>
          <w:color w:val="000000"/>
        </w:rPr>
      </w:pPr>
      <w:bookmarkStart w:id="70" w:name="_Toc135703188"/>
      <w:r w:rsidRPr="00E266CD">
        <w:rPr>
          <w:b/>
          <w:color w:val="000000"/>
        </w:rPr>
        <w:t>Lidhja e objektivit specifik me nënkapitullin përkatës të BE-së sipas MSA-së</w:t>
      </w:r>
      <w:bookmarkEnd w:id="70"/>
    </w:p>
    <w:p w14:paraId="133A8671" w14:textId="1E45F899" w:rsidR="007959B4" w:rsidRPr="00E266CD" w:rsidRDefault="007959B4" w:rsidP="00F668D9">
      <w:pPr>
        <w:pStyle w:val="TEKSTIIII"/>
      </w:pPr>
      <w:r w:rsidRPr="00E266CD">
        <w:t xml:space="preserve">Ky objektiv është i lidhur </w:t>
      </w:r>
      <w:r w:rsidRPr="00E266CD">
        <w:rPr>
          <w:b/>
        </w:rPr>
        <w:t>me kapitullin 20</w:t>
      </w:r>
      <w:r w:rsidRPr="00E266CD">
        <w:t xml:space="preserve"> dhe </w:t>
      </w:r>
      <w:r w:rsidRPr="00E266CD">
        <w:rPr>
          <w:b/>
        </w:rPr>
        <w:t>kapitullin 25</w:t>
      </w:r>
      <w:r w:rsidRPr="00E266CD">
        <w:t xml:space="preserve"> të </w:t>
      </w:r>
      <w:r w:rsidR="00E570A9" w:rsidRPr="00E266CD">
        <w:rPr>
          <w:i/>
        </w:rPr>
        <w:t>acquis</w:t>
      </w:r>
      <w:r w:rsidRPr="00E266CD">
        <w:t>, përkatësisht Ndërmarrjet dhe Politikat Industriale, Shkenca dhe Kërkimi Shkencor.</w:t>
      </w:r>
    </w:p>
    <w:p w14:paraId="47445672" w14:textId="77777777" w:rsidR="00F668D9" w:rsidRPr="00E266CD" w:rsidRDefault="00F668D9" w:rsidP="00F668D9">
      <w:pPr>
        <w:pStyle w:val="TEKSTIIII"/>
        <w:rPr>
          <w:b/>
          <w:color w:val="000000"/>
        </w:rPr>
      </w:pPr>
      <w:bookmarkStart w:id="71" w:name="_Toc135703189"/>
    </w:p>
    <w:p w14:paraId="23B53280" w14:textId="13006FE9" w:rsidR="007959B4" w:rsidRPr="00E266CD" w:rsidRDefault="007959B4" w:rsidP="00F668D9">
      <w:pPr>
        <w:pStyle w:val="TEKSTIIII"/>
        <w:rPr>
          <w:b/>
          <w:color w:val="000000"/>
        </w:rPr>
      </w:pPr>
      <w:r w:rsidRPr="00E266CD">
        <w:rPr>
          <w:b/>
          <w:color w:val="000000"/>
        </w:rPr>
        <w:t xml:space="preserve">Lista e masave për arritjen </w:t>
      </w:r>
      <w:r w:rsidR="00BE22CB" w:rsidRPr="00E266CD">
        <w:rPr>
          <w:b/>
          <w:color w:val="000000"/>
        </w:rPr>
        <w:t xml:space="preserve">e objektivit specifik </w:t>
      </w:r>
      <w:r w:rsidRPr="00E266CD">
        <w:rPr>
          <w:b/>
          <w:color w:val="000000"/>
        </w:rPr>
        <w:t>2.3</w:t>
      </w:r>
      <w:bookmarkEnd w:id="71"/>
    </w:p>
    <w:p w14:paraId="052E557A" w14:textId="3EAF149E" w:rsidR="00BE22CB" w:rsidRDefault="007959B4" w:rsidP="007171BF">
      <w:pPr>
        <w:pStyle w:val="TEKSTIIII"/>
      </w:pPr>
      <w:r w:rsidRPr="00E266CD">
        <w:t>Për realizimin e këtij objektivi është planifikuar realizimi i masave të mëposhtme:</w:t>
      </w:r>
    </w:p>
    <w:p w14:paraId="4148DED7" w14:textId="77777777" w:rsidR="00BE22CB" w:rsidRPr="00E266CD" w:rsidRDefault="00BE22CB" w:rsidP="00BE22CB">
      <w:pPr>
        <w:pStyle w:val="TEKSTIIII"/>
      </w:pPr>
    </w:p>
    <w:tbl>
      <w:tblPr>
        <w:tblStyle w:val="10"/>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76BD4B85" w14:textId="77777777" w:rsidTr="00BE22CB">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940" w:type="dxa"/>
          </w:tcPr>
          <w:p w14:paraId="5382D423" w14:textId="77777777" w:rsidR="007959B4" w:rsidRPr="00E266CD" w:rsidRDefault="007959B4" w:rsidP="00695B0D">
            <w:pPr>
              <w:rPr>
                <w:rFonts w:ascii="Garamond" w:eastAsia="Times New Roman" w:hAnsi="Garamond"/>
                <w:sz w:val="20"/>
              </w:rPr>
            </w:pPr>
          </w:p>
        </w:tc>
        <w:tc>
          <w:tcPr>
            <w:tcW w:w="8558" w:type="dxa"/>
          </w:tcPr>
          <w:p w14:paraId="5D112B77" w14:textId="5AB6F625"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Objektiv </w:t>
            </w:r>
            <w:r w:rsidR="00BE22CB">
              <w:rPr>
                <w:rFonts w:ascii="Garamond" w:eastAsia="Times New Roman" w:hAnsi="Garamond"/>
                <w:sz w:val="20"/>
              </w:rPr>
              <w:t>s</w:t>
            </w:r>
            <w:r w:rsidRPr="00E266CD">
              <w:rPr>
                <w:rFonts w:ascii="Garamond" w:eastAsia="Times New Roman" w:hAnsi="Garamond"/>
                <w:sz w:val="20"/>
              </w:rPr>
              <w:t>pecifik 2.3: Rritja e rolit të shkencës dhe inovacionit në zhvillimin teknologjik</w:t>
            </w:r>
          </w:p>
        </w:tc>
      </w:tr>
      <w:tr w:rsidR="007959B4" w:rsidRPr="00E266CD" w14:paraId="4D912B0F" w14:textId="77777777" w:rsidTr="00BE22CB">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40" w:type="dxa"/>
          </w:tcPr>
          <w:p w14:paraId="57071E9B"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 </w:t>
            </w:r>
          </w:p>
        </w:tc>
        <w:tc>
          <w:tcPr>
            <w:tcW w:w="8558" w:type="dxa"/>
          </w:tcPr>
          <w:p w14:paraId="472E12B9"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2256C2C1" w14:textId="77777777" w:rsidTr="007003CA">
        <w:trPr>
          <w:trHeight w:val="44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552DAED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2.3.1</w:t>
            </w:r>
          </w:p>
        </w:tc>
        <w:tc>
          <w:tcPr>
            <w:tcW w:w="8558" w:type="dxa"/>
            <w:vAlign w:val="bottom"/>
          </w:tcPr>
          <w:p w14:paraId="549990D9" w14:textId="391B689F"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Hartimi i një udhëzuesi (</w:t>
            </w:r>
            <w:r w:rsidRPr="00E266CD">
              <w:rPr>
                <w:rFonts w:ascii="Garamond" w:eastAsia="Times New Roman" w:hAnsi="Garamond"/>
                <w:i/>
                <w:sz w:val="20"/>
              </w:rPr>
              <w:t>guideline</w:t>
            </w:r>
            <w:r w:rsidRPr="00E266CD">
              <w:rPr>
                <w:rFonts w:ascii="Garamond" w:eastAsia="Times New Roman" w:hAnsi="Garamond"/>
                <w:sz w:val="20"/>
              </w:rPr>
              <w:t>) për lëvrimin e granteve për financimin e programeve kombëtare të kërkim</w:t>
            </w:r>
            <w:r w:rsidR="00BE22CB">
              <w:rPr>
                <w:rFonts w:ascii="Garamond" w:eastAsia="Times New Roman" w:hAnsi="Garamond"/>
                <w:sz w:val="20"/>
              </w:rPr>
              <w:t>-</w:t>
            </w:r>
            <w:r w:rsidRPr="00E266CD">
              <w:rPr>
                <w:rFonts w:ascii="Garamond" w:eastAsia="Times New Roman" w:hAnsi="Garamond"/>
                <w:sz w:val="20"/>
              </w:rPr>
              <w:t>zhvillimit dhe inovacionit.</w:t>
            </w:r>
          </w:p>
        </w:tc>
      </w:tr>
      <w:tr w:rsidR="007959B4" w:rsidRPr="00E266CD" w14:paraId="35FCFB60" w14:textId="77777777" w:rsidTr="007003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757A2B7E"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2.3.2</w:t>
            </w:r>
          </w:p>
        </w:tc>
        <w:tc>
          <w:tcPr>
            <w:tcW w:w="8558" w:type="dxa"/>
            <w:vAlign w:val="bottom"/>
          </w:tcPr>
          <w:p w14:paraId="6AE3889E" w14:textId="6B897766"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Promovimi i projekteve shkencore me ndikim në inovacion dhe zhvillimin teknologjik</w:t>
            </w:r>
          </w:p>
        </w:tc>
      </w:tr>
      <w:tr w:rsidR="007959B4" w:rsidRPr="00E266CD" w14:paraId="0EDDBA89" w14:textId="77777777" w:rsidTr="007003CA">
        <w:trPr>
          <w:trHeight w:val="327"/>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454473F5"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2.3.3</w:t>
            </w:r>
          </w:p>
        </w:tc>
        <w:tc>
          <w:tcPr>
            <w:tcW w:w="8558" w:type="dxa"/>
            <w:vAlign w:val="bottom"/>
          </w:tcPr>
          <w:p w14:paraId="6E214EED" w14:textId="57148250"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Vlerësimi i nevojave për zhvillimet teknologji/inovacion</w:t>
            </w:r>
            <w:r w:rsidR="00BE22CB">
              <w:rPr>
                <w:rFonts w:ascii="Garamond" w:eastAsia="Times New Roman" w:hAnsi="Garamond"/>
                <w:sz w:val="20"/>
              </w:rPr>
              <w:t>,</w:t>
            </w:r>
            <w:r w:rsidRPr="00E266CD">
              <w:rPr>
                <w:rFonts w:ascii="Garamond" w:eastAsia="Times New Roman" w:hAnsi="Garamond"/>
                <w:sz w:val="20"/>
              </w:rPr>
              <w:t xml:space="preserve"> me qëllim orientimin e projekteve kombëtare</w:t>
            </w:r>
          </w:p>
        </w:tc>
      </w:tr>
      <w:tr w:rsidR="007959B4" w:rsidRPr="00E266CD" w14:paraId="74673B2B" w14:textId="77777777" w:rsidTr="007003CA">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B49C48D"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2.3.4</w:t>
            </w:r>
          </w:p>
        </w:tc>
        <w:tc>
          <w:tcPr>
            <w:tcW w:w="8558" w:type="dxa"/>
            <w:vAlign w:val="bottom"/>
          </w:tcPr>
          <w:p w14:paraId="08064A90" w14:textId="48D81C3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Hartimi i projekteve për krijimin e qendrave rajonale të teknologjisë dhe inovacionit me qëllim mbështetjen e zhvillimit teknologjik</w:t>
            </w:r>
          </w:p>
        </w:tc>
      </w:tr>
    </w:tbl>
    <w:p w14:paraId="3755DE0D" w14:textId="440256BB" w:rsidR="007959B4" w:rsidRPr="00E266CD" w:rsidRDefault="007959B4" w:rsidP="00F668D9">
      <w:pPr>
        <w:pStyle w:val="TEKSTIIII"/>
        <w:rPr>
          <w:i/>
          <w:sz w:val="20"/>
          <w:szCs w:val="20"/>
        </w:rPr>
      </w:pPr>
      <w:r w:rsidRPr="00E266CD">
        <w:rPr>
          <w:i/>
          <w:sz w:val="20"/>
          <w:szCs w:val="20"/>
        </w:rPr>
        <w:t xml:space="preserve">Tabela </w:t>
      </w:r>
      <w:r w:rsidR="00B65BFD" w:rsidRPr="00E266CD">
        <w:rPr>
          <w:i/>
          <w:sz w:val="20"/>
          <w:szCs w:val="20"/>
        </w:rPr>
        <w:t>n</w:t>
      </w:r>
      <w:r w:rsidRPr="00E266CD">
        <w:rPr>
          <w:i/>
          <w:sz w:val="20"/>
          <w:szCs w:val="20"/>
        </w:rPr>
        <w:t>r.</w:t>
      </w:r>
      <w:r w:rsidR="00B65BFD" w:rsidRPr="00E266CD">
        <w:rPr>
          <w:i/>
          <w:sz w:val="20"/>
          <w:szCs w:val="20"/>
        </w:rPr>
        <w:t xml:space="preserve"> </w:t>
      </w:r>
      <w:r w:rsidRPr="00E266CD">
        <w:rPr>
          <w:i/>
          <w:sz w:val="20"/>
          <w:szCs w:val="20"/>
        </w:rPr>
        <w:t>6</w:t>
      </w:r>
      <w:r w:rsidR="00BE22CB">
        <w:rPr>
          <w:i/>
          <w:sz w:val="20"/>
          <w:szCs w:val="20"/>
        </w:rPr>
        <w:t>:</w:t>
      </w:r>
      <w:r w:rsidRPr="00E266CD">
        <w:rPr>
          <w:i/>
          <w:sz w:val="20"/>
          <w:szCs w:val="20"/>
        </w:rPr>
        <w:t xml:space="preserve"> Lista e masave për arritjen e objektivit specifik 2.3</w:t>
      </w:r>
      <w:r w:rsidR="00BE22CB">
        <w:rPr>
          <w:i/>
          <w:sz w:val="20"/>
          <w:szCs w:val="20"/>
        </w:rPr>
        <w:t>.</w:t>
      </w:r>
    </w:p>
    <w:p w14:paraId="74347542" w14:textId="00210E71" w:rsidR="00F668D9" w:rsidRDefault="00F668D9" w:rsidP="00F668D9">
      <w:pPr>
        <w:pStyle w:val="TEKSTIIII"/>
        <w:rPr>
          <w:b/>
        </w:rPr>
      </w:pPr>
      <w:bookmarkStart w:id="72" w:name="_Toc135703190"/>
    </w:p>
    <w:p w14:paraId="0F33A905" w14:textId="4BE7DF7C" w:rsidR="007171BF" w:rsidRDefault="007171BF" w:rsidP="00F668D9">
      <w:pPr>
        <w:pStyle w:val="TEKSTIIII"/>
        <w:rPr>
          <w:b/>
        </w:rPr>
      </w:pPr>
    </w:p>
    <w:p w14:paraId="197588DF" w14:textId="77777777" w:rsidR="007171BF" w:rsidRPr="00E266CD" w:rsidRDefault="007171BF" w:rsidP="00F668D9">
      <w:pPr>
        <w:pStyle w:val="TEKSTIIII"/>
        <w:rPr>
          <w:b/>
        </w:rPr>
      </w:pPr>
    </w:p>
    <w:p w14:paraId="1B834B55" w14:textId="77777777" w:rsidR="007959B4" w:rsidRPr="00E266CD" w:rsidRDefault="007959B4" w:rsidP="00F668D9">
      <w:pPr>
        <w:pStyle w:val="TEKSTIIII"/>
        <w:rPr>
          <w:b/>
        </w:rPr>
      </w:pPr>
      <w:r w:rsidRPr="00E266CD">
        <w:rPr>
          <w:b/>
        </w:rPr>
        <w:t>Treguesit kryesorë të rezultateve</w:t>
      </w:r>
      <w:bookmarkEnd w:id="72"/>
    </w:p>
    <w:p w14:paraId="16EDB427" w14:textId="77777777" w:rsidR="007959B4" w:rsidRPr="00E266CD" w:rsidRDefault="007959B4" w:rsidP="00F668D9">
      <w:pPr>
        <w:pStyle w:val="TEKSTIIII"/>
      </w:pPr>
      <w:r w:rsidRPr="00BE22CB">
        <w:rPr>
          <w:b/>
        </w:rPr>
        <w:t>Tregues 1:</w:t>
      </w:r>
      <w:r w:rsidRPr="00E266CD">
        <w:rPr>
          <w:b/>
          <w:i/>
        </w:rPr>
        <w:t xml:space="preserve"> </w:t>
      </w:r>
      <w:r w:rsidRPr="00E266CD">
        <w:t>Përqindja e projekteve shkencore me ndikim në inovacion dhe zhvillimin teknologjik financuar nga AKKSHI</w:t>
      </w:r>
    </w:p>
    <w:p w14:paraId="7E68E352" w14:textId="444AD92C" w:rsidR="007959B4" w:rsidRPr="00BE22CB" w:rsidRDefault="007959B4" w:rsidP="00BE22CB">
      <w:pPr>
        <w:pStyle w:val="TEKSTIIII"/>
        <w:rPr>
          <w:b/>
        </w:rPr>
      </w:pPr>
      <w:bookmarkStart w:id="73" w:name="_Toc135703191"/>
      <w:r w:rsidRPr="00E266CD">
        <w:rPr>
          <w:b/>
        </w:rPr>
        <w:t xml:space="preserve">Objektivi </w:t>
      </w:r>
      <w:r w:rsidR="00BE22CB">
        <w:rPr>
          <w:b/>
        </w:rPr>
        <w:t>s</w:t>
      </w:r>
      <w:r w:rsidRPr="00E266CD">
        <w:rPr>
          <w:b/>
        </w:rPr>
        <w:t>pecifik 2.4: Fuqizimi dhe rritja e kapaciteteve të qendrave të transferimit të teknologjisë për të avancuar njohuritë në një fushë të caktuar ose për të zhvilluar më tej teknologjinë</w:t>
      </w:r>
      <w:bookmarkEnd w:id="73"/>
    </w:p>
    <w:p w14:paraId="18E5CD5B" w14:textId="0715FABC" w:rsidR="007959B4" w:rsidRPr="00E266CD" w:rsidRDefault="007959B4" w:rsidP="00F668D9">
      <w:pPr>
        <w:pStyle w:val="TEKSTIIII"/>
        <w:rPr>
          <w:b/>
        </w:rPr>
      </w:pPr>
      <w:bookmarkStart w:id="74" w:name="_Toc135703192"/>
      <w:r w:rsidRPr="00E266CD">
        <w:rPr>
          <w:b/>
        </w:rPr>
        <w:t xml:space="preserve">Analiza e </w:t>
      </w:r>
      <w:r w:rsidR="00BE22CB" w:rsidRPr="00E266CD">
        <w:rPr>
          <w:b/>
        </w:rPr>
        <w:t>situatës dhe sfidat</w:t>
      </w:r>
      <w:bookmarkEnd w:id="74"/>
    </w:p>
    <w:p w14:paraId="4303EC9B" w14:textId="137E60CF" w:rsidR="007959B4" w:rsidRPr="00E266CD" w:rsidRDefault="007959B4" w:rsidP="00F668D9">
      <w:pPr>
        <w:pStyle w:val="TEKSTIIII"/>
      </w:pPr>
      <w:r w:rsidRPr="00E266CD">
        <w:t>Për</w:t>
      </w:r>
      <w:r w:rsidR="00B65BFD" w:rsidRPr="00E266CD">
        <w:t xml:space="preserve"> </w:t>
      </w:r>
      <w:r w:rsidRPr="00E266CD">
        <w:t>sa i përket këtij objektivi mund të thuhet se është e vështirë që të fuqizohet bashkëpunimi i shkencës dhe inovacionit me institucionet publike. Hapat e parë janë hedhur pasi IAL të ndryshme kanë nënshkruar marrëveshje bashkëpunimi me institucionet publike. Gjithashtu, shumë nga IAL</w:t>
      </w:r>
      <w:r w:rsidR="00BE22CB">
        <w:t>-të</w:t>
      </w:r>
      <w:r w:rsidRPr="00E266CD">
        <w:t xml:space="preserve"> kanë nënshkruar edhe marrëveshje bashkëpunimi me biznese të ndryshme. Aktualisht janë krijuar në Shqipëri </w:t>
      </w:r>
      <w:r w:rsidR="00BE22CB" w:rsidRPr="00E266CD">
        <w:t>qendra të transferimit të teknologjive bujqësore</w:t>
      </w:r>
      <w:r w:rsidRPr="00E266CD">
        <w:rPr>
          <w:vertAlign w:val="superscript"/>
        </w:rPr>
        <w:footnoteReference w:id="47"/>
      </w:r>
      <w:r w:rsidRPr="00E266CD">
        <w:t xml:space="preserve">, në bazë të </w:t>
      </w:r>
      <w:r w:rsidR="007003CA" w:rsidRPr="00E266CD">
        <w:t>v</w:t>
      </w:r>
      <w:r w:rsidRPr="00E266CD">
        <w:t>endimit të Këshillit të Ministrave nr. 515, datë 19.7.2006</w:t>
      </w:r>
      <w:r w:rsidR="007003CA" w:rsidRPr="00E266CD">
        <w:t>,</w:t>
      </w:r>
      <w:r w:rsidRPr="00E266CD">
        <w:t xml:space="preserve"> “Për ristrukturimin e </w:t>
      </w:r>
      <w:r w:rsidR="00BE22CB" w:rsidRPr="00E266CD">
        <w:t xml:space="preserve">instituteve kërkimore shkencore në varësi </w:t>
      </w:r>
      <w:r w:rsidRPr="00E266CD">
        <w:t>të Ministrisë së Bujqësisë, Ushqimit dhe Mbrojtjes së Konsumatorit”. Kështu janë 5 qendra të tilla:</w:t>
      </w:r>
    </w:p>
    <w:p w14:paraId="0898DA44" w14:textId="0C600791" w:rsidR="007959B4" w:rsidRPr="00E266CD" w:rsidRDefault="007959B4" w:rsidP="00F668D9">
      <w:pPr>
        <w:pStyle w:val="TEKSTIIII"/>
      </w:pPr>
      <w:r w:rsidRPr="00E266CD">
        <w:t>Qendra e Transferimit të Teknologjive Bujqësore, Fushë-Krujë</w:t>
      </w:r>
      <w:r w:rsidR="00B65BFD" w:rsidRPr="00E266CD">
        <w:t>;</w:t>
      </w:r>
    </w:p>
    <w:p w14:paraId="6AFA2204" w14:textId="6B05A17B" w:rsidR="007959B4" w:rsidRPr="00E266CD" w:rsidRDefault="007959B4" w:rsidP="00F668D9">
      <w:pPr>
        <w:pStyle w:val="TEKSTIIII"/>
      </w:pPr>
      <w:r w:rsidRPr="00E266CD">
        <w:t>Qendra e Transferimit të Teknologjive Bujqësore, Lushnjë</w:t>
      </w:r>
      <w:r w:rsidR="00B65BFD" w:rsidRPr="00E266CD">
        <w:t>;</w:t>
      </w:r>
    </w:p>
    <w:p w14:paraId="18F7DFF4" w14:textId="25D286F0" w:rsidR="007959B4" w:rsidRPr="00E266CD" w:rsidRDefault="007959B4" w:rsidP="00F668D9">
      <w:pPr>
        <w:pStyle w:val="TEKSTIIII"/>
      </w:pPr>
      <w:r w:rsidRPr="00E266CD">
        <w:t xml:space="preserve">Qendra e Transferimit </w:t>
      </w:r>
      <w:r w:rsidR="00BF1624" w:rsidRPr="00E266CD">
        <w:rPr>
          <w:rFonts w:eastAsia="Times New Roman"/>
        </w:rPr>
        <w:t>të</w:t>
      </w:r>
      <w:r w:rsidRPr="00E266CD">
        <w:t xml:space="preserve"> Teknologjive Bujqësore, Vlorë</w:t>
      </w:r>
      <w:r w:rsidR="00B65BFD" w:rsidRPr="00E266CD">
        <w:t>;</w:t>
      </w:r>
    </w:p>
    <w:p w14:paraId="785747B6" w14:textId="1B609606" w:rsidR="007959B4" w:rsidRPr="00E266CD" w:rsidRDefault="007959B4" w:rsidP="00F668D9">
      <w:pPr>
        <w:pStyle w:val="TEKSTIIII"/>
      </w:pPr>
      <w:r w:rsidRPr="00E266CD">
        <w:t>Qendra e Transferimit të Teknologjive Bujqësore, Korçë</w:t>
      </w:r>
      <w:r w:rsidR="00B65BFD" w:rsidRPr="00E266CD">
        <w:t>;</w:t>
      </w:r>
    </w:p>
    <w:p w14:paraId="47671A89" w14:textId="52907228" w:rsidR="007959B4" w:rsidRPr="00E266CD" w:rsidRDefault="007959B4" w:rsidP="00F668D9">
      <w:pPr>
        <w:pStyle w:val="TEKSTIIII"/>
      </w:pPr>
      <w:r w:rsidRPr="00E266CD">
        <w:t xml:space="preserve">Qendra e Transferimit </w:t>
      </w:r>
      <w:r w:rsidR="00BF1624" w:rsidRPr="00E266CD">
        <w:rPr>
          <w:rFonts w:eastAsia="Times New Roman"/>
        </w:rPr>
        <w:t>të</w:t>
      </w:r>
      <w:r w:rsidRPr="00E266CD">
        <w:t xml:space="preserve"> Teknologjive Bujqësore, Shkodër</w:t>
      </w:r>
      <w:r w:rsidR="00B65BFD" w:rsidRPr="00E266CD">
        <w:t>;</w:t>
      </w:r>
    </w:p>
    <w:p w14:paraId="7F93508C" w14:textId="72548EEE" w:rsidR="007959B4" w:rsidRPr="00E266CD" w:rsidRDefault="007959B4" w:rsidP="00BE22CB">
      <w:pPr>
        <w:pStyle w:val="TEKSTIIII"/>
      </w:pPr>
      <w:r w:rsidRPr="00E266CD">
        <w:t>Sfida është zhvillimi i qendrave të tilla, jo vetëm në bujqësi, por edhe në fusha të tjera.</w:t>
      </w:r>
    </w:p>
    <w:p w14:paraId="5185FEEC" w14:textId="30FC4755" w:rsidR="007959B4" w:rsidRPr="00E266CD" w:rsidRDefault="007959B4" w:rsidP="00F668D9">
      <w:pPr>
        <w:pStyle w:val="TEKSTIIII"/>
        <w:rPr>
          <w:b/>
          <w:color w:val="000000"/>
        </w:rPr>
      </w:pPr>
      <w:bookmarkStart w:id="75" w:name="_Toc135703193"/>
      <w:r w:rsidRPr="00E266CD">
        <w:rPr>
          <w:b/>
          <w:color w:val="000000"/>
        </w:rPr>
        <w:t>Rezultatet që pritet të arrihen përmes zbatimit të masave që lidhen me objektivin specifik</w:t>
      </w:r>
      <w:bookmarkEnd w:id="75"/>
    </w:p>
    <w:p w14:paraId="1C918B83" w14:textId="77777777" w:rsidR="007959B4" w:rsidRPr="00E266CD" w:rsidRDefault="007959B4" w:rsidP="00F668D9">
      <w:pPr>
        <w:pStyle w:val="TEKSTIIII"/>
        <w:rPr>
          <w:rFonts w:eastAsia="Times New Roman"/>
        </w:rPr>
      </w:pPr>
      <w:r w:rsidRPr="00E266CD">
        <w:rPr>
          <w:rFonts w:eastAsia="Times New Roman"/>
        </w:rPr>
        <w:t>Përmes realizimit të masave të detajuara në planin e veprimit synohet të arrihen këto rezultate:</w:t>
      </w:r>
    </w:p>
    <w:p w14:paraId="16A1EA06" w14:textId="77777777" w:rsidR="007959B4" w:rsidRPr="00E266CD" w:rsidRDefault="007959B4" w:rsidP="00F668D9">
      <w:pPr>
        <w:pStyle w:val="TEKSTIIII"/>
        <w:rPr>
          <w:rFonts w:eastAsia="Times New Roman"/>
          <w:color w:val="000000"/>
        </w:rPr>
      </w:pPr>
      <w:r w:rsidRPr="00E266CD">
        <w:rPr>
          <w:rFonts w:eastAsia="Times New Roman"/>
          <w:color w:val="000000"/>
        </w:rPr>
        <w:t>Qendra të transferimit të teknologjisë funksionale.</w:t>
      </w:r>
    </w:p>
    <w:p w14:paraId="5C9B9BF4" w14:textId="7072F1F5" w:rsidR="007959B4" w:rsidRPr="00E266CD" w:rsidRDefault="007959B4" w:rsidP="00F668D9">
      <w:pPr>
        <w:pStyle w:val="TEKSTIIII"/>
        <w:rPr>
          <w:rFonts w:eastAsia="Times New Roman"/>
          <w:color w:val="000000"/>
        </w:rPr>
      </w:pPr>
      <w:r w:rsidRPr="00E266CD">
        <w:rPr>
          <w:rFonts w:eastAsia="Times New Roman"/>
          <w:color w:val="000000"/>
        </w:rPr>
        <w:t>Marrëveshje bashkëpunimi të ndërmarrjeve me kapacitete teknologjike me IAL</w:t>
      </w:r>
      <w:r w:rsidR="00BE22CB">
        <w:rPr>
          <w:rFonts w:eastAsia="Times New Roman"/>
          <w:color w:val="000000"/>
        </w:rPr>
        <w:t>-të</w:t>
      </w:r>
      <w:r w:rsidRPr="00E266CD">
        <w:rPr>
          <w:rFonts w:eastAsia="Times New Roman"/>
          <w:color w:val="000000"/>
        </w:rPr>
        <w:t xml:space="preserve"> dhe qendrat e transferimit të teknologjive sipas spirales së trefishtë (akademi</w:t>
      </w:r>
      <w:r w:rsidR="00BE22CB">
        <w:rPr>
          <w:rFonts w:eastAsia="Times New Roman"/>
          <w:color w:val="000000"/>
        </w:rPr>
        <w:t>–</w:t>
      </w:r>
      <w:r w:rsidRPr="00E266CD">
        <w:rPr>
          <w:rFonts w:eastAsia="Times New Roman"/>
          <w:color w:val="000000"/>
        </w:rPr>
        <w:t>biznes</w:t>
      </w:r>
      <w:r w:rsidR="00BE22CB">
        <w:rPr>
          <w:rFonts w:eastAsia="Times New Roman"/>
          <w:color w:val="000000"/>
        </w:rPr>
        <w:t>–</w:t>
      </w:r>
      <w:r w:rsidRPr="00E266CD">
        <w:rPr>
          <w:rFonts w:eastAsia="Times New Roman"/>
          <w:color w:val="000000"/>
        </w:rPr>
        <w:t>qeveri).</w:t>
      </w:r>
    </w:p>
    <w:p w14:paraId="58BACD2F" w14:textId="2B5AE8E2" w:rsidR="007959B4" w:rsidRPr="00A7797C" w:rsidRDefault="007959B4" w:rsidP="00F668D9">
      <w:pPr>
        <w:pStyle w:val="TEKSTIIII"/>
        <w:rPr>
          <w:color w:val="000000"/>
        </w:rPr>
      </w:pPr>
      <w:bookmarkStart w:id="76" w:name="_Toc135703194"/>
      <w:r w:rsidRPr="00A7797C">
        <w:rPr>
          <w:color w:val="000000"/>
        </w:rPr>
        <w:t>Institucionet përgjegjëse drejtuese</w:t>
      </w:r>
      <w:bookmarkEnd w:id="76"/>
      <w:r w:rsidR="001E1C90">
        <w:rPr>
          <w:color w:val="000000"/>
        </w:rPr>
        <w:t>:</w:t>
      </w:r>
    </w:p>
    <w:p w14:paraId="115E7359" w14:textId="69613DE2" w:rsidR="007959B4" w:rsidRPr="00E266CD" w:rsidRDefault="007959B4" w:rsidP="00F668D9">
      <w:pPr>
        <w:pStyle w:val="TEKSTIIII"/>
        <w:rPr>
          <w:rFonts w:eastAsia="Times New Roman"/>
        </w:rPr>
      </w:pPr>
      <w:r w:rsidRPr="00E266CD">
        <w:rPr>
          <w:rFonts w:eastAsia="Times New Roman"/>
        </w:rPr>
        <w:t>Institucionet drejtuese janë AKKSHI, Ministria e Bujqësisë dhe Zhvillimit Rural, ML</w:t>
      </w:r>
    </w:p>
    <w:p w14:paraId="6F7BC6B1" w14:textId="41BC60D8" w:rsidR="007959B4" w:rsidRPr="00E266CD" w:rsidRDefault="007959B4" w:rsidP="00F668D9">
      <w:pPr>
        <w:pStyle w:val="TEKSTIIII"/>
        <w:rPr>
          <w:rFonts w:eastAsia="Times New Roman"/>
        </w:rPr>
      </w:pPr>
      <w:r w:rsidRPr="00E266CD">
        <w:rPr>
          <w:rFonts w:eastAsia="Times New Roman"/>
        </w:rPr>
        <w:t xml:space="preserve">Programet buxhetore, buxheti i të cilave do </w:t>
      </w:r>
      <w:r w:rsidR="00A74C97">
        <w:rPr>
          <w:rFonts w:eastAsia="Times New Roman"/>
        </w:rPr>
        <w:t xml:space="preserve">të </w:t>
      </w:r>
      <w:r w:rsidRPr="00E266CD">
        <w:rPr>
          <w:rFonts w:eastAsia="Times New Roman"/>
        </w:rPr>
        <w:t>kontribuojë në realizimin e objektivit janë:</w:t>
      </w:r>
    </w:p>
    <w:p w14:paraId="7A825854" w14:textId="77777777" w:rsidR="007959B4" w:rsidRPr="00E266CD" w:rsidRDefault="007959B4" w:rsidP="007959B4">
      <w:pPr>
        <w:spacing w:before="240"/>
        <w:rPr>
          <w:rFonts w:ascii="Garamond" w:eastAsia="Times New Roman" w:hAnsi="Garamond"/>
          <w:sz w:val="24"/>
          <w:szCs w:val="24"/>
        </w:rPr>
      </w:pPr>
      <w:r w:rsidRPr="00E266CD">
        <w:rPr>
          <w:rFonts w:ascii="Garamond" w:eastAsia="Times New Roman" w:hAnsi="Garamond"/>
          <w:sz w:val="24"/>
          <w:szCs w:val="24"/>
        </w:rPr>
        <w:t>Ministria e Arsimit dhe Sporteve</w:t>
      </w:r>
    </w:p>
    <w:tbl>
      <w:tblPr>
        <w:tblStyle w:val="12"/>
        <w:tblW w:w="6616" w:type="dxa"/>
        <w:tblInd w:w="-23" w:type="dxa"/>
        <w:tblLayout w:type="fixed"/>
        <w:tblLook w:val="0400" w:firstRow="0" w:lastRow="0" w:firstColumn="0" w:lastColumn="0" w:noHBand="0" w:noVBand="1"/>
      </w:tblPr>
      <w:tblGrid>
        <w:gridCol w:w="1275"/>
        <w:gridCol w:w="5341"/>
      </w:tblGrid>
      <w:tr w:rsidR="007959B4" w:rsidRPr="00E266CD" w14:paraId="4E44C7B7" w14:textId="77777777" w:rsidTr="00695B0D">
        <w:trPr>
          <w:trHeight w:val="255"/>
        </w:trPr>
        <w:tc>
          <w:tcPr>
            <w:tcW w:w="1275" w:type="dxa"/>
            <w:tcBorders>
              <w:top w:val="nil"/>
              <w:left w:val="single" w:sz="6" w:space="0" w:color="000000"/>
              <w:bottom w:val="nil"/>
              <w:right w:val="nil"/>
            </w:tcBorders>
            <w:shd w:val="clear" w:color="auto" w:fill="auto"/>
            <w:vAlign w:val="bottom"/>
          </w:tcPr>
          <w:p w14:paraId="75837B3C"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09770</w:t>
            </w:r>
          </w:p>
        </w:tc>
        <w:tc>
          <w:tcPr>
            <w:tcW w:w="5341" w:type="dxa"/>
            <w:tcBorders>
              <w:top w:val="nil"/>
              <w:left w:val="single" w:sz="4" w:space="0" w:color="000000"/>
              <w:bottom w:val="nil"/>
              <w:right w:val="single" w:sz="4" w:space="0" w:color="000000"/>
            </w:tcBorders>
            <w:shd w:val="clear" w:color="auto" w:fill="auto"/>
            <w:vAlign w:val="bottom"/>
          </w:tcPr>
          <w:p w14:paraId="501B9C37" w14:textId="043E483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 xml:space="preserve">Fonde për </w:t>
            </w:r>
            <w:r w:rsidR="0060305A">
              <w:rPr>
                <w:rFonts w:ascii="Garamond" w:eastAsia="Times New Roman" w:hAnsi="Garamond"/>
                <w:sz w:val="24"/>
                <w:szCs w:val="24"/>
              </w:rPr>
              <w:t>s</w:t>
            </w:r>
            <w:r w:rsidRPr="00E266CD">
              <w:rPr>
                <w:rFonts w:ascii="Garamond" w:eastAsia="Times New Roman" w:hAnsi="Garamond"/>
                <w:sz w:val="24"/>
                <w:szCs w:val="24"/>
              </w:rPr>
              <w:t>hkencën</w:t>
            </w:r>
          </w:p>
        </w:tc>
      </w:tr>
      <w:tr w:rsidR="007959B4" w:rsidRPr="00E266CD" w14:paraId="00176940" w14:textId="77777777" w:rsidTr="00695B0D">
        <w:trPr>
          <w:trHeight w:val="255"/>
        </w:trPr>
        <w:tc>
          <w:tcPr>
            <w:tcW w:w="1275" w:type="dxa"/>
            <w:tcBorders>
              <w:top w:val="nil"/>
              <w:left w:val="single" w:sz="6" w:space="0" w:color="000000"/>
              <w:bottom w:val="nil"/>
              <w:right w:val="nil"/>
            </w:tcBorders>
            <w:shd w:val="clear" w:color="auto" w:fill="auto"/>
            <w:vAlign w:val="bottom"/>
          </w:tcPr>
          <w:p w14:paraId="3FAE9A3C"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09450</w:t>
            </w:r>
          </w:p>
        </w:tc>
        <w:tc>
          <w:tcPr>
            <w:tcW w:w="5341" w:type="dxa"/>
            <w:tcBorders>
              <w:top w:val="nil"/>
              <w:left w:val="single" w:sz="4" w:space="0" w:color="000000"/>
              <w:bottom w:val="nil"/>
              <w:right w:val="single" w:sz="4" w:space="0" w:color="000000"/>
            </w:tcBorders>
            <w:shd w:val="clear" w:color="auto" w:fill="auto"/>
            <w:vAlign w:val="bottom"/>
          </w:tcPr>
          <w:p w14:paraId="285FD913" w14:textId="77777777" w:rsidR="007959B4" w:rsidRPr="00E266CD" w:rsidRDefault="007959B4" w:rsidP="00695B0D">
            <w:pPr>
              <w:spacing w:after="0" w:line="240" w:lineRule="auto"/>
              <w:rPr>
                <w:rFonts w:ascii="Garamond" w:eastAsia="Times New Roman" w:hAnsi="Garamond"/>
                <w:sz w:val="24"/>
                <w:szCs w:val="24"/>
              </w:rPr>
            </w:pPr>
            <w:r w:rsidRPr="00E266CD">
              <w:rPr>
                <w:rFonts w:ascii="Garamond" w:eastAsia="Times New Roman" w:hAnsi="Garamond"/>
                <w:sz w:val="24"/>
                <w:szCs w:val="24"/>
              </w:rPr>
              <w:t>Arsimi Universitar</w:t>
            </w:r>
          </w:p>
        </w:tc>
      </w:tr>
    </w:tbl>
    <w:p w14:paraId="1D2D6A55" w14:textId="77777777" w:rsidR="00F668D9" w:rsidRPr="00E266CD" w:rsidRDefault="00F668D9" w:rsidP="007959B4">
      <w:pPr>
        <w:rPr>
          <w:rFonts w:ascii="Garamond" w:eastAsia="Times New Roman" w:hAnsi="Garamond"/>
          <w:sz w:val="24"/>
          <w:szCs w:val="24"/>
        </w:rPr>
      </w:pPr>
    </w:p>
    <w:p w14:paraId="72550D8D" w14:textId="41004713" w:rsidR="007959B4" w:rsidRPr="00E266CD" w:rsidRDefault="007959B4" w:rsidP="00F668D9">
      <w:pPr>
        <w:pStyle w:val="TEKSTIIII"/>
      </w:pPr>
      <w:r w:rsidRPr="00E266CD">
        <w:t>Planifikim</w:t>
      </w:r>
      <w:r w:rsidR="00E80EDA">
        <w:t>i</w:t>
      </w:r>
      <w:r w:rsidRPr="00E266CD">
        <w:t xml:space="preserve">, </w:t>
      </w:r>
      <w:r w:rsidR="00E80EDA" w:rsidRPr="00E266CD">
        <w:t>menaxhim</w:t>
      </w:r>
      <w:r w:rsidR="00E80EDA">
        <w:t>i,</w:t>
      </w:r>
      <w:r w:rsidR="00E80EDA" w:rsidRPr="00E266CD">
        <w:t xml:space="preserve"> a</w:t>
      </w:r>
      <w:r w:rsidRPr="00E266CD">
        <w:t>dministrimi në ML</w:t>
      </w:r>
      <w:r w:rsidR="00E80EDA">
        <w:t>-të</w:t>
      </w:r>
      <w:r w:rsidRPr="00E266CD">
        <w:t xml:space="preserve"> që kanë në varësi QTT</w:t>
      </w:r>
      <w:r w:rsidR="00E80EDA">
        <w:t>-ja</w:t>
      </w:r>
      <w:r w:rsidRPr="00E266CD">
        <w:t xml:space="preserve"> dhe Ministria e Bujqësisë dhe Zhvillimit Rural</w:t>
      </w:r>
    </w:p>
    <w:p w14:paraId="43F5DD6C" w14:textId="77777777" w:rsidR="007959B4" w:rsidRPr="00E266CD" w:rsidRDefault="007959B4" w:rsidP="00F668D9">
      <w:pPr>
        <w:pStyle w:val="TEKSTIIII"/>
      </w:pPr>
      <w:r w:rsidRPr="00E266CD">
        <w:t>04860 Këshillimi dhe Informacioni Bujqësor:</w:t>
      </w:r>
    </w:p>
    <w:p w14:paraId="4A3C542C" w14:textId="77777777" w:rsidR="007959B4" w:rsidRPr="00E266CD" w:rsidRDefault="007959B4" w:rsidP="00F668D9">
      <w:pPr>
        <w:pStyle w:val="TEKSTIIII"/>
      </w:pPr>
    </w:p>
    <w:p w14:paraId="0775F0F5" w14:textId="59A4E2F1" w:rsidR="007959B4" w:rsidRPr="001E1C90" w:rsidRDefault="007959B4" w:rsidP="00F668D9">
      <w:pPr>
        <w:pStyle w:val="TEKSTIIII"/>
        <w:rPr>
          <w:color w:val="000000"/>
        </w:rPr>
      </w:pPr>
      <w:bookmarkStart w:id="77" w:name="_Toc135703195"/>
      <w:r w:rsidRPr="001E1C90">
        <w:rPr>
          <w:color w:val="000000"/>
        </w:rPr>
        <w:t>Institucionet kryesore pjesëmarrëse</w:t>
      </w:r>
      <w:bookmarkEnd w:id="77"/>
      <w:r w:rsidR="001E1C90">
        <w:rPr>
          <w:color w:val="000000"/>
        </w:rPr>
        <w:t>:</w:t>
      </w:r>
    </w:p>
    <w:p w14:paraId="52A999BB" w14:textId="2F7E338C" w:rsidR="007959B4" w:rsidRPr="00E266CD" w:rsidRDefault="007959B4" w:rsidP="00F668D9">
      <w:pPr>
        <w:pStyle w:val="TEKSTIIII"/>
        <w:rPr>
          <w:rFonts w:eastAsia="Times New Roman"/>
        </w:rPr>
      </w:pPr>
      <w:r w:rsidRPr="00E266CD">
        <w:rPr>
          <w:rFonts w:eastAsia="Times New Roman"/>
        </w:rPr>
        <w:t>MAS , DPPI, IAL,</w:t>
      </w:r>
      <w:r w:rsidR="007715D0" w:rsidRPr="00E266CD">
        <w:rPr>
          <w:rFonts w:eastAsia="Times New Roman"/>
        </w:rPr>
        <w:t xml:space="preserve"> </w:t>
      </w:r>
      <w:r w:rsidR="00E80EDA" w:rsidRPr="00E266CD">
        <w:rPr>
          <w:rFonts w:eastAsia="Times New Roman"/>
        </w:rPr>
        <w:t>institutet kërkimore</w:t>
      </w:r>
      <w:r w:rsidRPr="00E266CD">
        <w:rPr>
          <w:rFonts w:eastAsia="Times New Roman"/>
        </w:rPr>
        <w:t>, ML, QTT.</w:t>
      </w:r>
    </w:p>
    <w:p w14:paraId="4F7B73A6" w14:textId="54646499" w:rsidR="007959B4" w:rsidRPr="00E266CD" w:rsidRDefault="007959B4" w:rsidP="00F668D9">
      <w:pPr>
        <w:pStyle w:val="TEKSTIIII"/>
      </w:pPr>
      <w:bookmarkStart w:id="78" w:name="_Toc135703196"/>
      <w:r w:rsidRPr="00E266CD">
        <w:t>Lidhja e objektivit specifik me nënkapitullin përkatës të BE-së sipas MSA-së.</w:t>
      </w:r>
      <w:bookmarkEnd w:id="78"/>
    </w:p>
    <w:p w14:paraId="6A9335F9" w14:textId="6EA83E69" w:rsidR="00F668D9" w:rsidRPr="00E266CD" w:rsidRDefault="007959B4" w:rsidP="007003CA">
      <w:pPr>
        <w:pStyle w:val="TEKSTIIII"/>
        <w:rPr>
          <w:rFonts w:eastAsia="Times New Roman"/>
        </w:rPr>
      </w:pPr>
      <w:bookmarkStart w:id="79" w:name="_heading=h.pkwqa1" w:colFirst="0" w:colLast="0"/>
      <w:bookmarkEnd w:id="79"/>
      <w:r w:rsidRPr="00E266CD">
        <w:rPr>
          <w:rFonts w:eastAsia="Times New Roman"/>
        </w:rPr>
        <w:t xml:space="preserve">Ky objektiv është i lidhur me kapitullin 11, kapitullin 20 dhe kapitullin 25 të </w:t>
      </w:r>
      <w:r w:rsidR="00E80EDA">
        <w:rPr>
          <w:rFonts w:eastAsia="Times New Roman"/>
          <w:i/>
        </w:rPr>
        <w:t>a</w:t>
      </w:r>
      <w:r w:rsidRPr="00E266CD">
        <w:rPr>
          <w:rFonts w:eastAsia="Times New Roman"/>
          <w:i/>
        </w:rPr>
        <w:t>cquis</w:t>
      </w:r>
      <w:r w:rsidRPr="00E266CD">
        <w:rPr>
          <w:rFonts w:eastAsia="Times New Roman"/>
        </w:rPr>
        <w:t xml:space="preserve">, përkatësisht </w:t>
      </w:r>
      <w:r w:rsidR="00E80EDA" w:rsidRPr="00E266CD">
        <w:rPr>
          <w:rFonts w:eastAsia="Times New Roman"/>
        </w:rPr>
        <w:t>bujqësia dhe zhvillimi rural, ndërmarrjet dhe politikat industriale, shkenca dhe kërkimi shkencor</w:t>
      </w:r>
      <w:bookmarkStart w:id="80" w:name="_Toc135703197"/>
    </w:p>
    <w:p w14:paraId="2C8A806D" w14:textId="125CA909" w:rsidR="007959B4" w:rsidRPr="00E266CD" w:rsidRDefault="007959B4" w:rsidP="00F668D9">
      <w:pPr>
        <w:pStyle w:val="TEKSTIIII"/>
        <w:rPr>
          <w:b/>
        </w:rPr>
      </w:pPr>
      <w:r w:rsidRPr="00E266CD">
        <w:rPr>
          <w:b/>
        </w:rPr>
        <w:t xml:space="preserve">Lista e masave për arritjen e </w:t>
      </w:r>
      <w:r w:rsidR="00E80EDA" w:rsidRPr="00E266CD">
        <w:rPr>
          <w:b/>
        </w:rPr>
        <w:t>objektivit s</w:t>
      </w:r>
      <w:r w:rsidRPr="00E266CD">
        <w:rPr>
          <w:b/>
        </w:rPr>
        <w:t>pecifik 2.4</w:t>
      </w:r>
      <w:bookmarkEnd w:id="80"/>
      <w:r w:rsidR="007171BF">
        <w:rPr>
          <w:b/>
        </w:rPr>
        <w:t>:</w:t>
      </w:r>
    </w:p>
    <w:p w14:paraId="586DAFCF" w14:textId="2F3E7CDA" w:rsidR="007959B4" w:rsidRPr="00E266CD" w:rsidRDefault="007959B4" w:rsidP="00F668D9">
      <w:pPr>
        <w:pStyle w:val="TEKSTIIII"/>
        <w:rPr>
          <w:rFonts w:eastAsia="Times New Roman"/>
        </w:rPr>
      </w:pPr>
      <w:r w:rsidRPr="00E266CD">
        <w:rPr>
          <w:rFonts w:eastAsia="Times New Roman"/>
        </w:rPr>
        <w:t>Për realizimin e këtij objektivi është planifikuar realizimi i masave të mëposhtme</w:t>
      </w:r>
      <w:r w:rsidR="00E80EDA">
        <w:rPr>
          <w:rFonts w:eastAsia="Times New Roman"/>
        </w:rPr>
        <w:t>:</w:t>
      </w:r>
    </w:p>
    <w:tbl>
      <w:tblPr>
        <w:tblStyle w:val="9"/>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715"/>
        <w:gridCol w:w="8783"/>
      </w:tblGrid>
      <w:tr w:rsidR="007959B4" w:rsidRPr="00E266CD" w14:paraId="2B2EB9CE" w14:textId="77777777" w:rsidTr="007003CA">
        <w:trPr>
          <w:cnfStyle w:val="100000000000" w:firstRow="1" w:lastRow="0" w:firstColumn="0" w:lastColumn="0" w:oddVBand="0" w:evenVBand="0" w:oddHBand="0"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715" w:type="dxa"/>
          </w:tcPr>
          <w:p w14:paraId="02FE8CB7" w14:textId="77777777" w:rsidR="007959B4" w:rsidRPr="00E266CD" w:rsidRDefault="007959B4" w:rsidP="00695B0D">
            <w:pPr>
              <w:rPr>
                <w:rFonts w:ascii="Garamond" w:eastAsia="Times New Roman" w:hAnsi="Garamond"/>
                <w:sz w:val="20"/>
              </w:rPr>
            </w:pPr>
          </w:p>
        </w:tc>
        <w:tc>
          <w:tcPr>
            <w:tcW w:w="8783" w:type="dxa"/>
          </w:tcPr>
          <w:p w14:paraId="7A690D43" w14:textId="6A01E4F1" w:rsidR="007959B4" w:rsidRPr="00E266CD" w:rsidRDefault="007959B4" w:rsidP="00695B0D">
            <w:pPr>
              <w:pBdr>
                <w:bottom w:val="single" w:sz="12" w:space="1" w:color="000000"/>
              </w:pBdr>
              <w:ind w:hanging="60"/>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E80EDA">
              <w:rPr>
                <w:rFonts w:ascii="Garamond" w:eastAsia="Times New Roman" w:hAnsi="Garamond"/>
                <w:sz w:val="20"/>
              </w:rPr>
              <w:t>i</w:t>
            </w:r>
            <w:r w:rsidRPr="00E266CD">
              <w:rPr>
                <w:rFonts w:ascii="Garamond" w:eastAsia="Times New Roman" w:hAnsi="Garamond"/>
                <w:sz w:val="20"/>
              </w:rPr>
              <w:t xml:space="preserve"> </w:t>
            </w:r>
            <w:r w:rsidR="00E80EDA">
              <w:rPr>
                <w:rFonts w:ascii="Garamond" w:eastAsia="Times New Roman" w:hAnsi="Garamond"/>
                <w:sz w:val="20"/>
              </w:rPr>
              <w:t>s</w:t>
            </w:r>
            <w:r w:rsidRPr="00E266CD">
              <w:rPr>
                <w:rFonts w:ascii="Garamond" w:eastAsia="Times New Roman" w:hAnsi="Garamond"/>
                <w:sz w:val="20"/>
              </w:rPr>
              <w:t>pecifik 2.4</w:t>
            </w:r>
            <w:r w:rsidR="00E80EDA">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Fuqizimi dhe rritja e kapaciteteve të qendrave të transferimit të teknologjisë për të avancuar njohuritë në një fushë të caktuar ose për të zhvilluar më tej teknologjinë</w:t>
            </w:r>
          </w:p>
        </w:tc>
      </w:tr>
      <w:tr w:rsidR="007959B4" w:rsidRPr="00E266CD" w14:paraId="781CE763" w14:textId="77777777" w:rsidTr="007003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15" w:type="dxa"/>
          </w:tcPr>
          <w:p w14:paraId="3A9AE4FC"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 </w:t>
            </w:r>
          </w:p>
        </w:tc>
        <w:tc>
          <w:tcPr>
            <w:tcW w:w="8783" w:type="dxa"/>
          </w:tcPr>
          <w:p w14:paraId="634F6685"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0F94B905" w14:textId="77777777" w:rsidTr="007003CA">
        <w:trPr>
          <w:trHeight w:val="264"/>
        </w:trPr>
        <w:tc>
          <w:tcPr>
            <w:cnfStyle w:val="001000000000" w:firstRow="0" w:lastRow="0" w:firstColumn="1" w:lastColumn="0" w:oddVBand="0" w:evenVBand="0" w:oddHBand="0" w:evenHBand="0" w:firstRowFirstColumn="0" w:firstRowLastColumn="0" w:lastRowFirstColumn="0" w:lastRowLastColumn="0"/>
            <w:tcW w:w="715" w:type="dxa"/>
            <w:tcBorders>
              <w:left w:val="nil"/>
            </w:tcBorders>
          </w:tcPr>
          <w:p w14:paraId="07E5B076"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2.4.1</w:t>
            </w:r>
          </w:p>
        </w:tc>
        <w:tc>
          <w:tcPr>
            <w:tcW w:w="8783" w:type="dxa"/>
            <w:vAlign w:val="bottom"/>
          </w:tcPr>
          <w:p w14:paraId="11AF5D23" w14:textId="65B8D774"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Plotësimi i bazës ligjore për mirëfunksionimin e qendrave të transferimit të teknologjisë</w:t>
            </w:r>
          </w:p>
        </w:tc>
      </w:tr>
      <w:tr w:rsidR="007959B4" w:rsidRPr="00E266CD" w14:paraId="0C1115AE" w14:textId="77777777" w:rsidTr="007003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15" w:type="dxa"/>
            <w:tcBorders>
              <w:left w:val="nil"/>
            </w:tcBorders>
          </w:tcPr>
          <w:p w14:paraId="578ABC39"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2.4.2</w:t>
            </w:r>
          </w:p>
        </w:tc>
        <w:tc>
          <w:tcPr>
            <w:tcW w:w="8783" w:type="dxa"/>
            <w:vAlign w:val="bottom"/>
          </w:tcPr>
          <w:p w14:paraId="0063B485" w14:textId="2FB4C97D"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Fuqizimi i marrëdhënieve midis QTT</w:t>
            </w:r>
            <w:r w:rsidR="00E80EDA">
              <w:rPr>
                <w:rFonts w:ascii="Garamond" w:eastAsia="Times New Roman" w:hAnsi="Garamond"/>
                <w:sz w:val="20"/>
              </w:rPr>
              <w:t>-së</w:t>
            </w:r>
            <w:r w:rsidRPr="00E266CD">
              <w:rPr>
                <w:rFonts w:ascii="Garamond" w:eastAsia="Times New Roman" w:hAnsi="Garamond"/>
                <w:sz w:val="20"/>
              </w:rPr>
              <w:t xml:space="preserve"> dhe akademisë</w:t>
            </w:r>
          </w:p>
        </w:tc>
      </w:tr>
      <w:tr w:rsidR="007959B4" w:rsidRPr="00E266CD" w14:paraId="66B3E6BC" w14:textId="77777777" w:rsidTr="007003CA">
        <w:trPr>
          <w:trHeight w:val="174"/>
        </w:trPr>
        <w:tc>
          <w:tcPr>
            <w:cnfStyle w:val="001000000000" w:firstRow="0" w:lastRow="0" w:firstColumn="1" w:lastColumn="0" w:oddVBand="0" w:evenVBand="0" w:oddHBand="0" w:evenHBand="0" w:firstRowFirstColumn="0" w:firstRowLastColumn="0" w:lastRowFirstColumn="0" w:lastRowLastColumn="0"/>
            <w:tcW w:w="715" w:type="dxa"/>
            <w:tcBorders>
              <w:left w:val="nil"/>
            </w:tcBorders>
          </w:tcPr>
          <w:p w14:paraId="06797302"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2.4.3</w:t>
            </w:r>
          </w:p>
        </w:tc>
        <w:tc>
          <w:tcPr>
            <w:tcW w:w="8783" w:type="dxa"/>
            <w:vAlign w:val="bottom"/>
          </w:tcPr>
          <w:p w14:paraId="7C3DB774" w14:textId="07DC1995"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Rritja e kapaciteteve të punonjësve të QTT</w:t>
            </w:r>
            <w:r w:rsidR="00E80EDA">
              <w:rPr>
                <w:rFonts w:ascii="Garamond" w:eastAsia="Times New Roman" w:hAnsi="Garamond"/>
                <w:sz w:val="20"/>
              </w:rPr>
              <w:t>-së</w:t>
            </w:r>
            <w:r w:rsidRPr="00E266CD">
              <w:rPr>
                <w:rFonts w:ascii="Garamond" w:eastAsia="Times New Roman" w:hAnsi="Garamond"/>
                <w:sz w:val="20"/>
              </w:rPr>
              <w:t xml:space="preserve"> mbi shkrimin e projekteve</w:t>
            </w:r>
          </w:p>
        </w:tc>
      </w:tr>
      <w:tr w:rsidR="007959B4" w:rsidRPr="00E266CD" w14:paraId="75B44CDD" w14:textId="77777777" w:rsidTr="007003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5" w:type="dxa"/>
            <w:tcBorders>
              <w:left w:val="nil"/>
            </w:tcBorders>
          </w:tcPr>
          <w:p w14:paraId="1EA7AE83"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2.4.4</w:t>
            </w:r>
          </w:p>
        </w:tc>
        <w:tc>
          <w:tcPr>
            <w:tcW w:w="8783" w:type="dxa"/>
            <w:vAlign w:val="bottom"/>
          </w:tcPr>
          <w:p w14:paraId="21DEA6DE" w14:textId="12506733"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Nxitja </w:t>
            </w:r>
            <w:r w:rsidR="00E80EDA">
              <w:rPr>
                <w:rFonts w:ascii="Garamond" w:eastAsia="Times New Roman" w:hAnsi="Garamond"/>
                <w:sz w:val="20"/>
              </w:rPr>
              <w:t xml:space="preserve">e </w:t>
            </w:r>
            <w:r w:rsidRPr="00E266CD">
              <w:rPr>
                <w:rFonts w:ascii="Garamond" w:eastAsia="Times New Roman" w:hAnsi="Garamond"/>
                <w:sz w:val="20"/>
              </w:rPr>
              <w:t>bashkëpunimit midis QTT</w:t>
            </w:r>
            <w:r w:rsidR="00E80EDA">
              <w:rPr>
                <w:rFonts w:ascii="Garamond" w:eastAsia="Times New Roman" w:hAnsi="Garamond"/>
                <w:sz w:val="20"/>
              </w:rPr>
              <w:t>-së</w:t>
            </w:r>
            <w:r w:rsidRPr="00E266CD">
              <w:rPr>
                <w:rFonts w:ascii="Garamond" w:eastAsia="Times New Roman" w:hAnsi="Garamond"/>
                <w:sz w:val="20"/>
              </w:rPr>
              <w:t xml:space="preserve"> dhe IAL</w:t>
            </w:r>
            <w:r w:rsidR="00E80EDA">
              <w:rPr>
                <w:rFonts w:ascii="Garamond" w:eastAsia="Times New Roman" w:hAnsi="Garamond"/>
                <w:sz w:val="20"/>
              </w:rPr>
              <w:t>-ve</w:t>
            </w:r>
            <w:r w:rsidRPr="00E266CD">
              <w:rPr>
                <w:rFonts w:ascii="Garamond" w:eastAsia="Times New Roman" w:hAnsi="Garamond"/>
                <w:sz w:val="20"/>
              </w:rPr>
              <w:t xml:space="preserve"> përmes projekteve të përbashkëta</w:t>
            </w:r>
          </w:p>
        </w:tc>
      </w:tr>
    </w:tbl>
    <w:p w14:paraId="20F5BFA9" w14:textId="218EDA09" w:rsidR="007959B4" w:rsidRPr="00E266CD" w:rsidRDefault="007959B4" w:rsidP="00F668D9">
      <w:pPr>
        <w:pStyle w:val="TEKSTIIII"/>
        <w:rPr>
          <w:i/>
          <w:sz w:val="20"/>
          <w:szCs w:val="20"/>
        </w:rPr>
      </w:pPr>
      <w:r w:rsidRPr="00E266CD">
        <w:rPr>
          <w:i/>
          <w:sz w:val="20"/>
          <w:szCs w:val="20"/>
        </w:rPr>
        <w:t xml:space="preserve">Tabela </w:t>
      </w:r>
      <w:r w:rsidR="00B65BFD" w:rsidRPr="00E266CD">
        <w:rPr>
          <w:i/>
          <w:sz w:val="20"/>
          <w:szCs w:val="20"/>
        </w:rPr>
        <w:t>n</w:t>
      </w:r>
      <w:r w:rsidRPr="00E266CD">
        <w:rPr>
          <w:i/>
          <w:sz w:val="20"/>
          <w:szCs w:val="20"/>
        </w:rPr>
        <w:t>r.</w:t>
      </w:r>
      <w:r w:rsidR="00B65BFD" w:rsidRPr="00E266CD">
        <w:rPr>
          <w:i/>
          <w:sz w:val="20"/>
          <w:szCs w:val="20"/>
        </w:rPr>
        <w:t xml:space="preserve"> </w:t>
      </w:r>
      <w:r w:rsidRPr="00E266CD">
        <w:rPr>
          <w:i/>
          <w:sz w:val="20"/>
          <w:szCs w:val="20"/>
        </w:rPr>
        <w:t>7</w:t>
      </w:r>
      <w:r w:rsidR="00E80EDA">
        <w:rPr>
          <w:i/>
          <w:sz w:val="20"/>
          <w:szCs w:val="20"/>
        </w:rPr>
        <w:t>:</w:t>
      </w:r>
      <w:r w:rsidRPr="00E266CD">
        <w:rPr>
          <w:i/>
          <w:sz w:val="20"/>
          <w:szCs w:val="20"/>
        </w:rPr>
        <w:t xml:space="preserve"> Lista e masave për arritjen e objektivit specifik 2.4</w:t>
      </w:r>
      <w:r w:rsidR="00E80EDA">
        <w:rPr>
          <w:i/>
          <w:sz w:val="20"/>
          <w:szCs w:val="20"/>
        </w:rPr>
        <w:t>.</w:t>
      </w:r>
    </w:p>
    <w:p w14:paraId="0EC67629" w14:textId="77777777" w:rsidR="007959B4" w:rsidRPr="00E266CD" w:rsidRDefault="007959B4" w:rsidP="00F668D9">
      <w:pPr>
        <w:pStyle w:val="TEKSTIIII"/>
        <w:rPr>
          <w:sz w:val="20"/>
          <w:szCs w:val="20"/>
        </w:rPr>
      </w:pPr>
    </w:p>
    <w:p w14:paraId="6EAFCC79" w14:textId="71F8EB8C" w:rsidR="007959B4" w:rsidRPr="00E266CD" w:rsidRDefault="007959B4" w:rsidP="00F668D9">
      <w:pPr>
        <w:pStyle w:val="TEKSTIIII"/>
      </w:pPr>
      <w:bookmarkStart w:id="81" w:name="_Toc135703198"/>
      <w:r w:rsidRPr="00E266CD">
        <w:rPr>
          <w:b/>
        </w:rPr>
        <w:t>Treguesit kryesorë të rezultateve</w:t>
      </w:r>
      <w:bookmarkEnd w:id="81"/>
      <w:r w:rsidR="00E80EDA">
        <w:rPr>
          <w:b/>
        </w:rPr>
        <w:t>.</w:t>
      </w:r>
      <w:r w:rsidRPr="00E266CD">
        <w:rPr>
          <w:b/>
        </w:rPr>
        <w:t xml:space="preserve"> </w:t>
      </w:r>
      <w:r w:rsidRPr="00E80EDA">
        <w:rPr>
          <w:b/>
        </w:rPr>
        <w:t>Tregues 1:</w:t>
      </w:r>
      <w:r w:rsidRPr="00E266CD">
        <w:t xml:space="preserve"> Përqindja (%) e IAL</w:t>
      </w:r>
      <w:r w:rsidR="00E80EDA">
        <w:t>-ve</w:t>
      </w:r>
      <w:r w:rsidRPr="00E266CD">
        <w:t xml:space="preserve"> që kanë nënshkruar marrëveshje bashkëpunimi me qendrat e transferimit të teknologjisë.</w:t>
      </w:r>
    </w:p>
    <w:p w14:paraId="7673E648" w14:textId="7B2F346F" w:rsidR="007959B4" w:rsidRPr="00E266CD" w:rsidRDefault="007959B4" w:rsidP="00E80EDA">
      <w:pPr>
        <w:pStyle w:val="TEKSTIIII"/>
      </w:pPr>
      <w:r w:rsidRPr="00E80EDA">
        <w:rPr>
          <w:b/>
        </w:rPr>
        <w:t>Tregues 2:</w:t>
      </w:r>
      <w:r w:rsidRPr="00E266CD">
        <w:t xml:space="preserve"> Baza ligjore për mirëfunksionimin e qendrave të transferimit të teknologjisë</w:t>
      </w:r>
      <w:r w:rsidR="00E80EDA">
        <w:t>,</w:t>
      </w:r>
      <w:r w:rsidRPr="00E266CD">
        <w:t xml:space="preserve"> e hartuar dhe miratuar.</w:t>
      </w:r>
    </w:p>
    <w:p w14:paraId="57564F24" w14:textId="58BC5827" w:rsidR="007959B4" w:rsidRPr="00E266CD" w:rsidRDefault="007959B4" w:rsidP="00F668D9">
      <w:pPr>
        <w:pStyle w:val="TEKSTIIII"/>
        <w:rPr>
          <w:b/>
          <w:color w:val="000000"/>
        </w:rPr>
      </w:pPr>
      <w:bookmarkStart w:id="82" w:name="_Toc135703199"/>
      <w:r w:rsidRPr="00E266CD">
        <w:rPr>
          <w:b/>
          <w:color w:val="000000"/>
        </w:rPr>
        <w:t xml:space="preserve">Qëllimi i </w:t>
      </w:r>
      <w:r w:rsidR="00E80EDA">
        <w:rPr>
          <w:b/>
          <w:color w:val="000000"/>
        </w:rPr>
        <w:t>p</w:t>
      </w:r>
      <w:r w:rsidRPr="00E266CD">
        <w:rPr>
          <w:b/>
          <w:color w:val="000000"/>
        </w:rPr>
        <w:t>olitikës 3</w:t>
      </w:r>
      <w:bookmarkEnd w:id="82"/>
    </w:p>
    <w:p w14:paraId="25270301" w14:textId="65090898" w:rsidR="007959B4" w:rsidRPr="00E266CD" w:rsidRDefault="007959B4" w:rsidP="00F668D9">
      <w:pPr>
        <w:pStyle w:val="TEKSTIIII"/>
        <w:rPr>
          <w:b/>
        </w:rPr>
      </w:pPr>
      <w:bookmarkStart w:id="83" w:name="_Toc135703200"/>
      <w:r w:rsidRPr="00E266CD">
        <w:rPr>
          <w:b/>
          <w:color w:val="000000"/>
        </w:rPr>
        <w:t xml:space="preserve">Qëllimi i </w:t>
      </w:r>
      <w:r w:rsidR="00E80EDA">
        <w:rPr>
          <w:b/>
          <w:color w:val="000000"/>
        </w:rPr>
        <w:t>p</w:t>
      </w:r>
      <w:r w:rsidRPr="00E266CD">
        <w:rPr>
          <w:b/>
          <w:color w:val="000000"/>
        </w:rPr>
        <w:t xml:space="preserve">olitikës 3: </w:t>
      </w:r>
      <w:r w:rsidRPr="00E266CD">
        <w:rPr>
          <w:b/>
        </w:rPr>
        <w:t>Promovimi i kulturës s</w:t>
      </w:r>
      <w:r w:rsidR="00E80EDA">
        <w:rPr>
          <w:b/>
        </w:rPr>
        <w:t>ë</w:t>
      </w:r>
      <w:r w:rsidRPr="00E266CD">
        <w:rPr>
          <w:b/>
        </w:rPr>
        <w:t xml:space="preserve"> shkencës dhe inovacionit në edukim</w:t>
      </w:r>
      <w:r w:rsidR="00E80EDA">
        <w:rPr>
          <w:b/>
        </w:rPr>
        <w:t>,</w:t>
      </w:r>
      <w:r w:rsidRPr="00E266CD">
        <w:rPr>
          <w:b/>
        </w:rPr>
        <w:t xml:space="preserve"> për të siguruar një qasje didaktike me theksin në praktikat kërkimore dhe projektet</w:t>
      </w:r>
      <w:bookmarkEnd w:id="83"/>
    </w:p>
    <w:p w14:paraId="64AAF88E" w14:textId="2A478174" w:rsidR="007959B4" w:rsidRPr="00E266CD" w:rsidRDefault="007959B4" w:rsidP="00F668D9">
      <w:pPr>
        <w:pStyle w:val="TEKSTIIII"/>
        <w:rPr>
          <w:rFonts w:eastAsia="Times New Roman"/>
        </w:rPr>
      </w:pPr>
      <w:r w:rsidRPr="00E266CD">
        <w:rPr>
          <w:rFonts w:eastAsia="Times New Roman"/>
        </w:rPr>
        <w:t>Ky qëllim i politikës synohet të realizohet gjatë kohëzgjatjes së zbatimit të strategjisë dhe do të rrisë informacionin e disponueshëm</w:t>
      </w:r>
      <w:r w:rsidR="00E80EDA">
        <w:rPr>
          <w:rFonts w:eastAsia="Times New Roman"/>
        </w:rPr>
        <w:t>,</w:t>
      </w:r>
      <w:r w:rsidRPr="00E266CD">
        <w:rPr>
          <w:rFonts w:eastAsia="Times New Roman"/>
        </w:rPr>
        <w:t xml:space="preserve"> në lidhje me institucionet, mbështetjen financiare apo edhe mundësitë e ofruara nga financimet/bashkëfinancimet e donatorëve</w:t>
      </w:r>
      <w:r w:rsidR="00E80EDA">
        <w:rPr>
          <w:rFonts w:eastAsia="Times New Roman"/>
        </w:rPr>
        <w:t>,</w:t>
      </w:r>
      <w:r w:rsidRPr="00E266CD">
        <w:rPr>
          <w:rFonts w:eastAsia="Times New Roman"/>
        </w:rPr>
        <w:t xml:space="preserve"> qoftë për ekspertët e fushës ashtu edhe për të rinjtë në arsimin parauniversitar apo edhe ata në arsimin e lartë. Aktualisht mund të thuhet se në sektorin e arsimit të lartë është rritur ndjeshëm informacioni dhe transparenca që u jepet aktorëve kryesorë në arsimin e lartë, por në arsimin parauniversitar ka të dhëna që të rinjtë nuk kanë informacion të mjaftueshëm dhe shpesh herë edhe të nevojshëm</w:t>
      </w:r>
      <w:r w:rsidR="00E80EDA">
        <w:rPr>
          <w:rFonts w:eastAsia="Times New Roman"/>
        </w:rPr>
        <w:t>,</w:t>
      </w:r>
      <w:r w:rsidRPr="00E266CD">
        <w:rPr>
          <w:rFonts w:eastAsia="Times New Roman"/>
        </w:rPr>
        <w:t xml:space="preserve"> në lidhje me inovacionin dhe pjesëmarrjen në projekte të ndryshme. Ka disa përpjekje për krijimin e rrjeteve të grave dhe vajzave në STEM, si ai i financuar nga Ambasada Amerikane nëpërmjet granteve </w:t>
      </w:r>
      <w:r w:rsidR="00BF1624" w:rsidRPr="00E266CD">
        <w:rPr>
          <w:rFonts w:eastAsia="Times New Roman"/>
        </w:rPr>
        <w:t>të</w:t>
      </w:r>
      <w:r w:rsidRPr="00E266CD">
        <w:rPr>
          <w:rFonts w:eastAsia="Times New Roman"/>
        </w:rPr>
        <w:t xml:space="preserve"> vogla. Rrjeti përbëhet kryesisht nga pedagogë të fakulteteve që ofrojnë programe studimi në IT dhe </w:t>
      </w:r>
      <w:r w:rsidR="00E80EDA">
        <w:rPr>
          <w:rFonts w:eastAsia="Times New Roman"/>
        </w:rPr>
        <w:t>i</w:t>
      </w:r>
      <w:r w:rsidRPr="00E266CD">
        <w:rPr>
          <w:rFonts w:eastAsia="Times New Roman"/>
        </w:rPr>
        <w:t>nxhinieri</w:t>
      </w:r>
      <w:r w:rsidR="00E80EDA">
        <w:rPr>
          <w:rFonts w:eastAsia="Times New Roman"/>
        </w:rPr>
        <w:t>,</w:t>
      </w:r>
      <w:r w:rsidRPr="00E266CD">
        <w:rPr>
          <w:rFonts w:eastAsia="Times New Roman"/>
        </w:rPr>
        <w:t xml:space="preserve"> dhe ata punojnë kryesisht me vajzat e shkollave </w:t>
      </w:r>
      <w:r w:rsidR="00BF1624" w:rsidRPr="00E266CD">
        <w:rPr>
          <w:rFonts w:eastAsia="Times New Roman"/>
        </w:rPr>
        <w:t>të</w:t>
      </w:r>
      <w:r w:rsidRPr="00E266CD">
        <w:rPr>
          <w:rFonts w:eastAsia="Times New Roman"/>
        </w:rPr>
        <w:t xml:space="preserve"> mesme për rritjen e interesit </w:t>
      </w:r>
      <w:r w:rsidR="00BF1624" w:rsidRPr="00E266CD">
        <w:rPr>
          <w:rFonts w:eastAsia="Times New Roman"/>
        </w:rPr>
        <w:t>të</w:t>
      </w:r>
      <w:r w:rsidRPr="00E266CD">
        <w:rPr>
          <w:rFonts w:eastAsia="Times New Roman"/>
        </w:rPr>
        <w:t xml:space="preserve"> vajzave n</w:t>
      </w:r>
      <w:r w:rsidR="00BF1624" w:rsidRPr="00E266CD">
        <w:rPr>
          <w:rFonts w:eastAsia="Times New Roman"/>
        </w:rPr>
        <w:t>ë</w:t>
      </w:r>
      <w:r w:rsidRPr="00E266CD">
        <w:rPr>
          <w:rFonts w:eastAsia="Times New Roman"/>
        </w:rPr>
        <w:t xml:space="preserve"> l</w:t>
      </w:r>
      <w:r w:rsidR="00BF1624" w:rsidRPr="00E266CD">
        <w:rPr>
          <w:rFonts w:eastAsia="Times New Roman"/>
        </w:rPr>
        <w:t>ë</w:t>
      </w:r>
      <w:r w:rsidRPr="00E266CD">
        <w:rPr>
          <w:rFonts w:eastAsia="Times New Roman"/>
        </w:rPr>
        <w:t>nd</w:t>
      </w:r>
      <w:r w:rsidR="00BF1624" w:rsidRPr="00E266CD">
        <w:rPr>
          <w:rFonts w:eastAsia="Times New Roman"/>
        </w:rPr>
        <w:t>ë</w:t>
      </w:r>
      <w:r w:rsidRPr="00E266CD">
        <w:rPr>
          <w:rFonts w:eastAsia="Times New Roman"/>
        </w:rPr>
        <w:t>t matematike, fizik</w:t>
      </w:r>
      <w:r w:rsidR="00BF1624" w:rsidRPr="00E266CD">
        <w:rPr>
          <w:rFonts w:eastAsia="Times New Roman"/>
        </w:rPr>
        <w:t>ë</w:t>
      </w:r>
      <w:r w:rsidRPr="00E266CD">
        <w:rPr>
          <w:rFonts w:eastAsia="Times New Roman"/>
        </w:rPr>
        <w:t xml:space="preserve">, kimi etj. Promovimi do </w:t>
      </w:r>
      <w:r w:rsidR="00E80EDA">
        <w:rPr>
          <w:rFonts w:eastAsia="Times New Roman"/>
        </w:rPr>
        <w:t xml:space="preserve">të </w:t>
      </w:r>
      <w:r w:rsidRPr="00E266CD">
        <w:rPr>
          <w:rFonts w:eastAsia="Times New Roman"/>
        </w:rPr>
        <w:t>realizohet nëpërmjet realizimit me sukses të objektivave të mëposhtëm</w:t>
      </w:r>
    </w:p>
    <w:p w14:paraId="0E0E4C76" w14:textId="3D194ABC" w:rsidR="007959B4" w:rsidRPr="00E266CD" w:rsidRDefault="007959B4" w:rsidP="00F668D9">
      <w:pPr>
        <w:pStyle w:val="TEKSTIIII"/>
        <w:rPr>
          <w:rFonts w:eastAsia="Times New Roman"/>
        </w:rPr>
      </w:pPr>
      <w:r w:rsidRPr="00E266CD">
        <w:rPr>
          <w:rFonts w:eastAsia="Times New Roman"/>
          <w:b/>
        </w:rPr>
        <w:t xml:space="preserve">Objektivi </w:t>
      </w:r>
      <w:r w:rsidR="00E80EDA">
        <w:rPr>
          <w:rFonts w:eastAsia="Times New Roman"/>
          <w:b/>
        </w:rPr>
        <w:t>s</w:t>
      </w:r>
      <w:r w:rsidRPr="00E266CD">
        <w:rPr>
          <w:rFonts w:eastAsia="Times New Roman"/>
          <w:b/>
        </w:rPr>
        <w:t>pecifik 1:</w:t>
      </w:r>
      <w:r w:rsidRPr="00E266CD">
        <w:rPr>
          <w:rFonts w:eastAsia="Times New Roman"/>
        </w:rPr>
        <w:t xml:space="preserve"> Reformimi i kurrikulës së shkencës në arsimi</w:t>
      </w:r>
      <w:r w:rsidR="00E80EDA">
        <w:rPr>
          <w:rFonts w:eastAsia="Times New Roman"/>
        </w:rPr>
        <w:t>n</w:t>
      </w:r>
      <w:r w:rsidRPr="00E266CD">
        <w:rPr>
          <w:rFonts w:eastAsia="Times New Roman"/>
        </w:rPr>
        <w:t xml:space="preserve"> parauniversitar duke përfshirë STEM</w:t>
      </w:r>
      <w:r w:rsidR="00E80EDA">
        <w:rPr>
          <w:rFonts w:eastAsia="Times New Roman"/>
        </w:rPr>
        <w:t>-in</w:t>
      </w:r>
      <w:r w:rsidRPr="00E266CD">
        <w:rPr>
          <w:rFonts w:eastAsia="Times New Roman"/>
        </w:rPr>
        <w:t xml:space="preserve"> në edukim.</w:t>
      </w:r>
    </w:p>
    <w:p w14:paraId="5597FB6B" w14:textId="4D1E649A" w:rsidR="007959B4" w:rsidRPr="00E266CD" w:rsidRDefault="007959B4" w:rsidP="00F668D9">
      <w:pPr>
        <w:pStyle w:val="TEKSTIIII"/>
        <w:rPr>
          <w:rFonts w:eastAsia="Times New Roman"/>
        </w:rPr>
      </w:pPr>
      <w:r w:rsidRPr="00E266CD">
        <w:rPr>
          <w:rFonts w:eastAsia="Times New Roman"/>
          <w:b/>
        </w:rPr>
        <w:t xml:space="preserve">Objektivi </w:t>
      </w:r>
      <w:r w:rsidR="00E80EDA">
        <w:rPr>
          <w:rFonts w:eastAsia="Times New Roman"/>
          <w:b/>
        </w:rPr>
        <w:t>s</w:t>
      </w:r>
      <w:r w:rsidRPr="00E266CD">
        <w:rPr>
          <w:rFonts w:eastAsia="Times New Roman"/>
          <w:b/>
        </w:rPr>
        <w:t>pecifik 2:</w:t>
      </w:r>
      <w:r w:rsidRPr="00E266CD">
        <w:rPr>
          <w:rFonts w:eastAsia="Times New Roman"/>
        </w:rPr>
        <w:t xml:space="preserve"> Sensibilizimi në të gjitha nivelet e edukimit parauniversitar, për fuqizimin e rolit të të rinjve në kërkim dhe inovacion.</w:t>
      </w:r>
    </w:p>
    <w:p w14:paraId="42952CAF" w14:textId="14E0E6E1" w:rsidR="007959B4" w:rsidRPr="00E266CD" w:rsidRDefault="007959B4" w:rsidP="00F668D9">
      <w:pPr>
        <w:pStyle w:val="TEKSTIIII"/>
        <w:rPr>
          <w:rFonts w:eastAsia="Times New Roman"/>
        </w:rPr>
      </w:pPr>
      <w:r w:rsidRPr="00E266CD">
        <w:rPr>
          <w:rFonts w:eastAsia="Times New Roman"/>
          <w:b/>
        </w:rPr>
        <w:t xml:space="preserve">Objektivi </w:t>
      </w:r>
      <w:r w:rsidR="00E80EDA">
        <w:rPr>
          <w:rFonts w:eastAsia="Times New Roman"/>
          <w:b/>
        </w:rPr>
        <w:t>s</w:t>
      </w:r>
      <w:r w:rsidRPr="00E266CD">
        <w:rPr>
          <w:rFonts w:eastAsia="Times New Roman"/>
          <w:b/>
        </w:rPr>
        <w:t>pecifik 3</w:t>
      </w:r>
      <w:r w:rsidRPr="00E266CD">
        <w:rPr>
          <w:rFonts w:eastAsia="Times New Roman"/>
        </w:rPr>
        <w:t>: Zhvillimi i kompetencës digjitale.</w:t>
      </w:r>
    </w:p>
    <w:p w14:paraId="6FE0163B" w14:textId="7EB35A68" w:rsidR="007959B4" w:rsidRPr="00E266CD" w:rsidRDefault="007959B4" w:rsidP="00F668D9">
      <w:pPr>
        <w:pStyle w:val="TEKSTIIII"/>
        <w:rPr>
          <w:rFonts w:eastAsia="Times New Roman"/>
        </w:rPr>
      </w:pPr>
      <w:r w:rsidRPr="00E266CD">
        <w:rPr>
          <w:rFonts w:eastAsia="Times New Roman"/>
        </w:rPr>
        <w:t>Institucionet përgjegjëse drejtuese janë MAS, ASCAP, AKSHI</w:t>
      </w:r>
    </w:p>
    <w:p w14:paraId="02C1BB6A" w14:textId="2B8ECDA7" w:rsidR="007959B4" w:rsidRPr="00E266CD" w:rsidRDefault="007959B4" w:rsidP="007F1D8B">
      <w:pPr>
        <w:pStyle w:val="TEKSTIIII"/>
        <w:rPr>
          <w:color w:val="000000" w:themeColor="text1"/>
        </w:rPr>
      </w:pPr>
      <w:r w:rsidRPr="00E266CD">
        <w:rPr>
          <w:color w:val="000000" w:themeColor="text1"/>
        </w:rPr>
        <w:t xml:space="preserve">Ndërkohë institucionet kryesore pjesëmarrëse janë MFE, AKKSHI, ASCAP, DPPI, NJQV Programet kryesore buxhetore, fondet e të cilëve do </w:t>
      </w:r>
      <w:r w:rsidR="00E80EDA">
        <w:rPr>
          <w:color w:val="000000" w:themeColor="text1"/>
        </w:rPr>
        <w:t xml:space="preserve">të </w:t>
      </w:r>
      <w:r w:rsidRPr="00E266CD">
        <w:rPr>
          <w:color w:val="000000" w:themeColor="text1"/>
        </w:rPr>
        <w:t>kontribuojnë drejtpërdrejtë në realizimin e qëllimit janë:</w:t>
      </w:r>
    </w:p>
    <w:p w14:paraId="5D3F8D39" w14:textId="3DE93D8D" w:rsidR="007959B4" w:rsidRPr="00E266CD" w:rsidRDefault="007959B4" w:rsidP="007F1D8B">
      <w:pPr>
        <w:pStyle w:val="TEKSTIIII"/>
      </w:pPr>
      <w:r w:rsidRPr="00E266CD">
        <w:rPr>
          <w:b/>
        </w:rPr>
        <w:t>Ministria e Financave dhe Ekonomisë -</w:t>
      </w:r>
      <w:r w:rsidRPr="00E266CD">
        <w:t xml:space="preserve"> 09240</w:t>
      </w:r>
      <w:r w:rsidRPr="00E266CD">
        <w:tab/>
        <w:t>Arsimi i</w:t>
      </w:r>
      <w:r w:rsidR="007715D0" w:rsidRPr="00E266CD">
        <w:t xml:space="preserve"> </w:t>
      </w:r>
      <w:r w:rsidR="00E80EDA">
        <w:t>m</w:t>
      </w:r>
      <w:r w:rsidRPr="00E266CD">
        <w:t>esëm (profesional)</w:t>
      </w:r>
    </w:p>
    <w:p w14:paraId="782799B5" w14:textId="6B70696E" w:rsidR="007F1D8B" w:rsidRPr="00E266CD" w:rsidRDefault="007959B4" w:rsidP="00B65BFD">
      <w:pPr>
        <w:pStyle w:val="TEKSTIIII"/>
      </w:pPr>
      <w:r w:rsidRPr="00E266CD">
        <w:rPr>
          <w:b/>
        </w:rPr>
        <w:t>Ministria e Arsimit dhe Sporteve</w:t>
      </w:r>
      <w:r w:rsidRPr="00E266CD">
        <w:t xml:space="preserve"> </w:t>
      </w:r>
      <w:r w:rsidR="007003CA" w:rsidRPr="00E266CD">
        <w:t>–</w:t>
      </w:r>
      <w:r w:rsidRPr="00E266CD">
        <w:t xml:space="preserve"> 09120</w:t>
      </w:r>
      <w:r w:rsidR="007003CA" w:rsidRPr="00E266CD">
        <w:t xml:space="preserve"> </w:t>
      </w:r>
      <w:r w:rsidRPr="00E266CD">
        <w:t xml:space="preserve">Arsimi </w:t>
      </w:r>
      <w:r w:rsidR="00E80EDA">
        <w:t>b</w:t>
      </w:r>
      <w:r w:rsidRPr="00E266CD">
        <w:t>azë (përfshirë parashkollorin), 09230</w:t>
      </w:r>
      <w:r w:rsidR="007715D0" w:rsidRPr="00E266CD">
        <w:t xml:space="preserve"> </w:t>
      </w:r>
      <w:r w:rsidRPr="00E266CD">
        <w:t xml:space="preserve">Arsimi i </w:t>
      </w:r>
      <w:r w:rsidR="00E80EDA">
        <w:t>m</w:t>
      </w:r>
      <w:r w:rsidRPr="00E266CD">
        <w:t xml:space="preserve">esëm (i përgjithshëm), 09770 Fonde për </w:t>
      </w:r>
      <w:r w:rsidR="00E80EDA">
        <w:t>s</w:t>
      </w:r>
      <w:r w:rsidRPr="00E266CD">
        <w:t>hkencën</w:t>
      </w:r>
      <w:bookmarkStart w:id="84" w:name="_Toc135703201"/>
    </w:p>
    <w:p w14:paraId="24BECB88" w14:textId="59430267" w:rsidR="007959B4" w:rsidRPr="00E266CD" w:rsidRDefault="007959B4" w:rsidP="00B65BFD">
      <w:pPr>
        <w:pStyle w:val="TEKSTIIII"/>
        <w:rPr>
          <w:b/>
        </w:rPr>
      </w:pPr>
      <w:r w:rsidRPr="00E266CD">
        <w:rPr>
          <w:b/>
        </w:rPr>
        <w:t xml:space="preserve">Objektivi </w:t>
      </w:r>
      <w:r w:rsidR="00E80EDA">
        <w:rPr>
          <w:b/>
        </w:rPr>
        <w:t>s</w:t>
      </w:r>
      <w:r w:rsidRPr="00E266CD">
        <w:rPr>
          <w:b/>
        </w:rPr>
        <w:t>pecifik 3.1: Reformimi i kurrikulës së shkencës në arsimi</w:t>
      </w:r>
      <w:r w:rsidR="00E80EDA">
        <w:rPr>
          <w:b/>
        </w:rPr>
        <w:t>n</w:t>
      </w:r>
      <w:r w:rsidR="007715D0" w:rsidRPr="00E266CD">
        <w:rPr>
          <w:b/>
        </w:rPr>
        <w:t xml:space="preserve"> </w:t>
      </w:r>
      <w:r w:rsidRPr="00E266CD">
        <w:rPr>
          <w:b/>
        </w:rPr>
        <w:t>parauniversitar</w:t>
      </w:r>
      <w:r w:rsidR="00E80EDA">
        <w:rPr>
          <w:b/>
        </w:rPr>
        <w:t xml:space="preserve"> </w:t>
      </w:r>
      <w:r w:rsidRPr="00E266CD">
        <w:rPr>
          <w:b/>
        </w:rPr>
        <w:t>duke përfshire STEM</w:t>
      </w:r>
      <w:r w:rsidR="00E80EDA">
        <w:rPr>
          <w:b/>
        </w:rPr>
        <w:t>-in</w:t>
      </w:r>
      <w:r w:rsidRPr="00E266CD">
        <w:rPr>
          <w:b/>
        </w:rPr>
        <w:t xml:space="preserve"> në edukim.</w:t>
      </w:r>
      <w:bookmarkEnd w:id="84"/>
    </w:p>
    <w:p w14:paraId="4692F021" w14:textId="33A5C38C" w:rsidR="007959B4" w:rsidRPr="00E266CD" w:rsidRDefault="007959B4" w:rsidP="007F1D8B">
      <w:pPr>
        <w:pStyle w:val="TEKSTIIII"/>
        <w:rPr>
          <w:b/>
        </w:rPr>
      </w:pPr>
      <w:bookmarkStart w:id="85" w:name="_Toc135703202"/>
      <w:r w:rsidRPr="00E266CD">
        <w:rPr>
          <w:b/>
        </w:rPr>
        <w:t xml:space="preserve">Analiza e </w:t>
      </w:r>
      <w:r w:rsidR="00E80EDA" w:rsidRPr="00E266CD">
        <w:rPr>
          <w:b/>
        </w:rPr>
        <w:t>situatës dhe sfidat</w:t>
      </w:r>
      <w:bookmarkEnd w:id="85"/>
    </w:p>
    <w:p w14:paraId="0E130605" w14:textId="6E4F682A" w:rsidR="007959B4" w:rsidRPr="00E266CD" w:rsidRDefault="007959B4" w:rsidP="007F1D8B">
      <w:pPr>
        <w:pStyle w:val="TEKSTIIII"/>
      </w:pPr>
      <w:r w:rsidRPr="00E266CD">
        <w:t>Aktualisht në arsimin parauniversitar janë bërë përpjekje që në lëndë jashtëkurrikulare të përfshihen element</w:t>
      </w:r>
      <w:r w:rsidR="00E80EDA">
        <w:t>e</w:t>
      </w:r>
      <w:r w:rsidRPr="00E266CD">
        <w:t xml:space="preserve"> të cil</w:t>
      </w:r>
      <w:r w:rsidR="00E80EDA">
        <w:t>a</w:t>
      </w:r>
      <w:r w:rsidRPr="00E266CD">
        <w:t>t japin informacion në lidhje me praktikat kërkimore dhe projektet. Megjithatë</w:t>
      </w:r>
      <w:r w:rsidR="00E80EDA">
        <w:t>,</w:t>
      </w:r>
      <w:r w:rsidRPr="00E266CD">
        <w:t xml:space="preserve"> vihet re se nuk ka një modul apo një lëndë të mirëfilltë për praktikat kërkimore dhe projektet. Për këtë arsye synohet që të reformohen kurrikulat dhe të përçohet më shumë informacion, në fazat më të hershme të mundshme, tek të rinjtë dhe të rejat. Për vitin shkollor 2022</w:t>
      </w:r>
      <w:r w:rsidR="007003CA" w:rsidRPr="00E266CD">
        <w:t>–</w:t>
      </w:r>
      <w:r w:rsidRPr="00E266CD">
        <w:t xml:space="preserve">2023 ka nisur pilotimi i lëndës së TIK-ut që nga klasa e parë në 100 shkolla pilot, në të cilat janë ndërtuar </w:t>
      </w:r>
      <w:r w:rsidR="003419BA">
        <w:t>l</w:t>
      </w:r>
      <w:r w:rsidRPr="00E266CD">
        <w:t xml:space="preserve">aboratorët </w:t>
      </w:r>
      <w:r w:rsidR="003419BA">
        <w:rPr>
          <w:i/>
        </w:rPr>
        <w:t>s</w:t>
      </w:r>
      <w:r w:rsidRPr="00E266CD">
        <w:rPr>
          <w:i/>
        </w:rPr>
        <w:t>mart</w:t>
      </w:r>
      <w:r w:rsidRPr="00E266CD">
        <w:t>. Në këtë kuadër është miratuar programi mësimor i lëndës së TIK-ut për klasën e parë dhe është rishikuar plani mësimor i arsimit bazë për të përfshirë lëndën e re “TIK” si lëndë me zgjedhje për klasat I</w:t>
      </w:r>
      <w:r w:rsidR="003419BA">
        <w:t>–</w:t>
      </w:r>
      <w:r w:rsidRPr="00E266CD">
        <w:t>III. Në terma afatgjatë, programi synon transformimin e sistemit të mësimdhënies së TIK-ut në kurrikulat parauniversitare nga klasa e I</w:t>
      </w:r>
      <w:r w:rsidR="003419BA">
        <w:t>–</w:t>
      </w:r>
      <w:r w:rsidRPr="00E266CD">
        <w:t>XII, përmes kurrikulave të përditësuara, trajnimit të mësuesve dhe pajisjes së ambienteve shkollore me infrastrukturën e nevojshme për të kryer mësimdhënien cilësore të kësaj lënde. Gjithashtu, synohet përhapja sa më shpejt në rreth 1,200 shkolla në të gjithë vendin,</w:t>
      </w:r>
      <w:r w:rsidR="007715D0" w:rsidRPr="00E266CD">
        <w:t xml:space="preserve"> </w:t>
      </w:r>
      <w:r w:rsidRPr="00E266CD">
        <w:t xml:space="preserve">duke i pajisur me </w:t>
      </w:r>
      <w:r w:rsidRPr="00E266CD">
        <w:rPr>
          <w:i/>
        </w:rPr>
        <w:t>smartlabs</w:t>
      </w:r>
      <w:r w:rsidRPr="00E266CD">
        <w:t xml:space="preserve"> dhe zbatuar përdorimin e kurrikulave të reja apo të përditësuara.</w:t>
      </w:r>
    </w:p>
    <w:p w14:paraId="0ADAB41A" w14:textId="1FAEA6DC" w:rsidR="007959B4" w:rsidRPr="00E266CD" w:rsidRDefault="007959B4" w:rsidP="007F1D8B">
      <w:pPr>
        <w:pStyle w:val="TEKSTIIII"/>
      </w:pPr>
      <w:bookmarkStart w:id="86" w:name="_Toc135703203"/>
      <w:r w:rsidRPr="00E266CD">
        <w:t>Rezultatet që pritet të arrihen përmes zbatimit të masave që lidhen me objektivin specifik</w:t>
      </w:r>
      <w:bookmarkEnd w:id="86"/>
      <w:r w:rsidR="003419BA">
        <w:t>:</w:t>
      </w:r>
    </w:p>
    <w:p w14:paraId="033C0B76" w14:textId="6E27FFB0" w:rsidR="007959B4" w:rsidRPr="00E266CD" w:rsidRDefault="007F1D8B" w:rsidP="007F1D8B">
      <w:pPr>
        <w:pStyle w:val="TEKSTIIII"/>
        <w:rPr>
          <w:rFonts w:eastAsia="Times New Roman"/>
        </w:rPr>
      </w:pPr>
      <w:r w:rsidRPr="00E266CD">
        <w:rPr>
          <w:rFonts w:eastAsia="Times New Roman"/>
          <w:bCs/>
        </w:rPr>
        <w:t xml:space="preserve">- </w:t>
      </w:r>
      <w:r w:rsidR="007959B4" w:rsidRPr="00E266CD">
        <w:rPr>
          <w:rFonts w:eastAsia="Times New Roman"/>
          <w:bCs/>
        </w:rPr>
        <w:t>L</w:t>
      </w:r>
      <w:r w:rsidR="007959B4" w:rsidRPr="00E266CD">
        <w:rPr>
          <w:rFonts w:eastAsia="Times New Roman"/>
        </w:rPr>
        <w:t>ëndë të reja që kanë të bëjnë me shkrimin akademik dhe shkrimin e projekteve të përgatitura</w:t>
      </w:r>
      <w:r w:rsidR="003419BA">
        <w:rPr>
          <w:rFonts w:eastAsia="Times New Roman"/>
        </w:rPr>
        <w:t>;</w:t>
      </w:r>
    </w:p>
    <w:p w14:paraId="0B189CF7" w14:textId="462AEDE8" w:rsidR="007959B4" w:rsidRPr="00E266CD" w:rsidRDefault="007F1D8B" w:rsidP="007003CA">
      <w:pPr>
        <w:pStyle w:val="TEKSTIIII"/>
        <w:rPr>
          <w:rFonts w:eastAsia="Times New Roman"/>
        </w:rPr>
      </w:pPr>
      <w:r w:rsidRPr="00E266CD">
        <w:rPr>
          <w:rFonts w:eastAsia="Times New Roman"/>
          <w:bCs/>
        </w:rPr>
        <w:t xml:space="preserve">- </w:t>
      </w:r>
      <w:r w:rsidR="007959B4" w:rsidRPr="00E266CD">
        <w:rPr>
          <w:rFonts w:eastAsia="Times New Roman"/>
          <w:bCs/>
        </w:rPr>
        <w:t>S</w:t>
      </w:r>
      <w:r w:rsidR="007959B4" w:rsidRPr="00E266CD">
        <w:rPr>
          <w:rFonts w:eastAsia="Times New Roman"/>
        </w:rPr>
        <w:t>taf mësimor i përgatitur.</w:t>
      </w:r>
    </w:p>
    <w:p w14:paraId="4A4A6A8D" w14:textId="41A044D6" w:rsidR="007959B4" w:rsidRPr="001E1C90" w:rsidRDefault="007959B4" w:rsidP="007F1D8B">
      <w:pPr>
        <w:pStyle w:val="TEKSTIIII"/>
      </w:pPr>
      <w:bookmarkStart w:id="87" w:name="_Toc135703204"/>
      <w:r w:rsidRPr="001E1C90">
        <w:t>Institucionet përgjegjëse drejtuese</w:t>
      </w:r>
      <w:bookmarkEnd w:id="87"/>
      <w:r w:rsidR="001E1C90">
        <w:t>:</w:t>
      </w:r>
    </w:p>
    <w:p w14:paraId="23E66D41" w14:textId="3D21E6DA" w:rsidR="007959B4" w:rsidRPr="00E266CD" w:rsidRDefault="007959B4" w:rsidP="007F1D8B">
      <w:pPr>
        <w:pStyle w:val="TEKSTIIII"/>
        <w:rPr>
          <w:rFonts w:eastAsia="Times New Roman"/>
        </w:rPr>
      </w:pPr>
      <w:r w:rsidRPr="00E266CD">
        <w:rPr>
          <w:rFonts w:eastAsia="Times New Roman"/>
        </w:rPr>
        <w:t xml:space="preserve">MAS me programet buxhetore </w:t>
      </w:r>
      <w:r w:rsidR="003419BA" w:rsidRPr="00E266CD">
        <w:rPr>
          <w:rFonts w:eastAsia="Times New Roman"/>
        </w:rPr>
        <w:t xml:space="preserve">arsimi bazë </w:t>
      </w:r>
      <w:r w:rsidRPr="00E266CD">
        <w:rPr>
          <w:rFonts w:eastAsia="Times New Roman"/>
        </w:rPr>
        <w:t xml:space="preserve">(përfshirë parashkollorin) dhe </w:t>
      </w:r>
      <w:r w:rsidR="003419BA" w:rsidRPr="00E266CD">
        <w:rPr>
          <w:rFonts w:eastAsia="Times New Roman"/>
        </w:rPr>
        <w:t xml:space="preserve">arsimi i mesëm </w:t>
      </w:r>
      <w:r w:rsidRPr="00E266CD">
        <w:rPr>
          <w:rFonts w:eastAsia="Times New Roman"/>
        </w:rPr>
        <w:t>(i përgjithshëm)</w:t>
      </w:r>
    </w:p>
    <w:p w14:paraId="59FA1BC5" w14:textId="3C7DA5BA" w:rsidR="007959B4" w:rsidRPr="001E1C90" w:rsidRDefault="007959B4" w:rsidP="007F1D8B">
      <w:pPr>
        <w:pStyle w:val="TEKSTIIII"/>
      </w:pPr>
      <w:bookmarkStart w:id="88" w:name="_Toc135703205"/>
      <w:r w:rsidRPr="001E1C90">
        <w:t>Institucionet kryesore pjesëmarrëse</w:t>
      </w:r>
      <w:bookmarkEnd w:id="88"/>
      <w:r w:rsidR="001E1C90">
        <w:t>:</w:t>
      </w:r>
    </w:p>
    <w:p w14:paraId="6B084781" w14:textId="1BE18C47" w:rsidR="007959B4" w:rsidRPr="00E266CD" w:rsidRDefault="007959B4" w:rsidP="007F1D8B">
      <w:pPr>
        <w:pStyle w:val="TEKSTIIII"/>
        <w:rPr>
          <w:rFonts w:eastAsia="Times New Roman"/>
        </w:rPr>
      </w:pPr>
      <w:r w:rsidRPr="00E266CD">
        <w:rPr>
          <w:rFonts w:eastAsia="Times New Roman"/>
        </w:rPr>
        <w:t xml:space="preserve">AKKSHI (Fonde për Shkencën), ASCAP, MFE me programin buxhetor </w:t>
      </w:r>
      <w:r w:rsidR="003419BA" w:rsidRPr="00E266CD">
        <w:rPr>
          <w:rFonts w:eastAsia="Times New Roman"/>
        </w:rPr>
        <w:t xml:space="preserve">arsimi i mesëm </w:t>
      </w:r>
      <w:r w:rsidRPr="00E266CD">
        <w:rPr>
          <w:rFonts w:eastAsia="Times New Roman"/>
        </w:rPr>
        <w:t>(profesional)</w:t>
      </w:r>
    </w:p>
    <w:p w14:paraId="37AC1221" w14:textId="375AF07D" w:rsidR="007959B4" w:rsidRPr="00E266CD" w:rsidRDefault="007959B4" w:rsidP="007F1D8B">
      <w:pPr>
        <w:pStyle w:val="TEKSTIIII"/>
        <w:rPr>
          <w:b/>
        </w:rPr>
      </w:pPr>
      <w:bookmarkStart w:id="89" w:name="_Toc135703206"/>
      <w:r w:rsidRPr="00E266CD">
        <w:rPr>
          <w:b/>
        </w:rPr>
        <w:t>Lidhja e objektivit specifik me nënkapitullin përkatës të BE-së sipas MSA-së</w:t>
      </w:r>
      <w:bookmarkEnd w:id="89"/>
    </w:p>
    <w:p w14:paraId="5F4055FA" w14:textId="4A58B62E" w:rsidR="007959B4" w:rsidRPr="00E266CD" w:rsidRDefault="007959B4" w:rsidP="007F1D8B">
      <w:pPr>
        <w:pStyle w:val="TEKSTIIII"/>
        <w:rPr>
          <w:rFonts w:eastAsia="Times New Roman"/>
        </w:rPr>
      </w:pPr>
      <w:bookmarkStart w:id="90" w:name="_heading=h.2fk6b3p" w:colFirst="0" w:colLast="0"/>
      <w:bookmarkEnd w:id="90"/>
      <w:r w:rsidRPr="00E266CD">
        <w:rPr>
          <w:rFonts w:eastAsia="Times New Roman"/>
        </w:rPr>
        <w:t xml:space="preserve">Ky objektiv është i lidhur me </w:t>
      </w:r>
      <w:r w:rsidRPr="00E266CD">
        <w:rPr>
          <w:rFonts w:eastAsia="Times New Roman"/>
          <w:bCs/>
        </w:rPr>
        <w:t>kapitullin 26 dhe kapitullin 25</w:t>
      </w:r>
      <w:r w:rsidRPr="00E266CD">
        <w:rPr>
          <w:rFonts w:eastAsia="Times New Roman"/>
        </w:rPr>
        <w:t xml:space="preserve"> të </w:t>
      </w:r>
      <w:r w:rsidR="003419BA">
        <w:rPr>
          <w:rFonts w:eastAsia="Times New Roman"/>
          <w:i/>
        </w:rPr>
        <w:t>a</w:t>
      </w:r>
      <w:r w:rsidRPr="00E266CD">
        <w:rPr>
          <w:rFonts w:eastAsia="Times New Roman"/>
          <w:i/>
        </w:rPr>
        <w:t>cquis</w:t>
      </w:r>
      <w:r w:rsidRPr="00E266CD">
        <w:rPr>
          <w:rFonts w:eastAsia="Times New Roman"/>
        </w:rPr>
        <w:t xml:space="preserve">, përkatësisht </w:t>
      </w:r>
      <w:r w:rsidR="003419BA" w:rsidRPr="00E266CD">
        <w:rPr>
          <w:rFonts w:eastAsia="Times New Roman"/>
        </w:rPr>
        <w:t>arsimi dhe kultura, shkenca dhe kërkimi shkencor.</w:t>
      </w:r>
    </w:p>
    <w:p w14:paraId="422F376E" w14:textId="0A2780A3" w:rsidR="007959B4" w:rsidRPr="007171BF" w:rsidRDefault="007959B4" w:rsidP="007F1D8B">
      <w:pPr>
        <w:pStyle w:val="TEKSTIIII"/>
        <w:rPr>
          <w:b/>
        </w:rPr>
      </w:pPr>
      <w:bookmarkStart w:id="91" w:name="_Toc135703207"/>
      <w:r w:rsidRPr="007171BF">
        <w:rPr>
          <w:b/>
        </w:rPr>
        <w:t xml:space="preserve">Lista e masave për arritjen e </w:t>
      </w:r>
      <w:r w:rsidR="003419BA" w:rsidRPr="007171BF">
        <w:rPr>
          <w:b/>
        </w:rPr>
        <w:t xml:space="preserve">objektivit specifik </w:t>
      </w:r>
      <w:r w:rsidRPr="007171BF">
        <w:rPr>
          <w:b/>
        </w:rPr>
        <w:t>3.1:</w:t>
      </w:r>
      <w:bookmarkEnd w:id="91"/>
    </w:p>
    <w:p w14:paraId="286E481C" w14:textId="77777777" w:rsidR="007959B4" w:rsidRPr="00E266CD" w:rsidRDefault="007959B4" w:rsidP="007F1D8B">
      <w:pPr>
        <w:pStyle w:val="TEKSTIIII"/>
        <w:rPr>
          <w:rFonts w:eastAsia="Times New Roman"/>
        </w:rPr>
      </w:pPr>
      <w:r w:rsidRPr="00E266CD">
        <w:rPr>
          <w:rFonts w:eastAsia="Times New Roman"/>
        </w:rPr>
        <w:t>Masat që duhet të ndërmerren për të realizuar objektivin janë si më poshtë:</w:t>
      </w:r>
    </w:p>
    <w:tbl>
      <w:tblPr>
        <w:tblStyle w:val="8"/>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05D7A016" w14:textId="77777777" w:rsidTr="007003CA">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940" w:type="dxa"/>
          </w:tcPr>
          <w:p w14:paraId="29D12926" w14:textId="77777777" w:rsidR="007959B4" w:rsidRPr="00E266CD" w:rsidRDefault="007959B4" w:rsidP="00695B0D">
            <w:pPr>
              <w:rPr>
                <w:rFonts w:ascii="Garamond" w:eastAsia="Times New Roman" w:hAnsi="Garamond"/>
                <w:sz w:val="20"/>
              </w:rPr>
            </w:pPr>
          </w:p>
        </w:tc>
        <w:tc>
          <w:tcPr>
            <w:tcW w:w="8558" w:type="dxa"/>
          </w:tcPr>
          <w:p w14:paraId="58245B83" w14:textId="1B3CEE1C"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3419BA">
              <w:rPr>
                <w:rFonts w:ascii="Garamond" w:eastAsia="Times New Roman" w:hAnsi="Garamond"/>
                <w:sz w:val="20"/>
              </w:rPr>
              <w:t>i</w:t>
            </w:r>
            <w:r w:rsidRPr="00E266CD">
              <w:rPr>
                <w:rFonts w:ascii="Garamond" w:eastAsia="Times New Roman" w:hAnsi="Garamond"/>
                <w:sz w:val="20"/>
              </w:rPr>
              <w:t xml:space="preserve"> </w:t>
            </w:r>
            <w:r w:rsidR="003419BA">
              <w:rPr>
                <w:rFonts w:ascii="Garamond" w:eastAsia="Times New Roman" w:hAnsi="Garamond"/>
                <w:sz w:val="20"/>
              </w:rPr>
              <w:t>s</w:t>
            </w:r>
            <w:r w:rsidRPr="00E266CD">
              <w:rPr>
                <w:rFonts w:ascii="Garamond" w:eastAsia="Times New Roman" w:hAnsi="Garamond"/>
                <w:sz w:val="20"/>
              </w:rPr>
              <w:t>pecifik 3.1</w:t>
            </w:r>
            <w:r w:rsidR="003419BA">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Reformimi i kurrikulës së shkencës në arsimi</w:t>
            </w:r>
            <w:r w:rsidR="00A878E7">
              <w:rPr>
                <w:rFonts w:ascii="Garamond" w:eastAsia="Times New Roman" w:hAnsi="Garamond"/>
                <w:sz w:val="20"/>
              </w:rPr>
              <w:t>n</w:t>
            </w:r>
            <w:r w:rsidRPr="00E266CD">
              <w:rPr>
                <w:rFonts w:ascii="Garamond" w:eastAsia="Times New Roman" w:hAnsi="Garamond"/>
                <w:sz w:val="20"/>
              </w:rPr>
              <w:t xml:space="preserve"> parauniversitar duke përfshirë STEM</w:t>
            </w:r>
            <w:r w:rsidR="003419BA">
              <w:rPr>
                <w:rFonts w:ascii="Garamond" w:eastAsia="Times New Roman" w:hAnsi="Garamond"/>
                <w:sz w:val="20"/>
              </w:rPr>
              <w:t>-in</w:t>
            </w:r>
            <w:r w:rsidRPr="00E266CD">
              <w:rPr>
                <w:rFonts w:ascii="Garamond" w:eastAsia="Times New Roman" w:hAnsi="Garamond"/>
                <w:sz w:val="20"/>
              </w:rPr>
              <w:t xml:space="preserve"> në edukim</w:t>
            </w:r>
          </w:p>
        </w:tc>
      </w:tr>
      <w:tr w:rsidR="007959B4" w:rsidRPr="00E266CD" w14:paraId="51596A59" w14:textId="77777777" w:rsidTr="007003C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40" w:type="dxa"/>
          </w:tcPr>
          <w:p w14:paraId="3C252A42"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 </w:t>
            </w:r>
          </w:p>
        </w:tc>
        <w:tc>
          <w:tcPr>
            <w:tcW w:w="8558" w:type="dxa"/>
          </w:tcPr>
          <w:p w14:paraId="78D2FDA4" w14:textId="77777777"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i/>
                <w:color w:val="0066CC"/>
                <w:sz w:val="20"/>
              </w:rPr>
            </w:pPr>
            <w:r w:rsidRPr="00E266CD">
              <w:rPr>
                <w:rFonts w:ascii="Garamond" w:eastAsia="Times New Roman" w:hAnsi="Garamond"/>
                <w:b/>
                <w:i/>
                <w:color w:val="0066CC"/>
                <w:sz w:val="20"/>
              </w:rPr>
              <w:t>Masat:</w:t>
            </w:r>
          </w:p>
        </w:tc>
      </w:tr>
      <w:tr w:rsidR="007959B4" w:rsidRPr="00E266CD" w14:paraId="52324384" w14:textId="77777777" w:rsidTr="007003CA">
        <w:trPr>
          <w:trHeight w:val="44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E51B637"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3.1.1</w:t>
            </w:r>
          </w:p>
        </w:tc>
        <w:tc>
          <w:tcPr>
            <w:tcW w:w="8558" w:type="dxa"/>
            <w:vAlign w:val="bottom"/>
          </w:tcPr>
          <w:p w14:paraId="4FC84CAC" w14:textId="488C6362"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Identifikimi i praktikave ndërkombëtare në drejtim të rishikimit të kurrikulave për përfshirjen e STEM</w:t>
            </w:r>
            <w:r w:rsidR="003419BA">
              <w:rPr>
                <w:rFonts w:ascii="Garamond" w:eastAsia="Times New Roman" w:hAnsi="Garamond"/>
                <w:sz w:val="20"/>
              </w:rPr>
              <w:t>-it</w:t>
            </w:r>
            <w:r w:rsidRPr="00E266CD">
              <w:rPr>
                <w:rFonts w:ascii="Garamond" w:eastAsia="Times New Roman" w:hAnsi="Garamond"/>
                <w:sz w:val="20"/>
              </w:rPr>
              <w:t xml:space="preserve"> në edukim</w:t>
            </w:r>
          </w:p>
        </w:tc>
      </w:tr>
      <w:tr w:rsidR="007959B4" w:rsidRPr="00E266CD" w14:paraId="095054C4" w14:textId="77777777" w:rsidTr="007003C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D550168"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3.1.2</w:t>
            </w:r>
          </w:p>
        </w:tc>
        <w:tc>
          <w:tcPr>
            <w:tcW w:w="8558" w:type="dxa"/>
            <w:vAlign w:val="bottom"/>
          </w:tcPr>
          <w:p w14:paraId="7123E68B" w14:textId="020A6922"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Përgatitja e stafit pedagogjik</w:t>
            </w:r>
            <w:r w:rsidR="003419BA">
              <w:rPr>
                <w:rFonts w:ascii="Garamond" w:eastAsia="Times New Roman" w:hAnsi="Garamond"/>
                <w:sz w:val="20"/>
              </w:rPr>
              <w:t>,</w:t>
            </w:r>
            <w:r w:rsidRPr="00E266CD">
              <w:rPr>
                <w:rFonts w:ascii="Garamond" w:eastAsia="Times New Roman" w:hAnsi="Garamond"/>
                <w:sz w:val="20"/>
              </w:rPr>
              <w:t xml:space="preserve"> lidhur me realizimin e praktikave kërkimore dhe zhvillimin e projekteve kërkimore në sistemin parauniversitar</w:t>
            </w:r>
          </w:p>
        </w:tc>
      </w:tr>
      <w:tr w:rsidR="007959B4" w:rsidRPr="00E266CD" w14:paraId="18382546" w14:textId="77777777" w:rsidTr="007003CA">
        <w:trPr>
          <w:trHeight w:val="25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69D096D4"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3.1.3</w:t>
            </w:r>
          </w:p>
        </w:tc>
        <w:tc>
          <w:tcPr>
            <w:tcW w:w="8558" w:type="dxa"/>
            <w:vAlign w:val="bottom"/>
          </w:tcPr>
          <w:p w14:paraId="023722A1" w14:textId="692195AC"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 xml:space="preserve">Promovimi dhe përfshirja e orëve jashtëkurrikulare në arsimin </w:t>
            </w:r>
            <w:r w:rsidRPr="00E266CD">
              <w:rPr>
                <w:rFonts w:ascii="Garamond" w:hAnsi="Garamond"/>
                <w:bCs/>
                <w:sz w:val="20"/>
              </w:rPr>
              <w:t>parauniversitar</w:t>
            </w:r>
            <w:r w:rsidR="00825FA5" w:rsidRPr="00E266CD">
              <w:rPr>
                <w:rFonts w:ascii="Garamond" w:hAnsi="Garamond"/>
                <w:bCs/>
                <w:sz w:val="20"/>
              </w:rPr>
              <w:t xml:space="preserve"> </w:t>
            </w:r>
            <w:r w:rsidRPr="00E266CD">
              <w:rPr>
                <w:rFonts w:ascii="Garamond" w:eastAsia="Times New Roman" w:hAnsi="Garamond"/>
                <w:sz w:val="20"/>
              </w:rPr>
              <w:t>mbi STEM</w:t>
            </w:r>
            <w:r w:rsidR="003419BA">
              <w:rPr>
                <w:rFonts w:ascii="Garamond" w:eastAsia="Times New Roman" w:hAnsi="Garamond"/>
                <w:sz w:val="20"/>
              </w:rPr>
              <w:t>-in</w:t>
            </w:r>
          </w:p>
        </w:tc>
      </w:tr>
      <w:tr w:rsidR="007959B4" w:rsidRPr="00E266CD" w14:paraId="2EA23A34" w14:textId="77777777" w:rsidTr="007003CA">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3CFABD68"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3.1.4</w:t>
            </w:r>
          </w:p>
        </w:tc>
        <w:tc>
          <w:tcPr>
            <w:tcW w:w="8558" w:type="dxa"/>
            <w:vAlign w:val="bottom"/>
          </w:tcPr>
          <w:p w14:paraId="7A411A7E" w14:textId="4877DBED"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Përmirësimi i laboratorëve për zhvillimin e lëndëve STEM</w:t>
            </w:r>
          </w:p>
        </w:tc>
      </w:tr>
    </w:tbl>
    <w:p w14:paraId="209F9C0F" w14:textId="3B8C6216" w:rsidR="007959B4" w:rsidRPr="00E266CD" w:rsidRDefault="007959B4" w:rsidP="008D5AEC">
      <w:pPr>
        <w:pStyle w:val="TEKSTIIII"/>
        <w:rPr>
          <w:i/>
          <w:sz w:val="20"/>
          <w:szCs w:val="20"/>
        </w:rPr>
      </w:pPr>
      <w:r w:rsidRPr="00E266CD">
        <w:rPr>
          <w:i/>
          <w:sz w:val="20"/>
          <w:szCs w:val="20"/>
        </w:rPr>
        <w:t xml:space="preserve">Tabela </w:t>
      </w:r>
      <w:r w:rsidR="00825FA5" w:rsidRPr="00E266CD">
        <w:rPr>
          <w:i/>
          <w:sz w:val="20"/>
          <w:szCs w:val="20"/>
        </w:rPr>
        <w:t>n</w:t>
      </w:r>
      <w:r w:rsidRPr="00E266CD">
        <w:rPr>
          <w:i/>
          <w:sz w:val="20"/>
          <w:szCs w:val="20"/>
        </w:rPr>
        <w:t>r.</w:t>
      </w:r>
      <w:r w:rsidR="00825FA5" w:rsidRPr="00E266CD">
        <w:rPr>
          <w:i/>
          <w:sz w:val="20"/>
          <w:szCs w:val="20"/>
        </w:rPr>
        <w:t xml:space="preserve"> </w:t>
      </w:r>
      <w:r w:rsidRPr="00E266CD">
        <w:rPr>
          <w:i/>
          <w:sz w:val="20"/>
          <w:szCs w:val="20"/>
        </w:rPr>
        <w:t>8</w:t>
      </w:r>
      <w:r w:rsidR="003419BA">
        <w:rPr>
          <w:i/>
          <w:sz w:val="20"/>
          <w:szCs w:val="20"/>
        </w:rPr>
        <w:t>:</w:t>
      </w:r>
      <w:r w:rsidRPr="00E266CD">
        <w:rPr>
          <w:i/>
          <w:sz w:val="20"/>
          <w:szCs w:val="20"/>
        </w:rPr>
        <w:t xml:space="preserve"> Lista e masave për arritjen e objektivit specifik 3.1</w:t>
      </w:r>
      <w:r w:rsidR="003419BA">
        <w:rPr>
          <w:i/>
          <w:sz w:val="20"/>
          <w:szCs w:val="20"/>
        </w:rPr>
        <w:t>.</w:t>
      </w:r>
    </w:p>
    <w:p w14:paraId="2632A3A6" w14:textId="77777777" w:rsidR="007959B4" w:rsidRPr="00E266CD" w:rsidRDefault="007959B4" w:rsidP="008D5AEC">
      <w:pPr>
        <w:pStyle w:val="TEKSTIIII"/>
        <w:rPr>
          <w:b/>
        </w:rPr>
      </w:pPr>
    </w:p>
    <w:p w14:paraId="7FBCD39E" w14:textId="77777777" w:rsidR="007959B4" w:rsidRPr="00E266CD" w:rsidRDefault="007959B4" w:rsidP="008D5AEC">
      <w:pPr>
        <w:pStyle w:val="TEKSTIIII"/>
        <w:rPr>
          <w:b/>
        </w:rPr>
      </w:pPr>
      <w:bookmarkStart w:id="92" w:name="_Toc135703208"/>
      <w:r w:rsidRPr="00E266CD">
        <w:rPr>
          <w:b/>
        </w:rPr>
        <w:t>Treguesit kryesorë të rezultateve</w:t>
      </w:r>
      <w:bookmarkEnd w:id="92"/>
    </w:p>
    <w:p w14:paraId="0A0F5D12" w14:textId="77777777" w:rsidR="007959B4" w:rsidRPr="00E266CD" w:rsidRDefault="007959B4" w:rsidP="008D5AEC">
      <w:pPr>
        <w:pStyle w:val="TEKSTIIII"/>
      </w:pPr>
      <w:r w:rsidRPr="003419BA">
        <w:rPr>
          <w:b/>
        </w:rPr>
        <w:t>Tregues 1</w:t>
      </w:r>
      <w:r w:rsidRPr="00E266CD">
        <w:t>: Përqindja e punonjësve të arsimit parauniversitar të trajnuar mbi shkrimin e projekteve kërkimore.</w:t>
      </w:r>
    </w:p>
    <w:p w14:paraId="0A723B02" w14:textId="77777777" w:rsidR="007959B4" w:rsidRPr="00E266CD" w:rsidRDefault="007959B4" w:rsidP="008D5AEC">
      <w:pPr>
        <w:pStyle w:val="TEKSTIIII"/>
      </w:pPr>
      <w:r w:rsidRPr="003419BA">
        <w:rPr>
          <w:b/>
        </w:rPr>
        <w:t>Tregues 2</w:t>
      </w:r>
      <w:r w:rsidRPr="00E266CD">
        <w:t>: Numri i fushatave të informimit në nivel të arsimit parauniversitar në fushën e shkencës, teknologjisë dhe inovacionit.</w:t>
      </w:r>
    </w:p>
    <w:p w14:paraId="5B4E696E" w14:textId="18A9CDE8" w:rsidR="007959B4" w:rsidRPr="00E266CD" w:rsidRDefault="007959B4" w:rsidP="008D5AEC">
      <w:pPr>
        <w:pStyle w:val="TEKSTIIII"/>
      </w:pPr>
      <w:r w:rsidRPr="003419BA">
        <w:rPr>
          <w:b/>
        </w:rPr>
        <w:t>Tregues 3</w:t>
      </w:r>
      <w:r w:rsidRPr="00E266CD">
        <w:t>: Kurrikula e arsimit parauniversitar e reformuar me qëllim përfshirjen e STEM</w:t>
      </w:r>
      <w:r w:rsidR="003419BA">
        <w:t>-it</w:t>
      </w:r>
      <w:r w:rsidRPr="00E266CD">
        <w:t>.</w:t>
      </w:r>
    </w:p>
    <w:p w14:paraId="3F21671F" w14:textId="1D0F2B30" w:rsidR="007959B4" w:rsidRPr="00E266CD" w:rsidRDefault="007959B4" w:rsidP="00825FA5">
      <w:pPr>
        <w:pStyle w:val="TEKSTIIII"/>
        <w:rPr>
          <w:b/>
        </w:rPr>
      </w:pPr>
      <w:bookmarkStart w:id="93" w:name="_Toc135703209"/>
      <w:r w:rsidRPr="00E266CD">
        <w:rPr>
          <w:b/>
        </w:rPr>
        <w:t xml:space="preserve">Objektivi </w:t>
      </w:r>
      <w:r w:rsidR="003419BA">
        <w:rPr>
          <w:b/>
        </w:rPr>
        <w:t>s</w:t>
      </w:r>
      <w:r w:rsidRPr="00E266CD">
        <w:rPr>
          <w:b/>
        </w:rPr>
        <w:t xml:space="preserve">pecifik 3.2: Sensibilizimi </w:t>
      </w:r>
      <w:r w:rsidRPr="003419BA">
        <w:rPr>
          <w:b/>
        </w:rPr>
        <w:t>në të gj</w:t>
      </w:r>
      <w:r w:rsidRPr="00E266CD">
        <w:rPr>
          <w:b/>
        </w:rPr>
        <w:t>itha nivelet e edukimit parauniversitar, për fuqizimin e rolit të të rinjve në kërkim dhe inovacion</w:t>
      </w:r>
      <w:bookmarkEnd w:id="93"/>
    </w:p>
    <w:p w14:paraId="7F7DE800" w14:textId="22EA0804" w:rsidR="007959B4" w:rsidRPr="00E266CD" w:rsidRDefault="007959B4" w:rsidP="008D5AEC">
      <w:pPr>
        <w:pStyle w:val="TEKSTIIII"/>
        <w:rPr>
          <w:b/>
        </w:rPr>
      </w:pPr>
      <w:bookmarkStart w:id="94" w:name="_Toc135703210"/>
      <w:r w:rsidRPr="00E266CD">
        <w:rPr>
          <w:b/>
        </w:rPr>
        <w:t xml:space="preserve">Analiza e </w:t>
      </w:r>
      <w:r w:rsidR="003419BA" w:rsidRPr="00E266CD">
        <w:rPr>
          <w:b/>
        </w:rPr>
        <w:t>situatës dhe sfidat</w:t>
      </w:r>
      <w:bookmarkEnd w:id="94"/>
    </w:p>
    <w:p w14:paraId="0138F881" w14:textId="212DA4F8" w:rsidR="007959B4" w:rsidRPr="00E266CD" w:rsidRDefault="007959B4" w:rsidP="00825FA5">
      <w:pPr>
        <w:pStyle w:val="TEKSTIIII"/>
      </w:pPr>
      <w:r w:rsidRPr="00E266CD">
        <w:t>Aktualisht në arsimin parauniversitar shpërndahet informacion minimal</w:t>
      </w:r>
      <w:r w:rsidR="00825FA5" w:rsidRPr="00E266CD">
        <w:t xml:space="preserve">, </w:t>
      </w:r>
      <w:r w:rsidRPr="00E266CD">
        <w:t xml:space="preserve">në lidhje me kërkimin dhe inovacionin. Rol të rëndësishëm luajnë projektet e financuara nga donatorët e huaj, por edhe fushata të ndërmarra nga institucione të ndryshme si </w:t>
      </w:r>
      <w:r w:rsidR="003419BA">
        <w:t>m</w:t>
      </w:r>
      <w:r w:rsidRPr="00E266CD">
        <w:t xml:space="preserve">inistri i </w:t>
      </w:r>
      <w:r w:rsidR="003419BA">
        <w:t>s</w:t>
      </w:r>
      <w:r w:rsidRPr="00E266CD">
        <w:t>htetit për Rininë dhe Fëmijët apo Ministria e Arsimit dhe Sportit. Duke pasur parasysh që brezat e rinj janë të lidhur drejtpërdrejtë me teknologjinë dhe duke pasur parasysh eksperiencën e vendeve të tjera të botës mendohet se është i domosdoshëm sensibilizimi, duke filluar ndoshta nga klasa e parë, që të rinjtë dhe të rejat të përfshihen sa më shumë në kërkim dhe inovacion.</w:t>
      </w:r>
    </w:p>
    <w:p w14:paraId="01A2182D" w14:textId="6F1E9203" w:rsidR="007959B4" w:rsidRPr="00E266CD" w:rsidRDefault="007959B4" w:rsidP="008D5AEC">
      <w:pPr>
        <w:pStyle w:val="TEKSTIIII"/>
        <w:rPr>
          <w:b/>
        </w:rPr>
      </w:pPr>
      <w:r w:rsidRPr="00E266CD">
        <w:rPr>
          <w:b/>
        </w:rPr>
        <w:t>Rezultatet që pritet të arrihen përmes zbatimit të masave që lidhen me objektivin specifik</w:t>
      </w:r>
    </w:p>
    <w:p w14:paraId="2FEE219A" w14:textId="0CDB1692" w:rsidR="007959B4" w:rsidRPr="00E266CD" w:rsidRDefault="008D5AEC" w:rsidP="00825FA5">
      <w:pPr>
        <w:pStyle w:val="TEKSTIIII"/>
      </w:pPr>
      <w:r w:rsidRPr="00E266CD">
        <w:t xml:space="preserve">- </w:t>
      </w:r>
      <w:r w:rsidR="007959B4" w:rsidRPr="00E266CD">
        <w:t>Kurse jashtëshkollore për inovacionin.</w:t>
      </w:r>
    </w:p>
    <w:p w14:paraId="5D8BD461" w14:textId="58A20DCA" w:rsidR="007959B4" w:rsidRPr="001E1C90" w:rsidRDefault="007959B4" w:rsidP="008D5AEC">
      <w:pPr>
        <w:pStyle w:val="TEKSTIIII"/>
      </w:pPr>
      <w:r w:rsidRPr="001E1C90">
        <w:t>Institucionet përgjegjëse drejtuese</w:t>
      </w:r>
      <w:r w:rsidR="001E1C90">
        <w:t>:</w:t>
      </w:r>
    </w:p>
    <w:p w14:paraId="585F795C" w14:textId="4702A353" w:rsidR="007959B4" w:rsidRPr="00E266CD" w:rsidRDefault="007959B4" w:rsidP="008D5AEC">
      <w:pPr>
        <w:pStyle w:val="TEKSTIIII"/>
      </w:pPr>
      <w:r w:rsidRPr="00E266CD">
        <w:t xml:space="preserve">MAS me programet buxhetore </w:t>
      </w:r>
      <w:r w:rsidR="003419BA" w:rsidRPr="00E266CD">
        <w:t xml:space="preserve">arsimi bazë (përfshirë parashkollorin) dhe arsimi i mesëm </w:t>
      </w:r>
      <w:r w:rsidRPr="00E266CD">
        <w:t>(i përgjithshëm), ASCAP</w:t>
      </w:r>
    </w:p>
    <w:p w14:paraId="61BF9C61" w14:textId="65C3B495" w:rsidR="007959B4" w:rsidRPr="001E1C90" w:rsidRDefault="007959B4" w:rsidP="008D5AEC">
      <w:pPr>
        <w:pStyle w:val="TEKSTIIII"/>
      </w:pPr>
      <w:r w:rsidRPr="001E1C90">
        <w:t>Institucionet kryesore pjesëmarrëse</w:t>
      </w:r>
      <w:r w:rsidR="001E1C90">
        <w:t>:</w:t>
      </w:r>
    </w:p>
    <w:p w14:paraId="0EDF2CE7" w14:textId="25CC4BCA" w:rsidR="007959B4" w:rsidRPr="00E266CD" w:rsidRDefault="007959B4" w:rsidP="008D5AEC">
      <w:pPr>
        <w:pStyle w:val="TEKSTIIII"/>
      </w:pPr>
      <w:r w:rsidRPr="00E266CD">
        <w:t>AKKSHI (</w:t>
      </w:r>
      <w:r w:rsidR="003419BA" w:rsidRPr="00E266CD">
        <w:t>fonde për shkencën</w:t>
      </w:r>
      <w:r w:rsidRPr="00E266CD">
        <w:t>), MFE</w:t>
      </w:r>
      <w:r w:rsidR="003419BA">
        <w:t>-ja</w:t>
      </w:r>
      <w:r w:rsidRPr="00E266CD">
        <w:t xml:space="preserve"> (</w:t>
      </w:r>
      <w:r w:rsidR="003419BA" w:rsidRPr="00E266CD">
        <w:t xml:space="preserve">arsimi i mesëm </w:t>
      </w:r>
      <w:r w:rsidRPr="00E266CD">
        <w:t>(profesional)), DPPI</w:t>
      </w:r>
      <w:r w:rsidR="003419BA">
        <w:t>-ja</w:t>
      </w:r>
      <w:r w:rsidRPr="00E266CD">
        <w:t>,</w:t>
      </w:r>
      <w:r w:rsidR="007715D0" w:rsidRPr="00E266CD">
        <w:t xml:space="preserve"> </w:t>
      </w:r>
      <w:r w:rsidRPr="00E266CD">
        <w:t>NJQV</w:t>
      </w:r>
      <w:r w:rsidR="003419BA">
        <w:t>-të</w:t>
      </w:r>
    </w:p>
    <w:p w14:paraId="22CA5078" w14:textId="29844D37" w:rsidR="007959B4" w:rsidRPr="00E266CD" w:rsidRDefault="007959B4" w:rsidP="008D5AEC">
      <w:pPr>
        <w:pStyle w:val="TEKSTIIII"/>
        <w:rPr>
          <w:b/>
        </w:rPr>
      </w:pPr>
      <w:r w:rsidRPr="00E266CD">
        <w:rPr>
          <w:b/>
        </w:rPr>
        <w:t>Lidhja e objektivit specifik me nënkapitullin përkatës të BE-së sipas MSA-së</w:t>
      </w:r>
    </w:p>
    <w:p w14:paraId="467DC810" w14:textId="224F3179" w:rsidR="007959B4" w:rsidRPr="00E266CD" w:rsidRDefault="007959B4" w:rsidP="008D5AEC">
      <w:pPr>
        <w:pStyle w:val="TEKSTIIII"/>
      </w:pPr>
      <w:r w:rsidRPr="00E266CD">
        <w:t xml:space="preserve">Ky objektiv është i lidhur me </w:t>
      </w:r>
      <w:r w:rsidRPr="00E266CD">
        <w:rPr>
          <w:bCs/>
        </w:rPr>
        <w:t>kapitullin 26 dhe kapitullin 25</w:t>
      </w:r>
      <w:r w:rsidRPr="00E266CD">
        <w:t xml:space="preserve"> të </w:t>
      </w:r>
      <w:r w:rsidR="003419BA">
        <w:rPr>
          <w:i/>
        </w:rPr>
        <w:t>a</w:t>
      </w:r>
      <w:r w:rsidRPr="00E266CD">
        <w:rPr>
          <w:i/>
        </w:rPr>
        <w:t>cquis</w:t>
      </w:r>
      <w:r w:rsidRPr="00E266CD">
        <w:t xml:space="preserve">, përkatësisht </w:t>
      </w:r>
      <w:r w:rsidR="003419BA" w:rsidRPr="00E266CD">
        <w:t>arsimi dhe kultura, shkenca dhe kërkimi shkencor</w:t>
      </w:r>
    </w:p>
    <w:p w14:paraId="1E0F7EE3" w14:textId="07CD81B5" w:rsidR="007959B4" w:rsidRPr="007171BF" w:rsidRDefault="007959B4" w:rsidP="007171BF">
      <w:pPr>
        <w:pStyle w:val="TEKSTIIII"/>
        <w:rPr>
          <w:b/>
        </w:rPr>
      </w:pPr>
      <w:r w:rsidRPr="00E266CD">
        <w:rPr>
          <w:b/>
        </w:rPr>
        <w:t xml:space="preserve">Lista e masave për arritjen e </w:t>
      </w:r>
      <w:r w:rsidR="003419BA" w:rsidRPr="00E266CD">
        <w:rPr>
          <w:b/>
        </w:rPr>
        <w:t>objektivit s</w:t>
      </w:r>
      <w:r w:rsidRPr="00E266CD">
        <w:rPr>
          <w:b/>
        </w:rPr>
        <w:t>pecifik 3.2:</w:t>
      </w:r>
    </w:p>
    <w:tbl>
      <w:tblPr>
        <w:tblStyle w:val="7"/>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58426D71" w14:textId="77777777" w:rsidTr="007003CA">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940" w:type="dxa"/>
          </w:tcPr>
          <w:p w14:paraId="53839F48" w14:textId="77777777" w:rsidR="007959B4" w:rsidRPr="00E266CD" w:rsidRDefault="007959B4" w:rsidP="00695B0D">
            <w:pPr>
              <w:rPr>
                <w:rFonts w:ascii="Garamond" w:eastAsia="Times New Roman" w:hAnsi="Garamond"/>
                <w:sz w:val="20"/>
              </w:rPr>
            </w:pPr>
          </w:p>
        </w:tc>
        <w:tc>
          <w:tcPr>
            <w:tcW w:w="8558" w:type="dxa"/>
          </w:tcPr>
          <w:p w14:paraId="7B827EAB" w14:textId="6A21799D"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3419BA">
              <w:rPr>
                <w:rFonts w:ascii="Garamond" w:eastAsia="Times New Roman" w:hAnsi="Garamond"/>
                <w:sz w:val="20"/>
              </w:rPr>
              <w:t>i</w:t>
            </w:r>
            <w:r w:rsidRPr="00E266CD">
              <w:rPr>
                <w:rFonts w:ascii="Garamond" w:eastAsia="Times New Roman" w:hAnsi="Garamond"/>
                <w:sz w:val="20"/>
              </w:rPr>
              <w:t xml:space="preserve"> </w:t>
            </w:r>
            <w:r w:rsidR="003419BA">
              <w:rPr>
                <w:rFonts w:ascii="Garamond" w:eastAsia="Times New Roman" w:hAnsi="Garamond"/>
                <w:sz w:val="20"/>
              </w:rPr>
              <w:t>s</w:t>
            </w:r>
            <w:r w:rsidRPr="00E266CD">
              <w:rPr>
                <w:rFonts w:ascii="Garamond" w:eastAsia="Times New Roman" w:hAnsi="Garamond"/>
                <w:sz w:val="20"/>
              </w:rPr>
              <w:t>pecifik 3.2</w:t>
            </w:r>
            <w:r w:rsidR="003419BA">
              <w:rPr>
                <w:rFonts w:ascii="Garamond" w:eastAsia="Times New Roman" w:hAnsi="Garamond"/>
                <w:sz w:val="20"/>
              </w:rPr>
              <w:t>:</w:t>
            </w:r>
            <w:r w:rsidR="007715D0" w:rsidRPr="00E266CD">
              <w:rPr>
                <w:rFonts w:ascii="Garamond" w:eastAsia="Times New Roman" w:hAnsi="Garamond"/>
                <w:sz w:val="20"/>
              </w:rPr>
              <w:t xml:space="preserve"> </w:t>
            </w:r>
            <w:r w:rsidRPr="00E266CD">
              <w:rPr>
                <w:rFonts w:ascii="Garamond" w:eastAsia="Times New Roman" w:hAnsi="Garamond"/>
                <w:sz w:val="20"/>
              </w:rPr>
              <w:t xml:space="preserve">Sensibilizimi </w:t>
            </w:r>
            <w:r w:rsidRPr="00E266CD">
              <w:rPr>
                <w:rFonts w:ascii="Garamond" w:eastAsia="Times New Roman" w:hAnsi="Garamond"/>
                <w:sz w:val="20"/>
                <w:szCs w:val="20"/>
              </w:rPr>
              <w:t>n</w:t>
            </w:r>
            <w:r w:rsidR="00BF1624" w:rsidRPr="00E266CD">
              <w:rPr>
                <w:rFonts w:ascii="Garamond" w:eastAsia="Times New Roman" w:hAnsi="Garamond"/>
                <w:sz w:val="20"/>
                <w:szCs w:val="20"/>
              </w:rPr>
              <w:t>ë</w:t>
            </w:r>
            <w:r w:rsidRPr="00E266CD">
              <w:rPr>
                <w:rFonts w:ascii="Garamond" w:eastAsia="Times New Roman" w:hAnsi="Garamond"/>
                <w:sz w:val="20"/>
                <w:szCs w:val="20"/>
              </w:rPr>
              <w:t xml:space="preserve"> </w:t>
            </w:r>
            <w:r w:rsidR="00BF1624" w:rsidRPr="00E266CD">
              <w:rPr>
                <w:rFonts w:ascii="Garamond" w:eastAsia="Times New Roman" w:hAnsi="Garamond"/>
                <w:sz w:val="20"/>
                <w:szCs w:val="20"/>
              </w:rPr>
              <w:t>të</w:t>
            </w:r>
            <w:r w:rsidRPr="00E266CD">
              <w:rPr>
                <w:rFonts w:ascii="Garamond" w:eastAsia="Times New Roman" w:hAnsi="Garamond"/>
                <w:sz w:val="20"/>
              </w:rPr>
              <w:t xml:space="preserve"> gjitha nivelet e edukimit parauniversitar, për fuqizimin e rolit të të rinjve n</w:t>
            </w:r>
            <w:r w:rsidR="00BF1624" w:rsidRPr="00E266CD">
              <w:rPr>
                <w:rFonts w:ascii="Garamond" w:eastAsia="Times New Roman" w:hAnsi="Garamond"/>
                <w:sz w:val="20"/>
              </w:rPr>
              <w:t>ë</w:t>
            </w:r>
            <w:r w:rsidRPr="00E266CD">
              <w:rPr>
                <w:rFonts w:ascii="Garamond" w:eastAsia="Times New Roman" w:hAnsi="Garamond"/>
                <w:sz w:val="20"/>
              </w:rPr>
              <w:t xml:space="preserve"> kërkim dhe inovacion</w:t>
            </w:r>
          </w:p>
        </w:tc>
      </w:tr>
      <w:tr w:rsidR="007959B4" w:rsidRPr="00E266CD" w14:paraId="3FB1AA44" w14:textId="77777777" w:rsidTr="007003CA">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40" w:type="dxa"/>
          </w:tcPr>
          <w:p w14:paraId="076D63B1"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 </w:t>
            </w:r>
          </w:p>
        </w:tc>
        <w:tc>
          <w:tcPr>
            <w:tcW w:w="8558" w:type="dxa"/>
          </w:tcPr>
          <w:p w14:paraId="0A963666" w14:textId="77777777" w:rsidR="007959B4" w:rsidRPr="003419BA"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66CC"/>
                <w:sz w:val="20"/>
              </w:rPr>
            </w:pPr>
            <w:r w:rsidRPr="003419BA">
              <w:rPr>
                <w:rFonts w:ascii="Garamond" w:eastAsia="Times New Roman" w:hAnsi="Garamond"/>
                <w:b/>
                <w:color w:val="0066CC"/>
                <w:sz w:val="20"/>
              </w:rPr>
              <w:t>Masat:</w:t>
            </w:r>
          </w:p>
        </w:tc>
      </w:tr>
      <w:tr w:rsidR="007959B4" w:rsidRPr="00E266CD" w14:paraId="48114AD6" w14:textId="77777777" w:rsidTr="007003CA">
        <w:trPr>
          <w:trHeight w:val="43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1DDDC9EC"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3.2.1</w:t>
            </w:r>
          </w:p>
        </w:tc>
        <w:tc>
          <w:tcPr>
            <w:tcW w:w="8558" w:type="dxa"/>
            <w:vAlign w:val="bottom"/>
          </w:tcPr>
          <w:p w14:paraId="609826B1" w14:textId="205A97A8"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 xml:space="preserve">Angazhimi i vazhdueshëm për </w:t>
            </w:r>
            <w:r w:rsidR="00825FA5" w:rsidRPr="00E266CD">
              <w:rPr>
                <w:rFonts w:ascii="Garamond" w:eastAsia="Times New Roman" w:hAnsi="Garamond"/>
                <w:sz w:val="20"/>
              </w:rPr>
              <w:t>mirinformimin</w:t>
            </w:r>
            <w:r w:rsidRPr="00E266CD">
              <w:rPr>
                <w:rFonts w:ascii="Garamond" w:eastAsia="Times New Roman" w:hAnsi="Garamond"/>
                <w:sz w:val="20"/>
              </w:rPr>
              <w:t xml:space="preserve"> e nxënësve të klasave të 9</w:t>
            </w:r>
            <w:r w:rsidR="003419BA">
              <w:rPr>
                <w:rFonts w:ascii="Garamond" w:eastAsia="Times New Roman" w:hAnsi="Garamond"/>
                <w:sz w:val="20"/>
              </w:rPr>
              <w:t>-ta</w:t>
            </w:r>
            <w:r w:rsidRPr="00E266CD">
              <w:rPr>
                <w:rFonts w:ascii="Garamond" w:eastAsia="Times New Roman" w:hAnsi="Garamond"/>
                <w:sz w:val="20"/>
              </w:rPr>
              <w:t xml:space="preserve"> dhe nxënësit/nxënëset e gjimnazeve për mundësitë që vijnë nga përfshirja në kërkim dhe inovacion</w:t>
            </w:r>
          </w:p>
        </w:tc>
      </w:tr>
      <w:tr w:rsidR="007959B4" w:rsidRPr="00E266CD" w14:paraId="51673FF6" w14:textId="77777777" w:rsidTr="007003C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5A70DB38" w14:textId="77777777" w:rsidR="007959B4" w:rsidRPr="00E266CD" w:rsidRDefault="007959B4" w:rsidP="00695B0D">
            <w:pPr>
              <w:rPr>
                <w:rFonts w:ascii="Garamond" w:eastAsia="Times New Roman" w:hAnsi="Garamond"/>
                <w:color w:val="FFFFFF" w:themeColor="background1"/>
                <w:sz w:val="20"/>
              </w:rPr>
            </w:pPr>
            <w:r w:rsidRPr="00E266CD">
              <w:rPr>
                <w:rFonts w:ascii="Garamond" w:eastAsia="Times New Roman" w:hAnsi="Garamond"/>
                <w:color w:val="FFFFFF" w:themeColor="background1"/>
                <w:sz w:val="20"/>
              </w:rPr>
              <w:t>3.2.2</w:t>
            </w:r>
          </w:p>
        </w:tc>
        <w:tc>
          <w:tcPr>
            <w:tcW w:w="8558" w:type="dxa"/>
            <w:vAlign w:val="bottom"/>
          </w:tcPr>
          <w:p w14:paraId="3696C744" w14:textId="09F78DCE"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bCs/>
                <w:sz w:val="20"/>
              </w:rPr>
              <w:t>Promovimi dhe përfshirja</w:t>
            </w:r>
            <w:r w:rsidRPr="00E266CD">
              <w:rPr>
                <w:rFonts w:ascii="Garamond" w:eastAsia="Times New Roman" w:hAnsi="Garamond"/>
                <w:sz w:val="20"/>
              </w:rPr>
              <w:t xml:space="preserve"> e orëve/kurseve/aktiviteteve jashtëkurrikulare për inovacionin në sistemin parauniversitar</w:t>
            </w:r>
          </w:p>
        </w:tc>
      </w:tr>
    </w:tbl>
    <w:p w14:paraId="049C3581" w14:textId="7812651F" w:rsidR="007959B4" w:rsidRPr="00E266CD" w:rsidRDefault="007959B4" w:rsidP="007959B4">
      <w:pPr>
        <w:rPr>
          <w:rFonts w:ascii="Garamond" w:eastAsia="Times New Roman" w:hAnsi="Garamond"/>
          <w:i/>
          <w:color w:val="000000"/>
          <w:sz w:val="20"/>
          <w:szCs w:val="20"/>
        </w:rPr>
      </w:pPr>
      <w:r w:rsidRPr="00E266CD">
        <w:rPr>
          <w:rFonts w:ascii="Garamond" w:eastAsia="Times New Roman" w:hAnsi="Garamond"/>
          <w:i/>
          <w:color w:val="000000"/>
          <w:sz w:val="20"/>
          <w:szCs w:val="20"/>
        </w:rPr>
        <w:t xml:space="preserve">Tabela </w:t>
      </w:r>
      <w:r w:rsidR="00825FA5" w:rsidRPr="00E266CD">
        <w:rPr>
          <w:rFonts w:ascii="Garamond" w:eastAsia="Times New Roman" w:hAnsi="Garamond"/>
          <w:i/>
          <w:color w:val="000000"/>
          <w:sz w:val="20"/>
          <w:szCs w:val="20"/>
        </w:rPr>
        <w:t>n</w:t>
      </w:r>
      <w:r w:rsidRPr="00E266CD">
        <w:rPr>
          <w:rFonts w:ascii="Garamond" w:eastAsia="Times New Roman" w:hAnsi="Garamond"/>
          <w:i/>
          <w:color w:val="000000"/>
          <w:sz w:val="20"/>
          <w:szCs w:val="20"/>
        </w:rPr>
        <w:t>r.</w:t>
      </w:r>
      <w:r w:rsidR="00825FA5" w:rsidRPr="00E266CD">
        <w:rPr>
          <w:rFonts w:ascii="Garamond" w:eastAsia="Times New Roman" w:hAnsi="Garamond"/>
          <w:i/>
          <w:color w:val="000000"/>
          <w:sz w:val="20"/>
          <w:szCs w:val="20"/>
        </w:rPr>
        <w:t xml:space="preserve"> </w:t>
      </w:r>
      <w:r w:rsidRPr="00E266CD">
        <w:rPr>
          <w:rFonts w:ascii="Garamond" w:eastAsia="Times New Roman" w:hAnsi="Garamond"/>
          <w:i/>
          <w:color w:val="000000"/>
          <w:sz w:val="20"/>
          <w:szCs w:val="20"/>
        </w:rPr>
        <w:t>9</w:t>
      </w:r>
      <w:r w:rsidR="003419BA">
        <w:rPr>
          <w:rFonts w:ascii="Garamond" w:eastAsia="Times New Roman" w:hAnsi="Garamond"/>
          <w:i/>
          <w:color w:val="000000"/>
          <w:sz w:val="20"/>
          <w:szCs w:val="20"/>
        </w:rPr>
        <w:t>:</w:t>
      </w:r>
      <w:r w:rsidRPr="00E266CD">
        <w:rPr>
          <w:rFonts w:ascii="Garamond" w:eastAsia="Times New Roman" w:hAnsi="Garamond"/>
          <w:i/>
          <w:color w:val="000000"/>
          <w:sz w:val="20"/>
          <w:szCs w:val="20"/>
        </w:rPr>
        <w:t xml:space="preserve"> Lista e masave për arritjen e objektivit specifik 3</w:t>
      </w:r>
      <w:r w:rsidR="003419BA">
        <w:rPr>
          <w:rFonts w:ascii="Garamond" w:eastAsia="Times New Roman" w:hAnsi="Garamond"/>
          <w:i/>
          <w:color w:val="000000"/>
          <w:sz w:val="20"/>
          <w:szCs w:val="20"/>
        </w:rPr>
        <w:t>.</w:t>
      </w:r>
    </w:p>
    <w:p w14:paraId="77C92675" w14:textId="77777777" w:rsidR="00825FA5" w:rsidRPr="00E266CD" w:rsidRDefault="00825FA5" w:rsidP="007959B4">
      <w:pPr>
        <w:rPr>
          <w:rFonts w:ascii="Garamond" w:eastAsia="Times New Roman" w:hAnsi="Garamond"/>
          <w:i/>
          <w:color w:val="000000"/>
          <w:sz w:val="16"/>
          <w:szCs w:val="24"/>
        </w:rPr>
      </w:pPr>
    </w:p>
    <w:p w14:paraId="77BD44EB" w14:textId="77777777" w:rsidR="007959B4" w:rsidRPr="00E266CD" w:rsidRDefault="007959B4" w:rsidP="00175D90">
      <w:pPr>
        <w:pStyle w:val="TEKSTIIII"/>
        <w:rPr>
          <w:b/>
        </w:rPr>
      </w:pPr>
      <w:r w:rsidRPr="00E266CD">
        <w:rPr>
          <w:b/>
        </w:rPr>
        <w:t>Treguesit kryesorë të rezultateve</w:t>
      </w:r>
    </w:p>
    <w:p w14:paraId="3309D368" w14:textId="17AD9DF8" w:rsidR="007959B4" w:rsidRPr="00E266CD" w:rsidRDefault="007959B4" w:rsidP="00175D90">
      <w:pPr>
        <w:pStyle w:val="TEKSTIIII"/>
      </w:pPr>
      <w:r w:rsidRPr="003419BA">
        <w:rPr>
          <w:b/>
        </w:rPr>
        <w:t>Tregues 1</w:t>
      </w:r>
      <w:r w:rsidRPr="00E266CD">
        <w:t>: Numri i fushatave ndërgjegjësuese me nxënësit/nxënëset e klasave të 9</w:t>
      </w:r>
      <w:r w:rsidR="003419BA">
        <w:t>-ta</w:t>
      </w:r>
      <w:r w:rsidRPr="00E266CD">
        <w:t xml:space="preserve"> dhe nxënësit/nxënëset e gjimnazeve për mundësitë që vijnë nga përfshirja në kërkim dhe inovacion.</w:t>
      </w:r>
    </w:p>
    <w:p w14:paraId="6AA203C3" w14:textId="4BBFCFC5" w:rsidR="007959B4" w:rsidRPr="00E266CD" w:rsidRDefault="007959B4" w:rsidP="00825FA5">
      <w:pPr>
        <w:pStyle w:val="TEKSTIIII"/>
        <w:rPr>
          <w:color w:val="000000"/>
        </w:rPr>
      </w:pPr>
      <w:bookmarkStart w:id="95" w:name="_Toc135703211"/>
      <w:r w:rsidRPr="00E266CD">
        <w:rPr>
          <w:color w:val="000000"/>
        </w:rPr>
        <w:t xml:space="preserve">Objektivi </w:t>
      </w:r>
      <w:r w:rsidR="003419BA">
        <w:rPr>
          <w:color w:val="000000"/>
        </w:rPr>
        <w:t>s</w:t>
      </w:r>
      <w:r w:rsidRPr="00E266CD">
        <w:rPr>
          <w:color w:val="000000"/>
        </w:rPr>
        <w:t>pecifik 3.3: Zhvillimi i kompetencës digjitale.</w:t>
      </w:r>
      <w:bookmarkEnd w:id="95"/>
    </w:p>
    <w:p w14:paraId="64774A0C" w14:textId="6302E599" w:rsidR="007959B4" w:rsidRPr="00E266CD" w:rsidRDefault="007959B4" w:rsidP="00175D90">
      <w:pPr>
        <w:pStyle w:val="TEKSTIIII"/>
        <w:rPr>
          <w:b/>
          <w:color w:val="000000"/>
        </w:rPr>
      </w:pPr>
      <w:bookmarkStart w:id="96" w:name="_Toc135703212"/>
      <w:r w:rsidRPr="00E266CD">
        <w:rPr>
          <w:b/>
          <w:color w:val="000000"/>
        </w:rPr>
        <w:t xml:space="preserve">Analiza e </w:t>
      </w:r>
      <w:r w:rsidR="003419BA" w:rsidRPr="00E266CD">
        <w:rPr>
          <w:b/>
          <w:color w:val="000000"/>
        </w:rPr>
        <w:t>situatës dhe sfid</w:t>
      </w:r>
      <w:r w:rsidRPr="00E266CD">
        <w:rPr>
          <w:b/>
          <w:color w:val="000000"/>
        </w:rPr>
        <w:t>at</w:t>
      </w:r>
      <w:bookmarkEnd w:id="96"/>
    </w:p>
    <w:p w14:paraId="4F609203" w14:textId="55EF8487" w:rsidR="007959B4" w:rsidRPr="00E266CD" w:rsidRDefault="007959B4" w:rsidP="00175D90">
      <w:pPr>
        <w:pStyle w:val="TEKSTIIII"/>
      </w:pPr>
      <w:r w:rsidRPr="00E266CD">
        <w:t>Aktualisht në arsimin parauniversitar janë pjesë e kurrikulave edhe lëndët e teknologjisë që i pajisin nxënësit/nxënëset me informacionet bazë të domosdoshme. Megjithatë, sidomos pas periudhës së vështirë të kaluar gjatë mbylljes së detyruar prej COVID</w:t>
      </w:r>
      <w:r w:rsidR="003419BA">
        <w:t>-</w:t>
      </w:r>
      <w:r w:rsidRPr="00E266CD">
        <w:t>19, doli domosdoshmëri zgjerimi i njohurive që marrin nxënësit/nxënëset. Kjo bëri që qeveria të marrë një sëre masash. Kështu që në vitin shkollor 2022</w:t>
      </w:r>
      <w:r w:rsidR="00C02573" w:rsidRPr="00E266CD">
        <w:t>–</w:t>
      </w:r>
      <w:r w:rsidRPr="00E266CD">
        <w:t>2023, në bashkëpunim me AADF</w:t>
      </w:r>
      <w:r w:rsidR="003419BA">
        <w:t>-në</w:t>
      </w:r>
      <w:r w:rsidRPr="00E266CD">
        <w:t xml:space="preserve">, në Shqipëri ka nisur pilotimi i projektit </w:t>
      </w:r>
      <w:r w:rsidR="00C02573" w:rsidRPr="00E266CD">
        <w:t>“</w:t>
      </w:r>
      <w:r w:rsidRPr="00E266CD">
        <w:t>Inteligjenca Artificiale për të rinjtë</w:t>
      </w:r>
      <w:r w:rsidR="00C02573" w:rsidRPr="00E266CD">
        <w:t>”</w:t>
      </w:r>
      <w:r w:rsidRPr="00E266CD">
        <w:t xml:space="preserve"> (Intel® Al for Youth). Që nga viti 2023, ky program zbatohet në më shumë se 27 vende në mbarë botën. Teknologjitë në zhvillim si inteligjenca artificiale (IA) po ndryshojnë dhe po riformojnë botën</w:t>
      </w:r>
      <w:r w:rsidR="003419BA">
        <w:t>,</w:t>
      </w:r>
      <w:r w:rsidRPr="00E266CD">
        <w:t xml:space="preserve"> duke pasur ndikim të jashtëzakonshëm në sektorin e punësimit dhe të ekonomisë, ndaj dhe ky projekt ka për qëllim të rrisë aftësitë që lidhen me teknologjinë dhe inteligjencën artificiale tek nxënësit/nxënëset shqiptare, të moshës nga 13 deri 19 vjeç. Të rinjtë do </w:t>
      </w:r>
      <w:r w:rsidR="003419BA">
        <w:t xml:space="preserve">të </w:t>
      </w:r>
      <w:r w:rsidRPr="00E266CD">
        <w:t xml:space="preserve">mund të mësojnë nëpërmjet një kurrikule të ndërtuar nga </w:t>
      </w:r>
      <w:r w:rsidRPr="003419BA">
        <w:rPr>
          <w:i/>
        </w:rPr>
        <w:t>Intel® Corporation</w:t>
      </w:r>
      <w:r w:rsidRPr="00E266CD">
        <w:t>, lider në industrinë e prodhimit të gjysmëpërçuesve, e cila është një ndër kompanitë më të mëdha të teknologjisë në botë. Janë bërë pjesë e projektit 9 institucione publike të arsimit të mesëm të lartë</w:t>
      </w:r>
      <w:r w:rsidR="003419BA">
        <w:t>,</w:t>
      </w:r>
      <w:r w:rsidRPr="00E266CD">
        <w:t xml:space="preserve"> në të cilët kurrikula e IA zhvillohet si orë jashtëkurrikulare dhe janë krijuar 2 kurse private falas për të rinjtë. Janë bër</w:t>
      </w:r>
      <w:r w:rsidR="003419BA">
        <w:t>ë</w:t>
      </w:r>
      <w:r w:rsidRPr="00E266CD">
        <w:t xml:space="preserve"> pjesë e projektit 160 nxënës dhe trajnuar 25 mësues. Në të njëjtën linjë</w:t>
      </w:r>
      <w:r w:rsidR="003419BA">
        <w:t>,</w:t>
      </w:r>
      <w:r w:rsidRPr="00E266CD">
        <w:t xml:space="preserve"> MAS</w:t>
      </w:r>
      <w:r w:rsidR="003419BA">
        <w:t>-i</w:t>
      </w:r>
      <w:r w:rsidRPr="00E266CD">
        <w:t xml:space="preserve"> dhe Fondacioni Vodafone Albania kanë nënshkruar në dhjetor 2021 </w:t>
      </w:r>
      <w:r w:rsidR="003419BA" w:rsidRPr="00E266CD">
        <w:t xml:space="preserve">memorandumin e bashkëpunimit </w:t>
      </w:r>
      <w:r w:rsidRPr="00E266CD">
        <w:t>për zbatimin e projektit “STEM”</w:t>
      </w:r>
      <w:r w:rsidR="003419BA">
        <w:t>.</w:t>
      </w:r>
      <w:r w:rsidRPr="00E266CD">
        <w:t xml:space="preserve"> Projekti</w:t>
      </w:r>
      <w:r w:rsidR="003419BA">
        <w:t>,</w:t>
      </w:r>
      <w:r w:rsidRPr="00E266CD">
        <w:t xml:space="preserve"> një program edukativ jashtë kurrikulës, i cili fuqizon mësuesit/mësueset dhe nxënësit/nxënëset nëpërmjet metodologjisë STEM, si dhe zhvillon aftësitë e tyre digjitale. Programi ka në fokus mësues dhe nxënës të shkollave publike në Shqipëri, të cilët do të trajnohen me metodologjinë STEM dhe do të mësojnë dhe zhvillojnë aftësitë nëpërmjet mjeteve digjitale (</w:t>
      </w:r>
      <w:r w:rsidRPr="00E266CD">
        <w:rPr>
          <w:i/>
        </w:rPr>
        <w:t>Arduino</w:t>
      </w:r>
      <w:r w:rsidRPr="00E266CD">
        <w:t xml:space="preserve">, kodimi, </w:t>
      </w:r>
      <w:r w:rsidRPr="00E266CD">
        <w:rPr>
          <w:i/>
        </w:rPr>
        <w:t>App Inventor</w:t>
      </w:r>
      <w:r w:rsidRPr="00E266CD">
        <w:t xml:space="preserve"> etj</w:t>
      </w:r>
      <w:r w:rsidR="00825FA5" w:rsidRPr="00E266CD">
        <w:t>.</w:t>
      </w:r>
      <w:r w:rsidRPr="00E266CD">
        <w:t>), do të identifikojnë çështje në komunitetin e tyre dhe do të zhvillojnë idetë e tyre për të zgjidhur probleme sociale nëpërmjet teknologjisë. Pjesë e projektit në vitin 2022 ishin 12 shkolla, me 258 nxënës përfitues dhe 20 mësues të trajnuar. Nga Komisioni i Akreditimit të Programeve/Moduleve të Trajnimit janë akredituar 57 module trajnimi ose 10.3% e totalit, për mësuesit/mësueset dhe për vitin 2022 janë trajnuar 2685 mësues në fushën e TIK-ut.</w:t>
      </w:r>
    </w:p>
    <w:p w14:paraId="46CE6D42" w14:textId="60BC2427" w:rsidR="007959B4" w:rsidRPr="00E266CD" w:rsidRDefault="007959B4" w:rsidP="00175D90">
      <w:pPr>
        <w:pStyle w:val="TEKSTIIII"/>
        <w:rPr>
          <w:b/>
        </w:rPr>
      </w:pPr>
      <w:r w:rsidRPr="00E266CD">
        <w:rPr>
          <w:b/>
        </w:rPr>
        <w:t>Rezultatet që pritet të arrihen përmes zbatimit të masave që lidhen me objektivin specifik</w:t>
      </w:r>
    </w:p>
    <w:p w14:paraId="78425397" w14:textId="6B5CB785" w:rsidR="007959B4" w:rsidRPr="00E266CD" w:rsidRDefault="00175D90" w:rsidP="00175D90">
      <w:pPr>
        <w:pStyle w:val="TEKSTIIII"/>
      </w:pPr>
      <w:r w:rsidRPr="00E266CD">
        <w:t xml:space="preserve">- </w:t>
      </w:r>
      <w:r w:rsidR="007959B4" w:rsidRPr="00E266CD">
        <w:t>Shkolla që kanë laboratorët për të ofruar kodimin</w:t>
      </w:r>
      <w:r w:rsidR="003419BA">
        <w:t>;</w:t>
      </w:r>
    </w:p>
    <w:p w14:paraId="238DC729" w14:textId="77777777" w:rsidR="007959B4" w:rsidRPr="00E266CD" w:rsidRDefault="00175D90" w:rsidP="00175D90">
      <w:pPr>
        <w:pStyle w:val="TEKSTIIII"/>
      </w:pPr>
      <w:r w:rsidRPr="00E266CD">
        <w:t xml:space="preserve">- </w:t>
      </w:r>
      <w:r w:rsidR="007959B4" w:rsidRPr="00E266CD">
        <w:t>Nxënës me njohuri digjitale të përfituara.</w:t>
      </w:r>
    </w:p>
    <w:p w14:paraId="111E3AC0" w14:textId="70092207" w:rsidR="007959B4" w:rsidRPr="001E1C90" w:rsidRDefault="007959B4" w:rsidP="00175D90">
      <w:pPr>
        <w:keepNext/>
        <w:keepLines/>
        <w:shd w:val="clear" w:color="auto" w:fill="D9D9D9"/>
        <w:spacing w:before="40"/>
        <w:ind w:firstLine="284"/>
        <w:rPr>
          <w:rFonts w:ascii="Garamond" w:eastAsia="Times New Roman" w:hAnsi="Garamond"/>
          <w:sz w:val="24"/>
          <w:szCs w:val="24"/>
        </w:rPr>
      </w:pPr>
      <w:r w:rsidRPr="001E1C90">
        <w:rPr>
          <w:rFonts w:ascii="Garamond" w:eastAsia="Times New Roman" w:hAnsi="Garamond"/>
          <w:sz w:val="24"/>
          <w:szCs w:val="24"/>
        </w:rPr>
        <w:t>Institucionet përgjegjëse drejtuese</w:t>
      </w:r>
      <w:r w:rsidR="001E1C90">
        <w:rPr>
          <w:rFonts w:ascii="Garamond" w:eastAsia="Times New Roman" w:hAnsi="Garamond"/>
          <w:sz w:val="24"/>
          <w:szCs w:val="24"/>
        </w:rPr>
        <w:t>:</w:t>
      </w:r>
    </w:p>
    <w:p w14:paraId="4FC09CD5" w14:textId="12523B88" w:rsidR="007959B4" w:rsidRPr="00E266CD" w:rsidRDefault="007959B4" w:rsidP="003419BA">
      <w:pPr>
        <w:ind w:firstLine="288"/>
        <w:rPr>
          <w:rFonts w:ascii="Garamond" w:eastAsia="Times New Roman" w:hAnsi="Garamond"/>
          <w:sz w:val="24"/>
          <w:szCs w:val="24"/>
        </w:rPr>
      </w:pPr>
      <w:r w:rsidRPr="00E266CD">
        <w:rPr>
          <w:rFonts w:ascii="Garamond" w:eastAsia="Times New Roman" w:hAnsi="Garamond"/>
          <w:sz w:val="24"/>
          <w:szCs w:val="24"/>
        </w:rPr>
        <w:t xml:space="preserve">ASCAP, MAS me program buxhetor </w:t>
      </w:r>
      <w:r w:rsidR="003419BA" w:rsidRPr="00E266CD">
        <w:rPr>
          <w:rFonts w:ascii="Garamond" w:eastAsia="Times New Roman" w:hAnsi="Garamond"/>
          <w:sz w:val="24"/>
          <w:szCs w:val="24"/>
        </w:rPr>
        <w:t>arsimi ba</w:t>
      </w:r>
      <w:r w:rsidRPr="00E266CD">
        <w:rPr>
          <w:rFonts w:ascii="Garamond" w:eastAsia="Times New Roman" w:hAnsi="Garamond"/>
          <w:sz w:val="24"/>
          <w:szCs w:val="24"/>
        </w:rPr>
        <w:t xml:space="preserve">zë (përfshirë parashkollorin), AKSHI </w:t>
      </w:r>
    </w:p>
    <w:p w14:paraId="2B4D835A" w14:textId="296B52AB" w:rsidR="007959B4" w:rsidRPr="001E1C90" w:rsidRDefault="007959B4" w:rsidP="003419BA">
      <w:pPr>
        <w:pStyle w:val="TEKSTIIII"/>
        <w:ind w:firstLine="288"/>
      </w:pPr>
      <w:r w:rsidRPr="001E1C90">
        <w:t>Institucionet kryesore pjesëmarrëse</w:t>
      </w:r>
      <w:r w:rsidR="001E1C90">
        <w:t>:</w:t>
      </w:r>
    </w:p>
    <w:p w14:paraId="57B4E3B8" w14:textId="7B9DCE88" w:rsidR="007959B4" w:rsidRPr="00E266CD" w:rsidRDefault="007959B4" w:rsidP="003419BA">
      <w:pPr>
        <w:ind w:firstLine="288"/>
        <w:rPr>
          <w:rFonts w:ascii="Garamond" w:eastAsia="Times New Roman" w:hAnsi="Garamond"/>
          <w:sz w:val="24"/>
          <w:szCs w:val="24"/>
        </w:rPr>
      </w:pPr>
      <w:r w:rsidRPr="00E266CD">
        <w:rPr>
          <w:rFonts w:ascii="Garamond" w:eastAsia="Times New Roman" w:hAnsi="Garamond"/>
          <w:sz w:val="24"/>
          <w:szCs w:val="24"/>
        </w:rPr>
        <w:t xml:space="preserve">MAS me program buxhetor </w:t>
      </w:r>
      <w:r w:rsidR="003419BA" w:rsidRPr="00E266CD">
        <w:rPr>
          <w:rFonts w:ascii="Garamond" w:eastAsia="Times New Roman" w:hAnsi="Garamond"/>
          <w:sz w:val="24"/>
          <w:szCs w:val="24"/>
        </w:rPr>
        <w:t xml:space="preserve">arsimi i mesëm </w:t>
      </w:r>
      <w:r w:rsidRPr="00E266CD">
        <w:rPr>
          <w:rFonts w:ascii="Garamond" w:eastAsia="Times New Roman" w:hAnsi="Garamond"/>
          <w:sz w:val="24"/>
          <w:szCs w:val="24"/>
        </w:rPr>
        <w:t>(i përgjithshëm),</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 xml:space="preserve">ASCAP </w:t>
      </w:r>
    </w:p>
    <w:p w14:paraId="5190E362" w14:textId="4D0DF669" w:rsidR="007959B4" w:rsidRPr="00E266CD" w:rsidRDefault="007959B4" w:rsidP="003419BA">
      <w:pPr>
        <w:pStyle w:val="TEKSTIIII"/>
        <w:ind w:firstLine="288"/>
        <w:rPr>
          <w:b/>
        </w:rPr>
      </w:pPr>
      <w:r w:rsidRPr="00E266CD">
        <w:rPr>
          <w:b/>
        </w:rPr>
        <w:t>Lidhja e objektivit specifik me nënkapitullin përkatës të BE-së sipas MSA-së</w:t>
      </w:r>
    </w:p>
    <w:p w14:paraId="3E7002C4" w14:textId="2539795B" w:rsidR="007959B4" w:rsidRPr="00E266CD" w:rsidRDefault="007959B4" w:rsidP="003419BA">
      <w:pPr>
        <w:ind w:firstLine="288"/>
        <w:rPr>
          <w:rFonts w:ascii="Garamond" w:eastAsia="Times New Roman" w:hAnsi="Garamond"/>
          <w:sz w:val="24"/>
          <w:szCs w:val="24"/>
        </w:rPr>
      </w:pPr>
      <w:r w:rsidRPr="00E266CD">
        <w:rPr>
          <w:rFonts w:ascii="Garamond" w:eastAsia="Times New Roman" w:hAnsi="Garamond"/>
          <w:sz w:val="24"/>
          <w:szCs w:val="24"/>
        </w:rPr>
        <w:t xml:space="preserve">Ky objektiv është i lidhur me </w:t>
      </w:r>
      <w:r w:rsidRPr="00E266CD">
        <w:rPr>
          <w:rFonts w:ascii="Garamond" w:eastAsia="Times New Roman" w:hAnsi="Garamond"/>
          <w:bCs/>
          <w:sz w:val="24"/>
          <w:szCs w:val="24"/>
        </w:rPr>
        <w:t>kapitullin 26 dhe kapitullin 25</w:t>
      </w:r>
      <w:r w:rsidRPr="00E266CD">
        <w:rPr>
          <w:rFonts w:ascii="Garamond" w:eastAsia="Times New Roman" w:hAnsi="Garamond"/>
          <w:sz w:val="24"/>
          <w:szCs w:val="24"/>
        </w:rPr>
        <w:t xml:space="preserve"> të </w:t>
      </w:r>
      <w:r w:rsidR="003419BA">
        <w:rPr>
          <w:rFonts w:ascii="Garamond" w:eastAsia="Times New Roman" w:hAnsi="Garamond"/>
          <w:i/>
          <w:sz w:val="24"/>
          <w:szCs w:val="24"/>
        </w:rPr>
        <w:t>a</w:t>
      </w:r>
      <w:r w:rsidRPr="00E266CD">
        <w:rPr>
          <w:rFonts w:ascii="Garamond" w:eastAsia="Times New Roman" w:hAnsi="Garamond"/>
          <w:i/>
          <w:sz w:val="24"/>
          <w:szCs w:val="24"/>
        </w:rPr>
        <w:t>cquis</w:t>
      </w:r>
      <w:r w:rsidRPr="00E266CD">
        <w:rPr>
          <w:rFonts w:ascii="Garamond" w:eastAsia="Times New Roman" w:hAnsi="Garamond"/>
          <w:sz w:val="24"/>
          <w:szCs w:val="24"/>
        </w:rPr>
        <w:t xml:space="preserve">, përkatësisht </w:t>
      </w:r>
      <w:r w:rsidR="003419BA" w:rsidRPr="00E266CD">
        <w:rPr>
          <w:rFonts w:ascii="Garamond" w:eastAsia="Times New Roman" w:hAnsi="Garamond"/>
          <w:sz w:val="24"/>
          <w:szCs w:val="24"/>
        </w:rPr>
        <w:t>arsimi dhe kultura, shkenca dhe kërkimi shkencor.</w:t>
      </w:r>
    </w:p>
    <w:p w14:paraId="6FEE2534" w14:textId="71F5C282" w:rsidR="007959B4" w:rsidRPr="007171BF" w:rsidRDefault="007959B4" w:rsidP="007171BF">
      <w:pPr>
        <w:pStyle w:val="TEKSTIIII"/>
        <w:ind w:firstLine="288"/>
        <w:rPr>
          <w:b/>
        </w:rPr>
      </w:pPr>
      <w:r w:rsidRPr="00E266CD">
        <w:rPr>
          <w:b/>
        </w:rPr>
        <w:t xml:space="preserve">Lista e masave për arritjen e </w:t>
      </w:r>
      <w:r w:rsidR="003419BA" w:rsidRPr="00E266CD">
        <w:rPr>
          <w:b/>
        </w:rPr>
        <w:t xml:space="preserve">objektivit specifik </w:t>
      </w:r>
      <w:r w:rsidRPr="00E266CD">
        <w:rPr>
          <w:b/>
        </w:rPr>
        <w:t>3.3:</w:t>
      </w:r>
    </w:p>
    <w:tbl>
      <w:tblPr>
        <w:tblStyle w:val="6"/>
        <w:tblW w:w="949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940"/>
        <w:gridCol w:w="8558"/>
      </w:tblGrid>
      <w:tr w:rsidR="007959B4" w:rsidRPr="00E266CD" w14:paraId="2D925397" w14:textId="77777777" w:rsidTr="00C02573">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40" w:type="dxa"/>
          </w:tcPr>
          <w:p w14:paraId="1E163C18" w14:textId="77777777" w:rsidR="007959B4" w:rsidRPr="00E266CD" w:rsidRDefault="007959B4" w:rsidP="00695B0D">
            <w:pPr>
              <w:rPr>
                <w:rFonts w:ascii="Garamond" w:eastAsia="Times New Roman" w:hAnsi="Garamond"/>
                <w:sz w:val="20"/>
              </w:rPr>
            </w:pPr>
          </w:p>
        </w:tc>
        <w:tc>
          <w:tcPr>
            <w:tcW w:w="8558" w:type="dxa"/>
          </w:tcPr>
          <w:p w14:paraId="560C3677" w14:textId="4C38FFAD" w:rsidR="007959B4" w:rsidRPr="00E266CD" w:rsidRDefault="007959B4" w:rsidP="00695B0D">
            <w:pPr>
              <w:pBdr>
                <w:bottom w:val="single" w:sz="12" w:space="1" w:color="000000"/>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Objektiv</w:t>
            </w:r>
            <w:r w:rsidR="003419BA">
              <w:rPr>
                <w:rFonts w:ascii="Garamond" w:eastAsia="Times New Roman" w:hAnsi="Garamond"/>
                <w:sz w:val="20"/>
              </w:rPr>
              <w:t>i</w:t>
            </w:r>
            <w:r w:rsidRPr="00E266CD">
              <w:rPr>
                <w:rFonts w:ascii="Garamond" w:eastAsia="Times New Roman" w:hAnsi="Garamond"/>
                <w:sz w:val="20"/>
              </w:rPr>
              <w:t xml:space="preserve"> </w:t>
            </w:r>
            <w:r w:rsidR="003419BA">
              <w:rPr>
                <w:rFonts w:ascii="Garamond" w:eastAsia="Times New Roman" w:hAnsi="Garamond"/>
                <w:sz w:val="20"/>
              </w:rPr>
              <w:t>s</w:t>
            </w:r>
            <w:r w:rsidRPr="00E266CD">
              <w:rPr>
                <w:rFonts w:ascii="Garamond" w:eastAsia="Times New Roman" w:hAnsi="Garamond"/>
                <w:sz w:val="20"/>
              </w:rPr>
              <w:t>pecifik 3.3</w:t>
            </w:r>
            <w:r w:rsidR="003419BA">
              <w:rPr>
                <w:rFonts w:ascii="Garamond" w:eastAsia="Times New Roman" w:hAnsi="Garamond"/>
                <w:sz w:val="20"/>
              </w:rPr>
              <w:t>:</w:t>
            </w:r>
            <w:r w:rsidR="00C02573" w:rsidRPr="00E266CD">
              <w:rPr>
                <w:rFonts w:ascii="Garamond" w:eastAsia="Times New Roman" w:hAnsi="Garamond"/>
                <w:sz w:val="20"/>
              </w:rPr>
              <w:t xml:space="preserve"> </w:t>
            </w:r>
            <w:r w:rsidRPr="00E266CD">
              <w:rPr>
                <w:rFonts w:ascii="Garamond" w:eastAsia="Times New Roman" w:hAnsi="Garamond"/>
                <w:sz w:val="20"/>
              </w:rPr>
              <w:t>Zhvillimi i kompetencës digjitale</w:t>
            </w:r>
          </w:p>
        </w:tc>
      </w:tr>
      <w:tr w:rsidR="007959B4" w:rsidRPr="00E266CD" w14:paraId="03040E99" w14:textId="77777777" w:rsidTr="00C02573">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40" w:type="dxa"/>
          </w:tcPr>
          <w:p w14:paraId="619D91F5"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 </w:t>
            </w:r>
          </w:p>
        </w:tc>
        <w:tc>
          <w:tcPr>
            <w:tcW w:w="8558" w:type="dxa"/>
          </w:tcPr>
          <w:p w14:paraId="74F5567E" w14:textId="77777777" w:rsidR="007959B4" w:rsidRPr="003419BA"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66CC"/>
                <w:sz w:val="20"/>
              </w:rPr>
            </w:pPr>
            <w:r w:rsidRPr="003419BA">
              <w:rPr>
                <w:rFonts w:ascii="Garamond" w:eastAsia="Times New Roman" w:hAnsi="Garamond"/>
                <w:b/>
                <w:color w:val="0066CC"/>
                <w:sz w:val="20"/>
              </w:rPr>
              <w:t>Masat:</w:t>
            </w:r>
          </w:p>
        </w:tc>
      </w:tr>
      <w:tr w:rsidR="007959B4" w:rsidRPr="00E266CD" w14:paraId="2268FD56" w14:textId="77777777" w:rsidTr="00C02573">
        <w:trPr>
          <w:trHeight w:val="255"/>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4DB0A992"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3.3.1</w:t>
            </w:r>
          </w:p>
        </w:tc>
        <w:tc>
          <w:tcPr>
            <w:tcW w:w="8558" w:type="dxa"/>
            <w:vAlign w:val="bottom"/>
          </w:tcPr>
          <w:p w14:paraId="0D662368" w14:textId="41B55F46"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Përmirësimi i kurrikulës, futja e TIK-ut në klasën e parë</w:t>
            </w:r>
          </w:p>
        </w:tc>
      </w:tr>
      <w:tr w:rsidR="007959B4" w:rsidRPr="00E266CD" w14:paraId="583394FB" w14:textId="77777777" w:rsidTr="00C02573">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940" w:type="dxa"/>
            <w:tcBorders>
              <w:left w:val="nil"/>
            </w:tcBorders>
          </w:tcPr>
          <w:p w14:paraId="30CB9AB2"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3.3.2</w:t>
            </w:r>
          </w:p>
        </w:tc>
        <w:tc>
          <w:tcPr>
            <w:tcW w:w="8558" w:type="dxa"/>
            <w:vAlign w:val="bottom"/>
          </w:tcPr>
          <w:p w14:paraId="0DFA58F6" w14:textId="62631CE0" w:rsidR="007959B4" w:rsidRPr="00E266CD" w:rsidRDefault="007959B4" w:rsidP="00695B0D">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0"/>
              </w:rPr>
            </w:pPr>
            <w:r w:rsidRPr="00E266CD">
              <w:rPr>
                <w:rFonts w:ascii="Garamond" w:eastAsia="Times New Roman" w:hAnsi="Garamond"/>
                <w:sz w:val="20"/>
              </w:rPr>
              <w:t>Zhvillimi i kompetencave digjitale të mësuesve përmes trajnimeve</w:t>
            </w:r>
          </w:p>
        </w:tc>
      </w:tr>
      <w:tr w:rsidR="007959B4" w:rsidRPr="00E266CD" w14:paraId="526A68AB" w14:textId="77777777" w:rsidTr="00695B0D">
        <w:trPr>
          <w:trHeight w:val="260"/>
        </w:trPr>
        <w:tc>
          <w:tcPr>
            <w:cnfStyle w:val="001000000000" w:firstRow="0" w:lastRow="0" w:firstColumn="1" w:lastColumn="0" w:oddVBand="0" w:evenVBand="0" w:oddHBand="0" w:evenHBand="0" w:firstRowFirstColumn="0" w:firstRowLastColumn="0" w:lastRowFirstColumn="0" w:lastRowLastColumn="0"/>
            <w:tcW w:w="940" w:type="dxa"/>
          </w:tcPr>
          <w:p w14:paraId="4DE74330" w14:textId="77777777" w:rsidR="007959B4" w:rsidRPr="00E266CD" w:rsidRDefault="007959B4" w:rsidP="00695B0D">
            <w:pPr>
              <w:rPr>
                <w:rFonts w:ascii="Garamond" w:eastAsia="Times New Roman" w:hAnsi="Garamond"/>
                <w:sz w:val="20"/>
              </w:rPr>
            </w:pPr>
            <w:r w:rsidRPr="00E266CD">
              <w:rPr>
                <w:rFonts w:ascii="Garamond" w:eastAsia="Times New Roman" w:hAnsi="Garamond"/>
                <w:color w:val="000000"/>
                <w:sz w:val="20"/>
              </w:rPr>
              <w:t>3.3.3</w:t>
            </w:r>
          </w:p>
        </w:tc>
        <w:tc>
          <w:tcPr>
            <w:tcW w:w="8558" w:type="dxa"/>
            <w:vAlign w:val="bottom"/>
          </w:tcPr>
          <w:p w14:paraId="3C0978C1" w14:textId="35C9E201" w:rsidR="007959B4" w:rsidRPr="00E266CD" w:rsidRDefault="007959B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20"/>
              </w:rPr>
            </w:pPr>
            <w:r w:rsidRPr="00E266CD">
              <w:rPr>
                <w:rFonts w:ascii="Garamond" w:eastAsia="Times New Roman" w:hAnsi="Garamond"/>
                <w:sz w:val="20"/>
              </w:rPr>
              <w:t xml:space="preserve">Përmirësimi i infrastrukturës, </w:t>
            </w:r>
            <w:r w:rsidR="00F5443C">
              <w:rPr>
                <w:rFonts w:ascii="Garamond" w:eastAsia="Times New Roman" w:hAnsi="Garamond"/>
                <w:i/>
                <w:sz w:val="20"/>
              </w:rPr>
              <w:t>s</w:t>
            </w:r>
            <w:r w:rsidRPr="00E266CD">
              <w:rPr>
                <w:rFonts w:ascii="Garamond" w:eastAsia="Times New Roman" w:hAnsi="Garamond"/>
                <w:i/>
                <w:sz w:val="20"/>
              </w:rPr>
              <w:t>martlab</w:t>
            </w:r>
            <w:r w:rsidRPr="00E266CD">
              <w:rPr>
                <w:rFonts w:ascii="Garamond" w:eastAsia="Times New Roman" w:hAnsi="Garamond"/>
                <w:sz w:val="20"/>
              </w:rPr>
              <w:t>-eve dhe pajisjeve të tjera të nevojshme</w:t>
            </w:r>
          </w:p>
        </w:tc>
      </w:tr>
    </w:tbl>
    <w:p w14:paraId="573E38D1" w14:textId="5AC2D657" w:rsidR="007959B4" w:rsidRPr="00E266CD" w:rsidRDefault="007959B4" w:rsidP="00175D90">
      <w:pPr>
        <w:pStyle w:val="TEKSTIIII"/>
        <w:rPr>
          <w:i/>
          <w:sz w:val="20"/>
          <w:szCs w:val="20"/>
        </w:rPr>
      </w:pPr>
      <w:r w:rsidRPr="00E266CD">
        <w:rPr>
          <w:i/>
          <w:sz w:val="20"/>
          <w:szCs w:val="20"/>
        </w:rPr>
        <w:t xml:space="preserve">Tabela </w:t>
      </w:r>
      <w:r w:rsidR="00B8758C" w:rsidRPr="00E266CD">
        <w:rPr>
          <w:i/>
          <w:sz w:val="20"/>
          <w:szCs w:val="20"/>
        </w:rPr>
        <w:t>n</w:t>
      </w:r>
      <w:r w:rsidRPr="00E266CD">
        <w:rPr>
          <w:i/>
          <w:sz w:val="20"/>
          <w:szCs w:val="20"/>
        </w:rPr>
        <w:t>r.</w:t>
      </w:r>
      <w:r w:rsidR="00B8758C" w:rsidRPr="00E266CD">
        <w:rPr>
          <w:i/>
          <w:sz w:val="20"/>
          <w:szCs w:val="20"/>
        </w:rPr>
        <w:t xml:space="preserve"> </w:t>
      </w:r>
      <w:r w:rsidRPr="00E266CD">
        <w:rPr>
          <w:i/>
          <w:sz w:val="20"/>
          <w:szCs w:val="20"/>
        </w:rPr>
        <w:t>10</w:t>
      </w:r>
      <w:r w:rsidR="00F5443C">
        <w:rPr>
          <w:i/>
          <w:sz w:val="20"/>
          <w:szCs w:val="20"/>
        </w:rPr>
        <w:t>:</w:t>
      </w:r>
      <w:r w:rsidRPr="00E266CD">
        <w:rPr>
          <w:i/>
          <w:sz w:val="20"/>
          <w:szCs w:val="20"/>
        </w:rPr>
        <w:t xml:space="preserve"> Lista e masave për arritjen e objektivit specifik 3.3</w:t>
      </w:r>
      <w:r w:rsidR="00F5443C">
        <w:rPr>
          <w:i/>
          <w:sz w:val="20"/>
          <w:szCs w:val="20"/>
        </w:rPr>
        <w:t>.</w:t>
      </w:r>
    </w:p>
    <w:p w14:paraId="6E470984" w14:textId="77777777" w:rsidR="00B8758C" w:rsidRPr="00E266CD" w:rsidRDefault="00B8758C" w:rsidP="00175D90">
      <w:pPr>
        <w:pStyle w:val="TEKSTIIII"/>
        <w:rPr>
          <w:i/>
          <w:sz w:val="20"/>
          <w:szCs w:val="20"/>
        </w:rPr>
      </w:pPr>
    </w:p>
    <w:p w14:paraId="09169BD2" w14:textId="77777777" w:rsidR="007959B4" w:rsidRPr="00E266CD" w:rsidRDefault="007959B4" w:rsidP="00175D90">
      <w:pPr>
        <w:pStyle w:val="TEKSTIIII"/>
        <w:rPr>
          <w:b/>
        </w:rPr>
      </w:pPr>
      <w:r w:rsidRPr="00E266CD">
        <w:rPr>
          <w:b/>
        </w:rPr>
        <w:t>Treguesit kryesorë të rezultateve</w:t>
      </w:r>
    </w:p>
    <w:p w14:paraId="43647E5D" w14:textId="7FA59E98" w:rsidR="007959B4" w:rsidRDefault="007959B4" w:rsidP="00175D90">
      <w:pPr>
        <w:pStyle w:val="TEKSTIIII"/>
      </w:pPr>
      <w:r w:rsidRPr="00F5443C">
        <w:rPr>
          <w:b/>
        </w:rPr>
        <w:t>Tregues 1:</w:t>
      </w:r>
      <w:r w:rsidRPr="00F5443C">
        <w:t xml:space="preserve"> Përqindja</w:t>
      </w:r>
      <w:r w:rsidRPr="00E266CD">
        <w:t xml:space="preserve"> e mësuesve të trajnuar mbi kompetencat digjitale.</w:t>
      </w:r>
    </w:p>
    <w:p w14:paraId="0FC22901" w14:textId="77777777" w:rsidR="00F5443C" w:rsidRPr="00F5443C" w:rsidRDefault="00F5443C" w:rsidP="00175D90">
      <w:pPr>
        <w:pStyle w:val="TEKSTIIII"/>
        <w:rPr>
          <w:sz w:val="14"/>
        </w:rPr>
      </w:pPr>
    </w:p>
    <w:p w14:paraId="01507CAC" w14:textId="03C2C108" w:rsidR="007959B4" w:rsidRPr="00E266CD" w:rsidRDefault="00417E27" w:rsidP="00175D90">
      <w:pPr>
        <w:pStyle w:val="TEKSTIIII"/>
      </w:pPr>
      <w:bookmarkStart w:id="97" w:name="_Toc135703213"/>
      <w:r w:rsidRPr="00E266CD">
        <w:t>PJESA IV – ZBATIMI, LLOGARIDHËNIA DHE KOORDINIMI</w:t>
      </w:r>
      <w:bookmarkEnd w:id="97"/>
    </w:p>
    <w:p w14:paraId="07CB7F85" w14:textId="1A90351A" w:rsidR="007959B4" w:rsidRPr="00E266CD" w:rsidRDefault="007959B4" w:rsidP="00175D90">
      <w:pPr>
        <w:pStyle w:val="TEKSTIIII"/>
      </w:pPr>
      <w:r w:rsidRPr="00E266CD">
        <w:t>Zbatimi efektiv dhe i suksesshëm i SKKSHTI 2023</w:t>
      </w:r>
      <w:r w:rsidR="00825FA5" w:rsidRPr="00E266CD">
        <w:rPr>
          <w:rFonts w:eastAsia="Times New Roman"/>
        </w:rPr>
        <w:t>–</w:t>
      </w:r>
      <w:r w:rsidRPr="00E266CD">
        <w:t>2030</w:t>
      </w:r>
      <w:r w:rsidR="00F5443C">
        <w:t>,</w:t>
      </w:r>
      <w:r w:rsidRPr="00E266CD">
        <w:t xml:space="preserve"> do të arrihet përmes një sistemi monitorimi dhe vlerësimi për të verifikuar progresin në plotësimin ose jo të objektivave specifik</w:t>
      </w:r>
      <w:r w:rsidR="00EB1BF5">
        <w:t>ë</w:t>
      </w:r>
      <w:r w:rsidRPr="00E266CD">
        <w:t xml:space="preserve"> dhe masave të vendosura në Planin e Veprimit. I gjithë procesi i monitorimit dhe vlerësimit do të menaxhohet përmes Komitetit Drejtues Sektorial për Strategjinë Kombëtare të Kërkimit Shkencor</w:t>
      </w:r>
      <w:r w:rsidR="00F5443C">
        <w:t>,</w:t>
      </w:r>
      <w:r w:rsidRPr="00E266CD">
        <w:t xml:space="preserve"> Teknologjisë dhe Inovacionit 2023</w:t>
      </w:r>
      <w:r w:rsidR="00825FA5" w:rsidRPr="00E266CD">
        <w:rPr>
          <w:rFonts w:eastAsia="Times New Roman"/>
        </w:rPr>
        <w:t>–</w:t>
      </w:r>
      <w:r w:rsidRPr="00E266CD">
        <w:t>2030, siç parashikohet në urdhrin e Kryeministrit nr. 157</w:t>
      </w:r>
      <w:r w:rsidR="00C02573" w:rsidRPr="00E266CD">
        <w:t>,</w:t>
      </w:r>
      <w:r w:rsidRPr="00E266CD">
        <w:t xml:space="preserve"> datë 22.10.2018</w:t>
      </w:r>
      <w:r w:rsidR="00825FA5" w:rsidRPr="00E266CD">
        <w:t>,</w:t>
      </w:r>
      <w:r w:rsidRPr="00E266CD">
        <w:t xml:space="preserve"> “Për marrjen e masave për zbatimin e qasjes së gjerë sektoriale/ndërsektoriale dhe krijimin</w:t>
      </w:r>
      <w:r w:rsidR="00F5443C">
        <w:t>,</w:t>
      </w:r>
      <w:r w:rsidRPr="00E266CD">
        <w:t xml:space="preserve"> dhe funksionimin e një mekanizmi të integruar sektorial/ndërsektorial”. </w:t>
      </w:r>
    </w:p>
    <w:p w14:paraId="24E7CB2A" w14:textId="6E9F7F46" w:rsidR="007959B4" w:rsidRPr="00E266CD" w:rsidRDefault="007959B4" w:rsidP="00175D90">
      <w:pPr>
        <w:pStyle w:val="TEKSTIIII"/>
      </w:pPr>
      <w:r w:rsidRPr="00E266CD">
        <w:t>Komiteti Drejtues për Strategjinë e Shkencës, Teknologjisë dhe Inovacionit do të operojë përmes grupeve tematike të cilat do të jenë pjesë e Grupit për Menaxhimin e Integruar të Politikave për sektorin e shkencës dhe arsimit</w:t>
      </w:r>
      <w:r w:rsidR="00F5443C">
        <w:t>,</w:t>
      </w:r>
      <w:r w:rsidRPr="00E266CD">
        <w:t xml:space="preserve"> dhe institucionet e tjera pjesëmarrëse, si dhe nëpërmjet Sekretariatit Teknik i cili do të formalizohet me urdhër të </w:t>
      </w:r>
      <w:r w:rsidR="00F5443C">
        <w:t>m</w:t>
      </w:r>
      <w:r w:rsidRPr="00E266CD">
        <w:t>inistrit Arsimit dhe Sportit.</w:t>
      </w:r>
    </w:p>
    <w:p w14:paraId="6B69D1ED" w14:textId="77E2825C" w:rsidR="007959B4" w:rsidRPr="00E266CD" w:rsidRDefault="007959B4" w:rsidP="00175D90">
      <w:pPr>
        <w:pStyle w:val="TEKSTIIII"/>
      </w:pPr>
      <w:r w:rsidRPr="00E266CD">
        <w:t>Raportet e monitorimit do të hartohen në bashkëpunim me të gjitha institucionet e përfshira</w:t>
      </w:r>
      <w:r w:rsidR="00F5443C">
        <w:t>,</w:t>
      </w:r>
      <w:r w:rsidRPr="00E266CD">
        <w:t xml:space="preserve"> si dhe do të diskutohen në grupet tematike të krijuara për këtë qëllim sipas objektivave specifi</w:t>
      </w:r>
      <w:r w:rsidR="00EB1BF5">
        <w:t>kë</w:t>
      </w:r>
      <w:r w:rsidRPr="00E266CD">
        <w:t xml:space="preserve"> të SKKSHTI 2023</w:t>
      </w:r>
      <w:r w:rsidR="00825FA5" w:rsidRPr="00E266CD">
        <w:rPr>
          <w:rFonts w:eastAsia="Times New Roman"/>
        </w:rPr>
        <w:t>–</w:t>
      </w:r>
      <w:r w:rsidRPr="00E266CD">
        <w:t xml:space="preserve">2030 dhe më pas miratohen në Komitetin Drejtues Sektorial për sektorin e shkencës dhe kërkimit shkencor. </w:t>
      </w:r>
    </w:p>
    <w:p w14:paraId="55A7541D" w14:textId="21ED13D0" w:rsidR="007959B4" w:rsidRPr="00E266CD" w:rsidRDefault="007959B4" w:rsidP="00175D90">
      <w:pPr>
        <w:pStyle w:val="TEKSTIIII"/>
      </w:pPr>
      <w:r w:rsidRPr="00E266CD">
        <w:t>Gjithashtu, është dakordësuar që të ngrihet një grup pune midis menaxhimit të nivelit të mesëm nga MAS</w:t>
      </w:r>
      <w:r w:rsidR="00F5443C">
        <w:t>-i</w:t>
      </w:r>
      <w:r w:rsidRPr="00E266CD">
        <w:t xml:space="preserve"> dhe AKKSHI për të diskutuar problematikat dhe pengesat që dalin gjatë zbatimit të SKKSHTI</w:t>
      </w:r>
      <w:r w:rsidR="00F5443C">
        <w:t>-së</w:t>
      </w:r>
      <w:r w:rsidRPr="00E266CD">
        <w:t xml:space="preserve"> dhe gjatë ushtrimit normal të aktiviteteve të institucioneve përkatëse, të cilat kërkojnë një qasje të përbashkët.</w:t>
      </w:r>
    </w:p>
    <w:p w14:paraId="0F52CB0F" w14:textId="1F1DE0B7" w:rsidR="007959B4" w:rsidRPr="00E266CD" w:rsidRDefault="007959B4" w:rsidP="00175D90">
      <w:pPr>
        <w:pStyle w:val="TEKSTIIII"/>
        <w:rPr>
          <w:b/>
        </w:rPr>
      </w:pPr>
      <w:r w:rsidRPr="00E266CD">
        <w:rPr>
          <w:b/>
        </w:rPr>
        <w:t>Metodologjia e monitorimit</w:t>
      </w:r>
    </w:p>
    <w:p w14:paraId="7644AEDA" w14:textId="38B8C0B9" w:rsidR="007959B4" w:rsidRPr="00E266CD" w:rsidRDefault="007959B4" w:rsidP="00175D90">
      <w:pPr>
        <w:pStyle w:val="TEKSTIIII"/>
      </w:pPr>
      <w:r w:rsidRPr="00E266CD">
        <w:t>MAS</w:t>
      </w:r>
      <w:r w:rsidR="00F5443C">
        <w:t>-i</w:t>
      </w:r>
      <w:r w:rsidRPr="00E266CD">
        <w:t xml:space="preserve"> do të hartojë raporte gjashtëmujore dhe vjetore</w:t>
      </w:r>
      <w:r w:rsidR="00F5443C">
        <w:t>,</w:t>
      </w:r>
      <w:r w:rsidRPr="00E266CD">
        <w:t xml:space="preserve"> monitorimi dhe vlerësimi</w:t>
      </w:r>
      <w:r w:rsidR="00F5443C">
        <w:t>,</w:t>
      </w:r>
      <w:r w:rsidRPr="00E266CD">
        <w:t xml:space="preserve"> bazuar në standardet IPSIS</w:t>
      </w:r>
      <w:r w:rsidR="00F5443C">
        <w:t>,</w:t>
      </w:r>
      <w:r w:rsidRPr="00E266CD">
        <w:t xml:space="preserve"> për monitorimin dhe raportimin e dokumenteve strategjike, të cilët do të prodhojnë informacion të nevojshëm dhe në kohë për politikbërësit mbi progresin e zbatimit të masave që janë parashikuar në Planin e Veprimit të SKKSHTI</w:t>
      </w:r>
      <w:r w:rsidR="00F5443C">
        <w:t>-së</w:t>
      </w:r>
      <w:r w:rsidRPr="00E266CD">
        <w:t xml:space="preserve"> për çdo vit. Gjithashtu, do</w:t>
      </w:r>
      <w:r w:rsidR="00F5443C">
        <w:t xml:space="preserve"> të</w:t>
      </w:r>
      <w:r w:rsidRPr="00E266CD">
        <w:t xml:space="preserve"> parashikohet dhe një monitorim afatmesëm për zbatimin në fund të vitit 2027. Plani i veprimit të dokumentit strategjik, duke marrë në konsideratë shkallën e mobilizimit të burimeve financiare për zbatimin e tij, do të rishikohet çdo 2</w:t>
      </w:r>
      <w:r w:rsidR="00C02573" w:rsidRPr="00E266CD">
        <w:t>–</w:t>
      </w:r>
      <w:r w:rsidRPr="00E266CD">
        <w:t xml:space="preserve">3 vjet për të siguruar në këtë mënyrë një vlerësim real për zbatimin e tij. </w:t>
      </w:r>
    </w:p>
    <w:p w14:paraId="43F4C812" w14:textId="773202EC" w:rsidR="007959B4" w:rsidRPr="00E266CD" w:rsidRDefault="007959B4" w:rsidP="00175D90">
      <w:pPr>
        <w:pStyle w:val="TEKSTIIII"/>
      </w:pPr>
      <w:r w:rsidRPr="00E266CD">
        <w:t>MAS</w:t>
      </w:r>
      <w:r w:rsidR="00F5443C">
        <w:t>-i</w:t>
      </w:r>
      <w:r w:rsidRPr="00E266CD">
        <w:t xml:space="preserve"> do të përdorë metodologjinë e monitorimit të bazuar në standardet IPSIS</w:t>
      </w:r>
      <w:r w:rsidR="00F5443C">
        <w:t>,</w:t>
      </w:r>
      <w:r w:rsidRPr="00E266CD">
        <w:t xml:space="preserve"> që do të përcaktojnë se si do të kryhet procesi i monitorimit dhe vlerësimit</w:t>
      </w:r>
      <w:r w:rsidR="00F5443C">
        <w:t>,</w:t>
      </w:r>
      <w:r w:rsidRPr="00E266CD">
        <w:t xml:space="preserve"> me qëllim krijimin e një sistemi efektiv, të unifikuar dhe sistematik të raportimit të të dhënave të të gjithë institucioneve të përfshira në zbatimin e sistemit IPSIS. Sipas këtij dokumenti strategjik, secili institucion raporton mbi nivelin e zbatimit të secilit objektiv dhe masë, mbi buxhetin e alokuar, problemet e hasura dhe vlerësimin e progresit të strategjisë në përgjithësi. Për monitorimin e zbatimit të angazhimeve të ndërmarra, në lidhje me zbatimin e masave, procesi i monitorimit do të realizohet në nivel objektivi. Verifikimi i të dhënave të raportuara realizohet pjesërisht </w:t>
      </w:r>
      <w:r w:rsidRPr="00E266CD">
        <w:rPr>
          <w:i/>
        </w:rPr>
        <w:t>online</w:t>
      </w:r>
      <w:r w:rsidRPr="00E266CD">
        <w:t xml:space="preserve"> për të garantuar saktësinë e tyre. Përpunimi statistikor i të dhënave kryhet me anë të shifrimit të përgjigjeve sipas raporteve të marrë. Këto raporte janë kryesisht të karakterit narrativ, por edhe statistikor duke përdorur indikatorë të performancës.</w:t>
      </w:r>
    </w:p>
    <w:p w14:paraId="20AC4384" w14:textId="7356B72A" w:rsidR="007959B4" w:rsidRPr="00E266CD" w:rsidRDefault="007959B4" w:rsidP="00175D90">
      <w:pPr>
        <w:pStyle w:val="TEKSTIIII"/>
      </w:pPr>
      <w:r w:rsidRPr="00E266CD">
        <w:t>Në përputhje me procedurat që do të ndiqen për raportim</w:t>
      </w:r>
      <w:r w:rsidR="00F5443C">
        <w:t>in</w:t>
      </w:r>
      <w:r w:rsidRPr="00E266CD">
        <w:t xml:space="preserve"> dhe monitorimin</w:t>
      </w:r>
      <w:r w:rsidR="00F5443C">
        <w:t>,</w:t>
      </w:r>
      <w:r w:rsidRPr="00E266CD">
        <w:t xml:space="preserve"> në zbatim të </w:t>
      </w:r>
      <w:r w:rsidR="00F5443C">
        <w:t>v</w:t>
      </w:r>
      <w:r w:rsidRPr="00E266CD">
        <w:t xml:space="preserve">endimit të Këshillit të Ministrave </w:t>
      </w:r>
      <w:r w:rsidR="00825FA5" w:rsidRPr="00E266CD">
        <w:t>n</w:t>
      </w:r>
      <w:r w:rsidRPr="00E266CD">
        <w:t>r. 290, datë 11.4.2020</w:t>
      </w:r>
      <w:r w:rsidR="00825FA5" w:rsidRPr="00E266CD">
        <w:t>,</w:t>
      </w:r>
      <w:r w:rsidRPr="00E266CD">
        <w:t xml:space="preserve"> “Për krijimin e bazës </w:t>
      </w:r>
      <w:r w:rsidR="00F5443C">
        <w:t>s</w:t>
      </w:r>
      <w:r w:rsidRPr="00E266CD">
        <w:t>ë të dhënave shtetërore të sistemit informatik të planifikimit të integruar (SIPI/IPSIS)</w:t>
      </w:r>
      <w:r w:rsidR="00C02573" w:rsidRPr="00E266CD">
        <w:t>”</w:t>
      </w:r>
      <w:r w:rsidR="00F5443C">
        <w:t>,</w:t>
      </w:r>
      <w:r w:rsidRPr="00E266CD">
        <w:t xml:space="preserve"> për përgatitjen e raporteve të monitorimit do të ndiqen fazat e mëposhtme</w:t>
      </w:r>
      <w:r w:rsidR="00F5443C">
        <w:t>:</w:t>
      </w:r>
    </w:p>
    <w:p w14:paraId="0BA6E4CA" w14:textId="60BDB6B9" w:rsidR="007959B4" w:rsidRPr="00E266CD" w:rsidRDefault="007959B4" w:rsidP="00175D90">
      <w:pPr>
        <w:pStyle w:val="TEKSTIIII"/>
      </w:pPr>
      <w:r w:rsidRPr="00E266CD">
        <w:rPr>
          <w:b/>
        </w:rPr>
        <w:t>Faza 1</w:t>
      </w:r>
      <w:r w:rsidRPr="00E266CD">
        <w:t>. Marrja e të gjithë kontributeve nga institucionet raportuese dhe konsolidimi i paketës</w:t>
      </w:r>
      <w:r w:rsidR="00F5443C">
        <w:t>,</w:t>
      </w:r>
      <w:r w:rsidRPr="00E266CD">
        <w:t xml:space="preserve"> në përputhje me standardet e sistemit (të rishikohet raporti).</w:t>
      </w:r>
    </w:p>
    <w:p w14:paraId="1CA3D7F3" w14:textId="233873C0" w:rsidR="007959B4" w:rsidRPr="00E266CD" w:rsidRDefault="007959B4" w:rsidP="00175D90">
      <w:pPr>
        <w:pStyle w:val="TEKSTIIII"/>
      </w:pPr>
      <w:r w:rsidRPr="00E266CD">
        <w:rPr>
          <w:b/>
        </w:rPr>
        <w:t xml:space="preserve">Faza 2. </w:t>
      </w:r>
      <w:r w:rsidRPr="00E266CD">
        <w:t>Dërgimi i paketës së plotë për vlerësim në SASPAC në Kryeministri</w:t>
      </w:r>
      <w:r w:rsidR="00F5443C">
        <w:t>,</w:t>
      </w:r>
      <w:r w:rsidRPr="00E266CD">
        <w:t xml:space="preserve"> në përputhje me standardet e sistemit. Paketa e plotë do të duhet të përfshijë materialet e mëposhtme:</w:t>
      </w:r>
    </w:p>
    <w:p w14:paraId="54A05274" w14:textId="62F8C563" w:rsidR="007959B4" w:rsidRPr="00E266CD" w:rsidRDefault="007959B4" w:rsidP="00175D90">
      <w:pPr>
        <w:pStyle w:val="TEKSTIIII"/>
      </w:pPr>
      <w:r w:rsidRPr="00E266CD">
        <w:t>2.1 Raportprogresin e konsoliduar</w:t>
      </w:r>
      <w:r w:rsidR="00F5443C">
        <w:t>,</w:t>
      </w:r>
      <w:r w:rsidRPr="00E266CD">
        <w:t xml:space="preserve"> në përputhje me standardet e sistemit dhe metodologjinë e SASPAC.</w:t>
      </w:r>
    </w:p>
    <w:p w14:paraId="2588096E" w14:textId="7CB95003" w:rsidR="007959B4" w:rsidRPr="00E266CD" w:rsidRDefault="007959B4" w:rsidP="00175D90">
      <w:pPr>
        <w:pStyle w:val="TEKSTIIII"/>
      </w:pPr>
      <w:r w:rsidRPr="00E266CD">
        <w:t>2.2 Planin e zbatueshmërisë së masave për periudhën referuese</w:t>
      </w:r>
      <w:r w:rsidR="00F5443C">
        <w:t>,</w:t>
      </w:r>
      <w:r w:rsidRPr="00E266CD">
        <w:t xml:space="preserve"> në përputhje me standardet e sistemit dhe metodologjinë e SASPAC.</w:t>
      </w:r>
    </w:p>
    <w:p w14:paraId="6EDE79E7" w14:textId="59A87C7F" w:rsidR="007959B4" w:rsidRPr="00E266CD" w:rsidRDefault="007959B4" w:rsidP="00175D90">
      <w:pPr>
        <w:pStyle w:val="TEKSTIIII"/>
      </w:pPr>
      <w:r w:rsidRPr="00E266CD">
        <w:t>2.3 Pasaportën e Indikatorëve</w:t>
      </w:r>
      <w:r w:rsidR="00F5443C">
        <w:t>,</w:t>
      </w:r>
      <w:r w:rsidRPr="00E266CD">
        <w:t xml:space="preserve"> në përputhje me standardet e sistemit për periudhën referuese</w:t>
      </w:r>
      <w:r w:rsidR="00F5443C">
        <w:t>,</w:t>
      </w:r>
      <w:r w:rsidRPr="00E266CD">
        <w:t xml:space="preserve"> në përputhje me të gjithë indikatorët e pasaportës për reformën në administratën publike. </w:t>
      </w:r>
    </w:p>
    <w:p w14:paraId="67F794EB" w14:textId="2FBCE8BB" w:rsidR="007959B4" w:rsidRPr="00E266CD" w:rsidRDefault="007959B4" w:rsidP="00175D90">
      <w:pPr>
        <w:pStyle w:val="TEKSTIIII"/>
      </w:pPr>
      <w:r w:rsidRPr="00E266CD">
        <w:t>2.4 Bazën e të dhënave për vitin referues në zbatim të indikatorëve të pasaportës.</w:t>
      </w:r>
    </w:p>
    <w:p w14:paraId="2018DAE8" w14:textId="7D392A8B" w:rsidR="007959B4" w:rsidRPr="00E266CD" w:rsidRDefault="007959B4" w:rsidP="00175D90">
      <w:pPr>
        <w:pStyle w:val="TEKSTIIII"/>
      </w:pPr>
      <w:r w:rsidRPr="00E266CD">
        <w:rPr>
          <w:b/>
        </w:rPr>
        <w:t>Faza 3:</w:t>
      </w:r>
      <w:r w:rsidRPr="00E266CD">
        <w:t xml:space="preserve"> Konsolidimi i paketës pas marrjes dhe reflektimit të komenteve të sjella nga SASPAC në Kryeministri.</w:t>
      </w:r>
    </w:p>
    <w:p w14:paraId="7492C075" w14:textId="2A43FBE4" w:rsidR="007959B4" w:rsidRPr="00E266CD" w:rsidRDefault="007959B4" w:rsidP="00175D90">
      <w:pPr>
        <w:pStyle w:val="TEKSTIIII"/>
      </w:pPr>
      <w:r w:rsidRPr="00E266CD">
        <w:rPr>
          <w:b/>
        </w:rPr>
        <w:t>Faza 4:</w:t>
      </w:r>
      <w:r w:rsidRPr="00E266CD">
        <w:t xml:space="preserve"> Organizimi i mbledhjes së KDS</w:t>
      </w:r>
      <w:r w:rsidR="00F5443C">
        <w:t>-së</w:t>
      </w:r>
      <w:r w:rsidRPr="00E266CD">
        <w:t xml:space="preserve"> për konsultimin e paketës së konsoliduar dhe marrjen e komenteve nga aktorët.</w:t>
      </w:r>
    </w:p>
    <w:p w14:paraId="3CEE41F7" w14:textId="77777777" w:rsidR="007959B4" w:rsidRPr="00E266CD" w:rsidRDefault="007959B4" w:rsidP="00175D90">
      <w:pPr>
        <w:pStyle w:val="TEKSTIIII"/>
      </w:pPr>
      <w:r w:rsidRPr="00E266CD">
        <w:rPr>
          <w:b/>
        </w:rPr>
        <w:t>Faza 5</w:t>
      </w:r>
      <w:r w:rsidRPr="00E266CD">
        <w:t>: Reflektimi i komenteve dhe finalizimi i paketës së Raportit të Monitorimit.</w:t>
      </w:r>
    </w:p>
    <w:p w14:paraId="1B656524" w14:textId="193A478A" w:rsidR="007959B4" w:rsidRPr="00E266CD" w:rsidRDefault="007959B4" w:rsidP="00175D90">
      <w:pPr>
        <w:pStyle w:val="TEKSTIIII"/>
      </w:pPr>
      <w:r w:rsidRPr="00E266CD">
        <w:rPr>
          <w:b/>
        </w:rPr>
        <w:t>Faza 6</w:t>
      </w:r>
      <w:r w:rsidRPr="00E266CD">
        <w:t xml:space="preserve">: Publikimi i </w:t>
      </w:r>
      <w:r w:rsidR="00F5443C" w:rsidRPr="00E266CD">
        <w:t>raportit vjetor</w:t>
      </w:r>
      <w:r w:rsidRPr="00E266CD">
        <w:t>.</w:t>
      </w:r>
    </w:p>
    <w:p w14:paraId="5E4346C7" w14:textId="3764461E" w:rsidR="00175D90" w:rsidRPr="00E266CD" w:rsidRDefault="007959B4" w:rsidP="00417E27">
      <w:pPr>
        <w:pStyle w:val="TEKSTIIII"/>
      </w:pPr>
      <w:r w:rsidRPr="00E266CD">
        <w:rPr>
          <w:b/>
        </w:rPr>
        <w:t>Faza 7</w:t>
      </w:r>
      <w:r w:rsidRPr="00E266CD">
        <w:t>: Dërgimi i procedurave (</w:t>
      </w:r>
      <w:r w:rsidR="00F5443C">
        <w:t>s</w:t>
      </w:r>
      <w:r w:rsidRPr="00E266CD">
        <w:t>hënimet e takimit,</w:t>
      </w:r>
      <w:r w:rsidR="00825FA5" w:rsidRPr="00E266CD">
        <w:t xml:space="preserve"> </w:t>
      </w:r>
      <w:r w:rsidRPr="00E266CD">
        <w:t xml:space="preserve">konkluzionet operacionale) të mbledhjes së KDS-së dhe paketa finale, së bashku me </w:t>
      </w:r>
      <w:r w:rsidRPr="00E266CD">
        <w:rPr>
          <w:i/>
        </w:rPr>
        <w:t>link</w:t>
      </w:r>
      <w:r w:rsidR="00825FA5" w:rsidRPr="00E266CD">
        <w:t>-</w:t>
      </w:r>
      <w:r w:rsidRPr="00E266CD">
        <w:t>un për njohje</w:t>
      </w:r>
      <w:r w:rsidR="00F5443C">
        <w:t>n e</w:t>
      </w:r>
      <w:r w:rsidRPr="00E266CD">
        <w:t xml:space="preserve"> Departamentit të Zhvillimit dhe Mirëqeverisjes në Kryeministri.</w:t>
      </w:r>
      <w:bookmarkStart w:id="98" w:name="_heading=h.3x8tuzt" w:colFirst="0" w:colLast="0"/>
      <w:bookmarkStart w:id="99" w:name="_Toc135703214"/>
      <w:bookmarkEnd w:id="98"/>
    </w:p>
    <w:p w14:paraId="360D825C" w14:textId="5454BE07" w:rsidR="007959B4" w:rsidRPr="00E266CD" w:rsidRDefault="00C02573" w:rsidP="00C02573">
      <w:pPr>
        <w:pStyle w:val="TEKSTIIII"/>
        <w:rPr>
          <w:color w:val="000000"/>
        </w:rPr>
      </w:pPr>
      <w:r w:rsidRPr="00E266CD">
        <w:rPr>
          <w:color w:val="000000"/>
        </w:rPr>
        <w:t>PJESA V</w:t>
      </w:r>
      <w:r w:rsidR="00417E27" w:rsidRPr="00E266CD">
        <w:rPr>
          <w:color w:val="000000"/>
        </w:rPr>
        <w:t xml:space="preserve"> –</w:t>
      </w:r>
      <w:r w:rsidRPr="00E266CD">
        <w:rPr>
          <w:color w:val="000000"/>
        </w:rPr>
        <w:t xml:space="preserve"> PLANI I VEPRIMIT DHE VLERËSIMET FINANCIARE</w:t>
      </w:r>
      <w:bookmarkEnd w:id="99"/>
    </w:p>
    <w:p w14:paraId="3F4EE6ED" w14:textId="441CE4C1" w:rsidR="007959B4" w:rsidRPr="00E266CD" w:rsidRDefault="007959B4" w:rsidP="00175D90">
      <w:pPr>
        <w:ind w:firstLine="284"/>
        <w:rPr>
          <w:rFonts w:ascii="Garamond" w:eastAsia="Times New Roman" w:hAnsi="Garamond"/>
          <w:sz w:val="24"/>
          <w:szCs w:val="24"/>
        </w:rPr>
      </w:pPr>
      <w:r w:rsidRPr="00E266CD">
        <w:rPr>
          <w:rFonts w:ascii="Garamond" w:eastAsia="Times New Roman" w:hAnsi="Garamond"/>
          <w:sz w:val="24"/>
          <w:szCs w:val="24"/>
        </w:rPr>
        <w:t>Plani i detajuar i veprimit është bashkangjitur si aneks i këtij dokumenti strategjik</w:t>
      </w:r>
      <w:r w:rsidR="00F5443C">
        <w:rPr>
          <w:rFonts w:ascii="Garamond" w:eastAsia="Times New Roman" w:hAnsi="Garamond"/>
          <w:sz w:val="24"/>
          <w:szCs w:val="24"/>
        </w:rPr>
        <w:t>,</w:t>
      </w:r>
      <w:r w:rsidR="007715D0" w:rsidRPr="00E266CD">
        <w:rPr>
          <w:rFonts w:ascii="Garamond" w:eastAsia="Times New Roman" w:hAnsi="Garamond"/>
          <w:sz w:val="24"/>
          <w:szCs w:val="24"/>
        </w:rPr>
        <w:t xml:space="preserve"> </w:t>
      </w:r>
      <w:r w:rsidRPr="00E266CD">
        <w:rPr>
          <w:rFonts w:ascii="Garamond" w:eastAsia="Times New Roman" w:hAnsi="Garamond"/>
          <w:sz w:val="24"/>
          <w:szCs w:val="24"/>
        </w:rPr>
        <w:t>është hartuar në përputhje me metodologjinë e sistemit IPSIS. Gjithashtu, kostimi i planit të veprimit është bërë sipas metodologjisë së kostimit të integruar në sistemin IPSIS dhe buxhetet e detajuara japin ndarjen e duhur për programet buxhetore, edhe sipas institucioneve.</w:t>
      </w:r>
    </w:p>
    <w:p w14:paraId="50FDF454" w14:textId="69287A0F" w:rsidR="007959B4" w:rsidRPr="00E266CD" w:rsidRDefault="007959B4" w:rsidP="00175D90">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Kjo pjesë e Strategjisë Kombëtare të Kërkimit Shkencor, Teknologjisë dhe Inovacionit 2023</w:t>
      </w:r>
      <w:r w:rsidR="00825FA5" w:rsidRPr="00E266CD">
        <w:rPr>
          <w:rFonts w:ascii="Garamond" w:eastAsia="Times New Roman" w:hAnsi="Garamond"/>
          <w:sz w:val="24"/>
          <w:szCs w:val="24"/>
        </w:rPr>
        <w:t>–</w:t>
      </w:r>
      <w:r w:rsidRPr="00E266CD">
        <w:rPr>
          <w:rFonts w:ascii="Garamond" w:eastAsia="Times New Roman" w:hAnsi="Garamond"/>
          <w:color w:val="000000"/>
          <w:sz w:val="24"/>
          <w:szCs w:val="24"/>
        </w:rPr>
        <w:t xml:space="preserve"> 2030 përmban informacion në lidhje me financimin e këtij dokumenti</w:t>
      </w:r>
      <w:r w:rsidR="00F5443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duke e specifikuar sipas financimit që nevojitet për secilin nga qëllimet, në mënyrë që të realizohen secili prej tyre. Vlen të theksohet se në kostimin e masave, objektivave dhe qëllimeve të strategjisë është ndjekur metodologjia sipas standardeve IPSIS dhe nuk ka dublikim masash me strategji të tjera kombëtare sektoriale apo ndërsektoriale. Në pjesën </w:t>
      </w:r>
      <w:r w:rsidRPr="00A6005A">
        <w:rPr>
          <w:rFonts w:ascii="Garamond" w:eastAsia="Times New Roman" w:hAnsi="Garamond"/>
          <w:i/>
          <w:color w:val="000000"/>
          <w:sz w:val="24"/>
          <w:szCs w:val="24"/>
        </w:rPr>
        <w:t>Korniza ligjore dhe institucionale, arritjet dhe mësimet e nxjerra,</w:t>
      </w:r>
      <w:r w:rsidRPr="00E266CD">
        <w:rPr>
          <w:rFonts w:ascii="Garamond" w:eastAsia="Times New Roman" w:hAnsi="Garamond"/>
          <w:b/>
          <w:i/>
          <w:color w:val="000000"/>
          <w:sz w:val="24"/>
          <w:szCs w:val="24"/>
        </w:rPr>
        <w:t xml:space="preserve"> </w:t>
      </w:r>
      <w:r w:rsidRPr="00E266CD">
        <w:rPr>
          <w:rFonts w:ascii="Garamond" w:eastAsia="Times New Roman" w:hAnsi="Garamond"/>
          <w:color w:val="000000"/>
          <w:sz w:val="24"/>
          <w:szCs w:val="24"/>
        </w:rPr>
        <w:t>nënçështja e tretë jep lidhjen e strategjive të tjera sektoriale</w:t>
      </w:r>
      <w:r w:rsidR="00F5443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duke identifikuar qëllimet e politikës/objektivat specifikë/masat e përfshira në këto strategji që ndikojnë drejtpërdrejtë edhe në realizimin e qëllimeve të SKKSHTI 2023</w:t>
      </w:r>
      <w:r w:rsidR="00825FA5" w:rsidRPr="00E266CD">
        <w:rPr>
          <w:rFonts w:ascii="Garamond" w:eastAsia="Times New Roman" w:hAnsi="Garamond"/>
          <w:sz w:val="24"/>
          <w:szCs w:val="24"/>
        </w:rPr>
        <w:t>–</w:t>
      </w:r>
      <w:r w:rsidRPr="00E266CD">
        <w:rPr>
          <w:rFonts w:ascii="Garamond" w:eastAsia="Times New Roman" w:hAnsi="Garamond"/>
          <w:color w:val="000000"/>
          <w:sz w:val="24"/>
          <w:szCs w:val="24"/>
        </w:rPr>
        <w:t>2030. Gjithashtu, një element tjetër që është e vështirë, për momentin, të kostohet saktë është pikërisht sasia e investimeve në teknologji dhe inovacion</w:t>
      </w:r>
      <w:r w:rsidR="00F5443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që realizojnë bizneset që zhvillojnë veprimtarinë e tyre në vend. Duke mbledhur </w:t>
      </w:r>
      <w:r w:rsidR="00F5443C">
        <w:rPr>
          <w:rFonts w:ascii="Garamond" w:eastAsia="Times New Roman" w:hAnsi="Garamond"/>
          <w:color w:val="000000"/>
          <w:sz w:val="24"/>
          <w:szCs w:val="24"/>
        </w:rPr>
        <w:t xml:space="preserve">të </w:t>
      </w:r>
      <w:r w:rsidRPr="00E266CD">
        <w:rPr>
          <w:rFonts w:ascii="Garamond" w:eastAsia="Times New Roman" w:hAnsi="Garamond"/>
          <w:color w:val="000000"/>
          <w:sz w:val="24"/>
          <w:szCs w:val="24"/>
        </w:rPr>
        <w:t>gjithë informacionin mund të merret buxheti i plotë.</w:t>
      </w:r>
    </w:p>
    <w:p w14:paraId="39931960" w14:textId="2793B701" w:rsidR="007959B4" w:rsidRPr="00E266CD" w:rsidRDefault="007959B4" w:rsidP="00175D90">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Fillimisht jepet shpërndarja e burimeve sipas qëllimeve të politikës</w:t>
      </w:r>
      <w:r w:rsidR="00F5443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si dhe nevojat e paplotësuara me financim ose hendeku financiar për secilin nga qëllimet. Burimet e financimit të hendekut financiar të çdo qëllimi janë buxheti i shtetit, donatorët nëpërmjet granteve apo edhe fonde të tjera të asistencës teknike.</w:t>
      </w:r>
    </w:p>
    <w:p w14:paraId="5B415010" w14:textId="59915B58" w:rsidR="007959B4" w:rsidRPr="00E266CD" w:rsidRDefault="007959B4" w:rsidP="00175D90">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Siç edhe është përmendur më lart, strategjia ka 3 qëllime politike dhe MAS</w:t>
      </w:r>
      <w:r w:rsidR="00F5443C">
        <w:rPr>
          <w:rFonts w:ascii="Garamond" w:eastAsia="Times New Roman" w:hAnsi="Garamond"/>
          <w:color w:val="000000"/>
          <w:sz w:val="24"/>
          <w:szCs w:val="24"/>
        </w:rPr>
        <w:t>-i</w:t>
      </w:r>
      <w:r w:rsidRPr="00E266CD">
        <w:rPr>
          <w:rFonts w:ascii="Garamond" w:eastAsia="Times New Roman" w:hAnsi="Garamond"/>
          <w:color w:val="000000"/>
          <w:sz w:val="24"/>
          <w:szCs w:val="24"/>
        </w:rPr>
        <w:t xml:space="preserve"> është institucioni përgjegjës për të koordinuar veprimet dhe për të bërë të lehtësuar veprimet dhe mundur që masat e parashikuara në strategji të realizohen me sukses.</w:t>
      </w:r>
    </w:p>
    <w:p w14:paraId="73A96DFF" w14:textId="58A2CD3F" w:rsidR="007959B4" w:rsidRPr="00E266CD" w:rsidRDefault="007959B4" w:rsidP="00175D90">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Për</w:t>
      </w:r>
      <w:r w:rsidR="00825FA5" w:rsidRPr="00E266CD">
        <w:rPr>
          <w:rFonts w:ascii="Garamond" w:eastAsia="Times New Roman" w:hAnsi="Garamond"/>
          <w:color w:val="000000"/>
          <w:sz w:val="24"/>
          <w:szCs w:val="24"/>
        </w:rPr>
        <w:t xml:space="preserve"> </w:t>
      </w:r>
      <w:r w:rsidRPr="00E266CD">
        <w:rPr>
          <w:rFonts w:ascii="Garamond" w:eastAsia="Times New Roman" w:hAnsi="Garamond"/>
          <w:color w:val="000000"/>
          <w:sz w:val="24"/>
          <w:szCs w:val="24"/>
        </w:rPr>
        <w:t xml:space="preserve">sa i përket hendekut të financimit, pjesa më e madhe e tij përbëhet nga shpenzimet trajnime, studim i situatës për një çështje të caktuar, shpërndarje informacioni, platforma </w:t>
      </w:r>
      <w:r w:rsidRPr="00E266CD">
        <w:rPr>
          <w:rFonts w:ascii="Garamond" w:eastAsia="Times New Roman" w:hAnsi="Garamond"/>
          <w:i/>
          <w:color w:val="000000"/>
          <w:sz w:val="24"/>
          <w:szCs w:val="24"/>
        </w:rPr>
        <w:t>online</w:t>
      </w:r>
      <w:r w:rsidRPr="00E266CD">
        <w:rPr>
          <w:rFonts w:ascii="Garamond" w:eastAsia="Times New Roman" w:hAnsi="Garamond"/>
          <w:color w:val="000000"/>
          <w:sz w:val="24"/>
          <w:szCs w:val="24"/>
        </w:rPr>
        <w:t xml:space="preserve"> apo edhe ndryshim strukture të AKKSHI</w:t>
      </w:r>
      <w:r w:rsidR="00F5443C">
        <w:rPr>
          <w:rFonts w:ascii="Garamond" w:eastAsia="Times New Roman" w:hAnsi="Garamond"/>
          <w:color w:val="000000"/>
          <w:sz w:val="24"/>
          <w:szCs w:val="24"/>
        </w:rPr>
        <w:t>-t</w:t>
      </w:r>
      <w:r w:rsidRPr="00E266CD">
        <w:rPr>
          <w:rFonts w:ascii="Garamond" w:eastAsia="Times New Roman" w:hAnsi="Garamond"/>
          <w:color w:val="000000"/>
          <w:sz w:val="24"/>
          <w:szCs w:val="24"/>
        </w:rPr>
        <w:t>.</w:t>
      </w:r>
    </w:p>
    <w:p w14:paraId="45EDB6F6" w14:textId="7CB19084" w:rsidR="007959B4" w:rsidRPr="00E266CD" w:rsidRDefault="007959B4" w:rsidP="00175D90">
      <w:pPr>
        <w:pBdr>
          <w:top w:val="nil"/>
          <w:left w:val="nil"/>
          <w:bottom w:val="nil"/>
          <w:right w:val="nil"/>
          <w:between w:val="nil"/>
        </w:pBdr>
        <w:ind w:firstLine="284"/>
        <w:rPr>
          <w:rFonts w:ascii="Garamond" w:eastAsia="Times New Roman" w:hAnsi="Garamond"/>
          <w:color w:val="000000"/>
          <w:sz w:val="24"/>
          <w:szCs w:val="24"/>
        </w:rPr>
      </w:pPr>
      <w:r w:rsidRPr="00E266CD">
        <w:rPr>
          <w:rFonts w:ascii="Garamond" w:eastAsia="Times New Roman" w:hAnsi="Garamond"/>
          <w:color w:val="000000"/>
          <w:sz w:val="24"/>
          <w:szCs w:val="24"/>
        </w:rPr>
        <w:t>Kosto</w:t>
      </w:r>
      <w:r w:rsidR="00F5443C">
        <w:rPr>
          <w:rFonts w:ascii="Garamond" w:eastAsia="Times New Roman" w:hAnsi="Garamond"/>
          <w:color w:val="000000"/>
          <w:sz w:val="24"/>
          <w:szCs w:val="24"/>
        </w:rPr>
        <w:t>ja</w:t>
      </w:r>
      <w:r w:rsidRPr="00E266CD">
        <w:rPr>
          <w:rFonts w:ascii="Garamond" w:eastAsia="Times New Roman" w:hAnsi="Garamond"/>
          <w:color w:val="000000"/>
          <w:sz w:val="24"/>
          <w:szCs w:val="24"/>
        </w:rPr>
        <w:t xml:space="preserve"> totale e strategjisë për të tetë vitet është </w:t>
      </w:r>
      <w:r w:rsidRPr="00E266CD">
        <w:rPr>
          <w:rFonts w:ascii="Garamond" w:eastAsia="Times New Roman" w:hAnsi="Garamond"/>
          <w:b/>
          <w:color w:val="000000"/>
          <w:sz w:val="24"/>
          <w:szCs w:val="24"/>
        </w:rPr>
        <w:t xml:space="preserve">29,373,746,090 </w:t>
      </w:r>
      <w:r w:rsidRPr="00E266CD">
        <w:rPr>
          <w:rFonts w:ascii="Garamond" w:eastAsia="Times New Roman" w:hAnsi="Garamond"/>
          <w:bCs/>
          <w:color w:val="000000"/>
          <w:sz w:val="24"/>
          <w:szCs w:val="24"/>
        </w:rPr>
        <w:t>l</w:t>
      </w:r>
      <w:r w:rsidRPr="00E266CD">
        <w:rPr>
          <w:rFonts w:ascii="Garamond" w:eastAsia="Times New Roman" w:hAnsi="Garamond"/>
          <w:color w:val="000000"/>
          <w:sz w:val="24"/>
          <w:szCs w:val="24"/>
        </w:rPr>
        <w:t xml:space="preserve">ekë dhe hendeku financiar është 28.8%. Hendeku financiar në total është </w:t>
      </w:r>
      <w:r w:rsidRPr="00E266CD">
        <w:rPr>
          <w:rFonts w:ascii="Garamond" w:eastAsia="Times New Roman" w:hAnsi="Garamond"/>
          <w:b/>
          <w:color w:val="000000"/>
          <w:sz w:val="24"/>
          <w:szCs w:val="24"/>
        </w:rPr>
        <w:t xml:space="preserve">- 8,457,937,512 </w:t>
      </w:r>
      <w:r w:rsidRPr="00E266CD">
        <w:rPr>
          <w:rFonts w:ascii="Garamond" w:eastAsia="Times New Roman" w:hAnsi="Garamond"/>
          <w:color w:val="000000"/>
          <w:sz w:val="24"/>
          <w:szCs w:val="24"/>
        </w:rPr>
        <w:t>lekë. Në grafikun e mëposhtëm jepet hendeku financiar për secilin nga qëllimet e politikës.</w:t>
      </w:r>
    </w:p>
    <w:p w14:paraId="111903DB" w14:textId="41A21113" w:rsidR="00175D90" w:rsidRPr="00E266CD" w:rsidRDefault="007959B4" w:rsidP="00417E27">
      <w:pPr>
        <w:pBdr>
          <w:top w:val="nil"/>
          <w:left w:val="nil"/>
          <w:bottom w:val="nil"/>
          <w:right w:val="nil"/>
          <w:between w:val="nil"/>
        </w:pBdr>
        <w:ind w:firstLine="284"/>
        <w:rPr>
          <w:rFonts w:ascii="Garamond" w:eastAsia="Times New Roman" w:hAnsi="Garamond"/>
          <w:sz w:val="24"/>
          <w:szCs w:val="24"/>
        </w:rPr>
      </w:pPr>
      <w:r w:rsidRPr="00E266CD">
        <w:rPr>
          <w:rFonts w:ascii="Garamond" w:eastAsia="Times New Roman" w:hAnsi="Garamond"/>
          <w:color w:val="000000"/>
          <w:sz w:val="24"/>
          <w:szCs w:val="24"/>
        </w:rPr>
        <w:t>Nëse analizohet hendeku financiar sipas qëllimeve vihet re se për qëllimin e parë ai kap vlerën 5,035,396,847 lekë, për qëllimin e dytë kap vlerën 3,387,380,677 lekë dhe për qëllimin e tretë kap vlerën 35,159,988 lekë. Pra</w:t>
      </w:r>
      <w:r w:rsidR="00F5443C">
        <w:rPr>
          <w:rFonts w:ascii="Garamond" w:eastAsia="Times New Roman" w:hAnsi="Garamond"/>
          <w:color w:val="000000"/>
          <w:sz w:val="24"/>
          <w:szCs w:val="24"/>
        </w:rPr>
        <w:t>,</w:t>
      </w:r>
      <w:r w:rsidRPr="00E266CD">
        <w:rPr>
          <w:rFonts w:ascii="Garamond" w:eastAsia="Times New Roman" w:hAnsi="Garamond"/>
          <w:color w:val="000000"/>
          <w:sz w:val="24"/>
          <w:szCs w:val="24"/>
        </w:rPr>
        <w:t xml:space="preserve"> qëllimi i parë që lidhet edhe me ngritjen e kapaciteteve kap vlerën më të lartë të hendekut të financimit. Qëllimi i tretë kap vlerën më të vogël të financimit</w:t>
      </w:r>
      <w:bookmarkStart w:id="100" w:name="_Toc135703215"/>
      <w:r w:rsidR="00F5443C">
        <w:rPr>
          <w:rFonts w:ascii="Garamond" w:eastAsia="Times New Roman" w:hAnsi="Garamond"/>
          <w:color w:val="000000"/>
          <w:sz w:val="24"/>
          <w:szCs w:val="24"/>
        </w:rPr>
        <w:t>.</w:t>
      </w:r>
    </w:p>
    <w:p w14:paraId="5F2F7FEB" w14:textId="5052F0DD" w:rsidR="007959B4" w:rsidRPr="00E266CD" w:rsidRDefault="007959B4" w:rsidP="00825FA5">
      <w:pPr>
        <w:pStyle w:val="TEKSTIIII"/>
      </w:pPr>
      <w:r w:rsidRPr="00E266CD">
        <w:t>NEVOJAT PËR SHPENZIME KAPITALE DHE SHPENZIME KORENTE</w:t>
      </w:r>
      <w:bookmarkEnd w:id="100"/>
    </w:p>
    <w:p w14:paraId="3C4B557B" w14:textId="77777777" w:rsidR="007959B4" w:rsidRPr="00E266CD" w:rsidRDefault="007959B4" w:rsidP="00175D90">
      <w:pPr>
        <w:pStyle w:val="TEKSTIIII"/>
      </w:pPr>
      <w:r w:rsidRPr="00E266CD">
        <w:t>Identifikimi i shpenzimeve korente dhe shpenzimeve kapitale bëhet i mundur pas përcaktimit të kuadrit strategjik, pra të qëllimeve, objektivave specifikë dhe masave të strategjisë. Tre qëllimet e politikës për të cilat janë identifikuar edhe shpenzimet përkatëse janë:</w:t>
      </w:r>
    </w:p>
    <w:p w14:paraId="311B13DF" w14:textId="5DCE226F" w:rsidR="007959B4" w:rsidRPr="00E266CD" w:rsidRDefault="007959B4" w:rsidP="00175D90">
      <w:pPr>
        <w:pStyle w:val="TEKSTIIII"/>
      </w:pPr>
      <w:r w:rsidRPr="00E266CD">
        <w:t xml:space="preserve">1. Rritja e efikasitetit dhe qëndrueshmërisë së sistemit për mbështetjen e kërkimit shkencor, </w:t>
      </w:r>
      <w:r w:rsidR="00BF1624" w:rsidRPr="00E266CD">
        <w:rPr>
          <w:rFonts w:eastAsia="Times New Roman"/>
        </w:rPr>
        <w:t>të</w:t>
      </w:r>
      <w:r w:rsidRPr="00E266CD">
        <w:t xml:space="preserve"> integruar n</w:t>
      </w:r>
      <w:r w:rsidR="00BF1624" w:rsidRPr="00E266CD">
        <w:t>ë</w:t>
      </w:r>
      <w:r w:rsidRPr="00E266CD">
        <w:t xml:space="preserve"> nivel ndërkombëtar,</w:t>
      </w:r>
      <w:r w:rsidR="007715D0" w:rsidRPr="00E266CD">
        <w:t xml:space="preserve"> </w:t>
      </w:r>
      <w:r w:rsidRPr="00E266CD">
        <w:t>në të gjithë spektrin e fushave të shkencave natyrore, inxhinierike dhe teknologjike, mjekësore, bujqësore, sociale</w:t>
      </w:r>
      <w:r w:rsidR="007715D0" w:rsidRPr="00E266CD">
        <w:t xml:space="preserve"> </w:t>
      </w:r>
      <w:r w:rsidRPr="00E266CD">
        <w:t>dhe humane</w:t>
      </w:r>
      <w:r w:rsidR="00D44BB0">
        <w:t>;</w:t>
      </w:r>
    </w:p>
    <w:p w14:paraId="76D610B9" w14:textId="480BE0BA" w:rsidR="007959B4" w:rsidRPr="00E266CD" w:rsidRDefault="007959B4" w:rsidP="00175D90">
      <w:pPr>
        <w:pStyle w:val="TEKSTIIII"/>
      </w:pPr>
      <w:r w:rsidRPr="00E266CD">
        <w:t>2. Krijimi i një mjedisi që lehtëson dhe inkurajon mekanizmat e ndërveprimit dhe transferimit të teknologjive për bashkëpunim midis komunitetit të kërkimit, ekonomisë,</w:t>
      </w:r>
      <w:r w:rsidR="007715D0" w:rsidRPr="00E266CD">
        <w:t xml:space="preserve"> </w:t>
      </w:r>
      <w:r w:rsidRPr="00E266CD">
        <w:t>inovacionit dhe institucioneve publike</w:t>
      </w:r>
      <w:r w:rsidR="00D44BB0">
        <w:t>;</w:t>
      </w:r>
    </w:p>
    <w:p w14:paraId="0D4C8AB0" w14:textId="4B5F6703" w:rsidR="007959B4" w:rsidRPr="00E266CD" w:rsidRDefault="007959B4" w:rsidP="00175D90">
      <w:pPr>
        <w:pStyle w:val="TEKSTIIII"/>
      </w:pPr>
      <w:r w:rsidRPr="00E266CD">
        <w:t>3. Promovimi i kulturës s</w:t>
      </w:r>
      <w:r w:rsidR="00D44BB0">
        <w:t>ë</w:t>
      </w:r>
      <w:r w:rsidRPr="00E266CD">
        <w:t xml:space="preserve"> shkencës dhe inovacionit në edukim për të siguruar një qasje didaktike me theksin në praktikat kërkimore dhe projektet</w:t>
      </w:r>
      <w:r w:rsidR="00D44BB0">
        <w:t>.</w:t>
      </w:r>
    </w:p>
    <w:p w14:paraId="4C71309E" w14:textId="77777777" w:rsidR="00175D90" w:rsidRPr="00E266CD" w:rsidRDefault="00175D90" w:rsidP="007959B4">
      <w:pPr>
        <w:rPr>
          <w:rFonts w:ascii="Garamond" w:eastAsia="Times New Roman" w:hAnsi="Garamond"/>
          <w:sz w:val="24"/>
          <w:szCs w:val="24"/>
        </w:rPr>
      </w:pPr>
    </w:p>
    <w:p w14:paraId="2D62FD75" w14:textId="0AD51127" w:rsidR="007959B4" w:rsidRPr="00D44BB0" w:rsidRDefault="007959B4" w:rsidP="00175D90">
      <w:pPr>
        <w:pStyle w:val="TEKSTIIII"/>
        <w:jc w:val="center"/>
        <w:rPr>
          <w:i/>
        </w:rPr>
      </w:pPr>
      <w:r w:rsidRPr="00D44BB0">
        <w:rPr>
          <w:i/>
        </w:rPr>
        <w:t>Grafiku 1</w:t>
      </w:r>
      <w:r w:rsidR="00A6005A">
        <w:rPr>
          <w:i/>
        </w:rPr>
        <w:t>.</w:t>
      </w:r>
      <w:r w:rsidRPr="00D44BB0">
        <w:rPr>
          <w:i/>
        </w:rPr>
        <w:t xml:space="preserve"> Burimet e financimit</w:t>
      </w:r>
    </w:p>
    <w:p w14:paraId="49A24619" w14:textId="77777777" w:rsidR="007959B4" w:rsidRPr="00E266CD" w:rsidRDefault="007959B4" w:rsidP="00175D90">
      <w:pPr>
        <w:pBdr>
          <w:top w:val="nil"/>
          <w:left w:val="nil"/>
          <w:bottom w:val="nil"/>
          <w:right w:val="nil"/>
          <w:between w:val="nil"/>
        </w:pBdr>
        <w:jc w:val="center"/>
        <w:rPr>
          <w:rFonts w:ascii="Garamond" w:eastAsia="Times New Roman" w:hAnsi="Garamond"/>
          <w:color w:val="000000"/>
          <w:sz w:val="24"/>
          <w:szCs w:val="24"/>
        </w:rPr>
      </w:pPr>
      <w:r w:rsidRPr="00E266CD">
        <w:rPr>
          <w:rFonts w:ascii="Garamond" w:eastAsia="Times New Roman" w:hAnsi="Garamond"/>
          <w:noProof/>
          <w:color w:val="000000"/>
          <w:sz w:val="24"/>
          <w:szCs w:val="24"/>
          <w:lang w:val="en-US"/>
        </w:rPr>
        <w:drawing>
          <wp:inline distT="0" distB="0" distL="0" distR="0" wp14:anchorId="3EA8537F" wp14:editId="1D733824">
            <wp:extent cx="4504981" cy="1868993"/>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8397" cy="1870410"/>
                    </a:xfrm>
                    <a:prstGeom prst="rect">
                      <a:avLst/>
                    </a:prstGeom>
                    <a:noFill/>
                  </pic:spPr>
                </pic:pic>
              </a:graphicData>
            </a:graphic>
          </wp:inline>
        </w:drawing>
      </w:r>
    </w:p>
    <w:p w14:paraId="716809B1" w14:textId="77777777" w:rsidR="00175D90" w:rsidRPr="00E266CD" w:rsidRDefault="00175D90" w:rsidP="00175D90">
      <w:pPr>
        <w:pStyle w:val="TEKSTIIII"/>
      </w:pPr>
    </w:p>
    <w:p w14:paraId="3F48B89F" w14:textId="3C23E3DB" w:rsidR="007959B4" w:rsidRPr="00E266CD" w:rsidRDefault="007959B4" w:rsidP="00175D90">
      <w:pPr>
        <w:pStyle w:val="TEKSTIIII"/>
      </w:pPr>
      <w:r w:rsidRPr="00E266CD">
        <w:t>Pjesa më e madhe e financimit me rreth 40% të kostove mbulohet nga buxheti i shtetit dhe lidhet me pagat, investimet kapitale dhe grantet që qeveria jep nëpërmjet AKKSHI</w:t>
      </w:r>
      <w:r w:rsidR="00D44BB0">
        <w:t>-t</w:t>
      </w:r>
      <w:r w:rsidRPr="00E266CD">
        <w:t xml:space="preserve"> </w:t>
      </w:r>
      <w:r w:rsidR="00D44BB0">
        <w:t>f</w:t>
      </w:r>
      <w:r w:rsidRPr="00E266CD">
        <w:t xml:space="preserve">ondet për </w:t>
      </w:r>
      <w:r w:rsidR="00D44BB0">
        <w:rPr>
          <w:i/>
        </w:rPr>
        <w:t>s</w:t>
      </w:r>
      <w:r w:rsidRPr="00E266CD">
        <w:rPr>
          <w:i/>
        </w:rPr>
        <w:t>tartup</w:t>
      </w:r>
      <w:r w:rsidR="00417E27" w:rsidRPr="00E266CD">
        <w:t>-et</w:t>
      </w:r>
      <w:r w:rsidRPr="00E266CD">
        <w:t xml:space="preserve">, politikë që zbatohet nga </w:t>
      </w:r>
      <w:r w:rsidR="00D44BB0">
        <w:t>m</w:t>
      </w:r>
      <w:r w:rsidRPr="00E266CD">
        <w:t xml:space="preserve">inistri i Shtetit për Mbështetjen e Sipërmarrjes, fonde të thirrjeve të bëra nga AIDA në Ministrinë e Financave dhe Ekonomisë, fonde të Ministrisë së Arsimit dhe Shkencës apo edhe fonde që mbështesin iniciativa si zgjerimi i njohurive për kodimin. 11% financohet nga donatorët si EU, AADF, madje edhe fonde të organizatave si </w:t>
      </w:r>
      <w:r w:rsidR="00D44BB0" w:rsidRPr="00E266CD">
        <w:t xml:space="preserve">Vodafone </w:t>
      </w:r>
      <w:r w:rsidRPr="00E266CD">
        <w:t>etj.</w:t>
      </w:r>
      <w:r w:rsidR="00D44BB0">
        <w:t>,</w:t>
      </w:r>
      <w:r w:rsidRPr="00E266CD">
        <w:t xml:space="preserve"> dhe 28.8% janë kosto të pambuluara dhe pjesa tjetër me rreth 20% janë fonde të të tretëve</w:t>
      </w:r>
      <w:r w:rsidR="00D44BB0">
        <w:t>,</w:t>
      </w:r>
      <w:r w:rsidRPr="00E266CD">
        <w:t xml:space="preserve"> në këtë rast janë fondet e universiteteve të cilat përdoren për kërkim shkencor.</w:t>
      </w:r>
    </w:p>
    <w:p w14:paraId="63DF8633" w14:textId="47E91715" w:rsidR="007959B4" w:rsidRPr="00E266CD" w:rsidRDefault="007959B4" w:rsidP="00175D90">
      <w:pPr>
        <w:pStyle w:val="TEKSTIIII"/>
      </w:pPr>
      <w:r w:rsidRPr="00E266CD">
        <w:t>Hendeku financiar përbëhet kryesisht nga shpenzimet për krijimin e portaleve apo sistemeve interaktive që mundësojnë lidhjen e kërkuesve shkencorë dhe gjithashtu, pasjen e të gjitha të dhënave në lidhje me infrastrukturën, burimet njerëzore apo edhe mundësitë në Shqipëri për kërkim shkencor dhe inovacion. Gjithashtu, të pambuluara janë studimet e situatës aktuale, ngritje kapacitetesh të institucioneve që merren dhe janë përgjegjëse për hartimin dhe zbatimin e politikave të kërkimit shkencor, teknologjisë dhe inovacionit</w:t>
      </w:r>
      <w:r w:rsidR="00D44BB0">
        <w:t>,</w:t>
      </w:r>
      <w:r w:rsidRPr="00E266CD">
        <w:t xml:space="preserve"> dhe investimet që duhen kryer për të pasur infrastrukturën e duhur për të nxitur ndërveprimin </w:t>
      </w:r>
      <w:r w:rsidRPr="00E266CD">
        <w:rPr>
          <w:i/>
        </w:rPr>
        <w:t>quadruple helix</w:t>
      </w:r>
      <w:r w:rsidRPr="00E266CD">
        <w:t>.</w:t>
      </w:r>
    </w:p>
    <w:p w14:paraId="112C3596" w14:textId="54276841" w:rsidR="007959B4" w:rsidRPr="00E266CD" w:rsidRDefault="007959B4" w:rsidP="00175D90">
      <w:pPr>
        <w:pStyle w:val="TEKSTIIII"/>
      </w:pPr>
      <w:r w:rsidRPr="00E266CD">
        <w:t>Bazuar në klasifikimin ekonomik, 20% e kostos totale përbëhet nga shpenzimet korente dhe 80% përbëhet nga shpenzimet kapitale.</w:t>
      </w:r>
    </w:p>
    <w:p w14:paraId="681073E9" w14:textId="77777777" w:rsidR="00175D90" w:rsidRPr="00E266CD" w:rsidRDefault="00175D90" w:rsidP="00175D90">
      <w:pPr>
        <w:pStyle w:val="TEKSTIIII"/>
      </w:pPr>
    </w:p>
    <w:p w14:paraId="5A3BA93B" w14:textId="771FEF0C" w:rsidR="007959B4" w:rsidRPr="00D44BB0" w:rsidRDefault="007959B4" w:rsidP="00175D90">
      <w:pPr>
        <w:pStyle w:val="TEKSTIIII"/>
        <w:jc w:val="center"/>
        <w:rPr>
          <w:i/>
        </w:rPr>
      </w:pPr>
      <w:r w:rsidRPr="00D44BB0">
        <w:rPr>
          <w:i/>
        </w:rPr>
        <w:t>Grafiku 2</w:t>
      </w:r>
      <w:r w:rsidR="00A6005A">
        <w:rPr>
          <w:i/>
        </w:rPr>
        <w:t>.</w:t>
      </w:r>
      <w:r w:rsidRPr="00D44BB0">
        <w:rPr>
          <w:i/>
        </w:rPr>
        <w:t xml:space="preserve"> Përbërja e kostos totale bazuar tek klasifikimi ekonomik</w:t>
      </w:r>
    </w:p>
    <w:p w14:paraId="3DD81260" w14:textId="77777777" w:rsidR="007959B4" w:rsidRPr="00E266CD" w:rsidRDefault="007959B4" w:rsidP="00175D90">
      <w:pPr>
        <w:tabs>
          <w:tab w:val="left" w:pos="900"/>
        </w:tabs>
        <w:ind w:right="1080"/>
        <w:jc w:val="center"/>
        <w:rPr>
          <w:rFonts w:ascii="Garamond" w:eastAsia="Times New Roman" w:hAnsi="Garamond"/>
          <w:sz w:val="24"/>
          <w:szCs w:val="24"/>
        </w:rPr>
      </w:pPr>
      <w:r w:rsidRPr="00E266CD">
        <w:rPr>
          <w:rFonts w:ascii="Garamond" w:eastAsia="Times New Roman" w:hAnsi="Garamond"/>
          <w:noProof/>
          <w:sz w:val="24"/>
          <w:szCs w:val="24"/>
          <w:lang w:val="en-US"/>
        </w:rPr>
        <w:drawing>
          <wp:inline distT="0" distB="0" distL="0" distR="0" wp14:anchorId="1504D759" wp14:editId="75C63EF4">
            <wp:extent cx="4371340" cy="1505585"/>
            <wp:effectExtent l="0" t="0" r="0" b="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71340" cy="1505585"/>
                    </a:xfrm>
                    <a:prstGeom prst="rect">
                      <a:avLst/>
                    </a:prstGeom>
                    <a:noFill/>
                  </pic:spPr>
                </pic:pic>
              </a:graphicData>
            </a:graphic>
          </wp:inline>
        </w:drawing>
      </w:r>
    </w:p>
    <w:p w14:paraId="2545D3D4" w14:textId="67CF472F" w:rsidR="007959B4" w:rsidRPr="00E266CD" w:rsidRDefault="007959B4" w:rsidP="00175D90">
      <w:pPr>
        <w:pStyle w:val="TEKSTIIII"/>
      </w:pPr>
      <w:r w:rsidRPr="00E266CD">
        <w:t>Pjesa më e madhe e shpenzimeve korente përbëhet nga shpenzimet e tjera korente. Pjesa tjetër janë pagat dhe shpenzimet e punonjësve të AKKSHI</w:t>
      </w:r>
      <w:r w:rsidR="00D44BB0">
        <w:t>-t</w:t>
      </w:r>
      <w:r w:rsidRPr="00E266CD">
        <w:t>, MAS</w:t>
      </w:r>
      <w:r w:rsidR="00D44BB0">
        <w:t>-it</w:t>
      </w:r>
      <w:r w:rsidRPr="00E266CD">
        <w:t>, ASHSH</w:t>
      </w:r>
      <w:r w:rsidR="00D44BB0">
        <w:t>-së</w:t>
      </w:r>
      <w:r w:rsidRPr="00E266CD">
        <w:t>, apo punonjës</w:t>
      </w:r>
      <w:r w:rsidR="00D44BB0">
        <w:t>ve</w:t>
      </w:r>
      <w:r w:rsidRPr="00E266CD">
        <w:t xml:space="preserve"> të institucioneve të tjera buxhetore.</w:t>
      </w:r>
    </w:p>
    <w:p w14:paraId="02DC3586" w14:textId="77777777" w:rsidR="007959B4" w:rsidRPr="00E266CD" w:rsidRDefault="007959B4" w:rsidP="00175D90">
      <w:pPr>
        <w:pStyle w:val="TEKSTIIII"/>
      </w:pPr>
      <w:r w:rsidRPr="00E266CD">
        <w:t>Duke pasur parasysh se në strategji janë paraqitur tre qëllime politike, më poshtë jepet kostoja për secilin nga këto qëllime</w:t>
      </w:r>
    </w:p>
    <w:p w14:paraId="54FE106C" w14:textId="77777777" w:rsidR="00175D90" w:rsidRPr="00E266CD" w:rsidRDefault="00175D90" w:rsidP="00175D90">
      <w:pPr>
        <w:pStyle w:val="TEKSTIIII"/>
      </w:pPr>
    </w:p>
    <w:p w14:paraId="31C8E8A9" w14:textId="32102472" w:rsidR="007959B4" w:rsidRPr="00D44BB0" w:rsidRDefault="007959B4" w:rsidP="00175D90">
      <w:pPr>
        <w:pStyle w:val="TEKSTIIII"/>
        <w:jc w:val="center"/>
        <w:rPr>
          <w:i/>
        </w:rPr>
      </w:pPr>
      <w:r w:rsidRPr="00D44BB0">
        <w:rPr>
          <w:i/>
        </w:rPr>
        <w:t>Grafiku 3</w:t>
      </w:r>
      <w:r w:rsidR="00A6005A">
        <w:rPr>
          <w:i/>
        </w:rPr>
        <w:t>.</w:t>
      </w:r>
      <w:r w:rsidRPr="00D44BB0">
        <w:rPr>
          <w:i/>
        </w:rPr>
        <w:t xml:space="preserve"> Kosto sipas qëllimeve</w:t>
      </w:r>
    </w:p>
    <w:p w14:paraId="03927BAE" w14:textId="77777777" w:rsidR="00175D90" w:rsidRPr="00E266CD" w:rsidRDefault="007959B4" w:rsidP="007959B4">
      <w:pPr>
        <w:tabs>
          <w:tab w:val="left" w:pos="900"/>
        </w:tabs>
        <w:rPr>
          <w:rFonts w:ascii="Garamond" w:eastAsia="Times New Roman" w:hAnsi="Garamond"/>
          <w:color w:val="000000"/>
          <w:sz w:val="24"/>
          <w:szCs w:val="24"/>
        </w:rPr>
      </w:pPr>
      <w:r w:rsidRPr="00E266CD">
        <w:rPr>
          <w:rFonts w:ascii="Garamond" w:eastAsia="Times New Roman" w:hAnsi="Garamond"/>
          <w:noProof/>
          <w:sz w:val="24"/>
          <w:szCs w:val="24"/>
          <w:lang w:val="en-US"/>
        </w:rPr>
        <w:drawing>
          <wp:inline distT="0" distB="0" distL="0" distR="0" wp14:anchorId="516A1DBC" wp14:editId="1A91A7E8">
            <wp:extent cx="5655826" cy="2486967"/>
            <wp:effectExtent l="0" t="0" r="2540" b="889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77966" cy="2496702"/>
                    </a:xfrm>
                    <a:prstGeom prst="rect">
                      <a:avLst/>
                    </a:prstGeom>
                    <a:noFill/>
                  </pic:spPr>
                </pic:pic>
              </a:graphicData>
            </a:graphic>
          </wp:inline>
        </w:drawing>
      </w:r>
    </w:p>
    <w:p w14:paraId="259F8559" w14:textId="77777777" w:rsidR="00175D90" w:rsidRPr="00E266CD" w:rsidRDefault="00175D90" w:rsidP="007959B4">
      <w:pPr>
        <w:tabs>
          <w:tab w:val="left" w:pos="900"/>
        </w:tabs>
        <w:rPr>
          <w:rFonts w:ascii="Garamond" w:eastAsia="Times New Roman" w:hAnsi="Garamond"/>
          <w:color w:val="000000"/>
          <w:sz w:val="24"/>
          <w:szCs w:val="24"/>
        </w:rPr>
      </w:pPr>
    </w:p>
    <w:p w14:paraId="73CB7794" w14:textId="458B2690" w:rsidR="007959B4" w:rsidRPr="00E266CD" w:rsidRDefault="007959B4" w:rsidP="00175D90">
      <w:pPr>
        <w:pStyle w:val="TEKSTIIII"/>
      </w:pPr>
      <w:r w:rsidRPr="00E266CD">
        <w:t>Tek dy nga të tre qëllimet shpenzimet kapitale zënë një peshë të madhe. Kjo vjen si pasojë e financimit të projekteve që bëhet nga institucionet shtetërore apo edhe ato të huaja.</w:t>
      </w:r>
    </w:p>
    <w:p w14:paraId="5FB75735" w14:textId="77777777" w:rsidR="007959B4" w:rsidRPr="00E266CD" w:rsidRDefault="007959B4" w:rsidP="00175D90">
      <w:pPr>
        <w:pStyle w:val="TEKSTIIII"/>
      </w:pPr>
      <w:r w:rsidRPr="00E266CD">
        <w:t>Kostot e realizimit të qëllimit të parë janë ato që zënë peshën më të madhe me 72% të kostove totale. Kostot për realizimin e qëllimit të dytë zënë rreth 23% të kostove totale. Ndërkohë kostot e realizimit të qëllimit të tretë zënë 5% të kostove totale.</w:t>
      </w:r>
    </w:p>
    <w:p w14:paraId="17998292" w14:textId="18EF2E7F" w:rsidR="007959B4" w:rsidRPr="00E266CD" w:rsidRDefault="007959B4" w:rsidP="00175D90">
      <w:pPr>
        <w:pStyle w:val="TEKSTIIII"/>
      </w:pPr>
      <w:r w:rsidRPr="00E266CD">
        <w:t>Për</w:t>
      </w:r>
      <w:r w:rsidR="00825FA5" w:rsidRPr="00E266CD">
        <w:t xml:space="preserve"> </w:t>
      </w:r>
      <w:r w:rsidRPr="00E266CD">
        <w:t>sa i përket alokimit të fondeve sipas viteve, mund të thuhet se tendenca është rritëse.</w:t>
      </w:r>
    </w:p>
    <w:p w14:paraId="7732C73E" w14:textId="77777777" w:rsidR="007959B4" w:rsidRPr="00E266CD" w:rsidRDefault="007959B4" w:rsidP="007959B4">
      <w:pPr>
        <w:pBdr>
          <w:top w:val="nil"/>
          <w:left w:val="nil"/>
          <w:bottom w:val="nil"/>
          <w:right w:val="nil"/>
          <w:between w:val="nil"/>
        </w:pBdr>
        <w:rPr>
          <w:rFonts w:ascii="Garamond" w:eastAsia="Times New Roman" w:hAnsi="Garamond"/>
          <w:color w:val="000000"/>
          <w:sz w:val="24"/>
          <w:szCs w:val="24"/>
        </w:rPr>
      </w:pPr>
    </w:p>
    <w:p w14:paraId="72129C2B" w14:textId="77777777" w:rsidR="007959B4" w:rsidRPr="00E266CD" w:rsidRDefault="007959B4" w:rsidP="007959B4">
      <w:pPr>
        <w:pBdr>
          <w:top w:val="nil"/>
          <w:left w:val="nil"/>
          <w:bottom w:val="nil"/>
          <w:right w:val="nil"/>
          <w:between w:val="nil"/>
        </w:pBdr>
        <w:rPr>
          <w:rFonts w:ascii="Garamond" w:eastAsia="Times New Roman" w:hAnsi="Garamond"/>
          <w:i/>
          <w:color w:val="000000"/>
          <w:sz w:val="20"/>
          <w:szCs w:val="20"/>
        </w:rPr>
      </w:pPr>
      <w:r w:rsidRPr="00E266CD">
        <w:rPr>
          <w:rFonts w:ascii="Garamond" w:eastAsia="Times New Roman" w:hAnsi="Garamond"/>
          <w:i/>
          <w:color w:val="000000"/>
          <w:sz w:val="20"/>
          <w:szCs w:val="20"/>
        </w:rPr>
        <w:t>Tabela 11: Alokimi i fondeve sipas viteve (në lekë)</w:t>
      </w:r>
    </w:p>
    <w:p w14:paraId="4EFE0732" w14:textId="77777777" w:rsidR="007959B4" w:rsidRPr="00E266CD" w:rsidRDefault="007959B4" w:rsidP="007959B4">
      <w:pPr>
        <w:pBdr>
          <w:top w:val="nil"/>
          <w:left w:val="nil"/>
          <w:bottom w:val="nil"/>
          <w:right w:val="nil"/>
          <w:between w:val="nil"/>
        </w:pBdr>
        <w:rPr>
          <w:rFonts w:ascii="Garamond" w:eastAsia="Times New Roman" w:hAnsi="Garamond"/>
          <w:color w:val="000000"/>
          <w:sz w:val="24"/>
          <w:szCs w:val="24"/>
        </w:rPr>
      </w:pPr>
      <w:r w:rsidRPr="00E266CD">
        <w:rPr>
          <w:rFonts w:ascii="Garamond" w:hAnsi="Garamond"/>
          <w:noProof/>
          <w:sz w:val="24"/>
          <w:szCs w:val="24"/>
          <w:lang w:val="en-US"/>
        </w:rPr>
        <w:drawing>
          <wp:inline distT="0" distB="0" distL="0" distR="0" wp14:anchorId="7976E247" wp14:editId="006FE7D6">
            <wp:extent cx="5728768" cy="1361551"/>
            <wp:effectExtent l="0" t="0" r="5715" b="0"/>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43083" cy="1364953"/>
                    </a:xfrm>
                    <a:prstGeom prst="rect">
                      <a:avLst/>
                    </a:prstGeom>
                    <a:noFill/>
                    <a:ln>
                      <a:noFill/>
                    </a:ln>
                  </pic:spPr>
                </pic:pic>
              </a:graphicData>
            </a:graphic>
          </wp:inline>
        </w:drawing>
      </w:r>
    </w:p>
    <w:p w14:paraId="0266E076" w14:textId="0484665F" w:rsidR="007959B4" w:rsidRPr="00E266CD" w:rsidRDefault="007959B4" w:rsidP="00175D90">
      <w:pPr>
        <w:pStyle w:val="TEKSTIIII"/>
      </w:pPr>
      <w:r w:rsidRPr="00E266CD">
        <w:t>Siç vihet re edhe nga tabela, edhe sipas prioritetit të shpallur, synohet financimi më i lartë i kërkimit shkencor, inovacionit dhe teknologjisë</w:t>
      </w:r>
      <w:r w:rsidR="00D44BB0">
        <w:t>,</w:t>
      </w:r>
      <w:r w:rsidRPr="00E266CD">
        <w:t xml:space="preserve"> me synimin e arritjes së buxhetit sa 1% e PBB</w:t>
      </w:r>
      <w:r w:rsidR="00D44BB0">
        <w:t>-së</w:t>
      </w:r>
      <w:r w:rsidRPr="00E266CD">
        <w:t xml:space="preserve"> </w:t>
      </w:r>
      <w:r w:rsidR="00D44BB0">
        <w:t>s</w:t>
      </w:r>
      <w:r w:rsidRPr="00E266CD">
        <w:t>ë Shqipërisë.</w:t>
      </w:r>
    </w:p>
    <w:p w14:paraId="3FBDB36F" w14:textId="2AD77A4E" w:rsidR="007959B4" w:rsidRPr="00E266CD" w:rsidRDefault="007959B4" w:rsidP="00175D90">
      <w:pPr>
        <w:pStyle w:val="TEKSTIIII"/>
      </w:pPr>
      <w:r w:rsidRPr="00E266CD">
        <w:t>Për</w:t>
      </w:r>
      <w:r w:rsidR="00825FA5" w:rsidRPr="00E266CD">
        <w:t xml:space="preserve"> </w:t>
      </w:r>
      <w:r w:rsidRPr="00E266CD">
        <w:t>sa i përket burimeve të financimit, të tre qëllimet kanë financim të brendshëm dhe financim të huaj. Ndërkohë tek qëllimi i parë përfshihet edhe financimi i kërkimit shkencor që bëhet nga vetë universitetet.</w:t>
      </w:r>
    </w:p>
    <w:p w14:paraId="6B997560" w14:textId="7C433FB0" w:rsidR="007959B4" w:rsidRPr="00E266CD" w:rsidRDefault="007959B4" w:rsidP="00175D90">
      <w:pPr>
        <w:pStyle w:val="TEKSTIIII"/>
        <w:jc w:val="center"/>
        <w:rPr>
          <w:i/>
        </w:rPr>
      </w:pPr>
      <w:r w:rsidRPr="00E266CD">
        <w:rPr>
          <w:i/>
        </w:rPr>
        <w:t>Grafiku 4</w:t>
      </w:r>
      <w:r w:rsidR="00A6005A">
        <w:rPr>
          <w:i/>
        </w:rPr>
        <w:t>.</w:t>
      </w:r>
      <w:r w:rsidRPr="00E266CD">
        <w:rPr>
          <w:i/>
        </w:rPr>
        <w:t xml:space="preserve"> Burimi i </w:t>
      </w:r>
      <w:r w:rsidR="00417E27" w:rsidRPr="00E266CD">
        <w:rPr>
          <w:i/>
        </w:rPr>
        <w:t>f</w:t>
      </w:r>
      <w:r w:rsidRPr="00E266CD">
        <w:rPr>
          <w:i/>
        </w:rPr>
        <w:t>inancimit</w:t>
      </w:r>
    </w:p>
    <w:p w14:paraId="165EE758" w14:textId="3089973F" w:rsidR="00175D90" w:rsidRPr="00D44BB0" w:rsidRDefault="007959B4" w:rsidP="00D44BB0">
      <w:pPr>
        <w:pBdr>
          <w:top w:val="nil"/>
          <w:left w:val="nil"/>
          <w:bottom w:val="nil"/>
          <w:right w:val="nil"/>
          <w:between w:val="nil"/>
        </w:pBdr>
        <w:spacing w:before="240"/>
        <w:rPr>
          <w:rFonts w:ascii="Garamond" w:eastAsia="Times New Roman" w:hAnsi="Garamond"/>
          <w:color w:val="000000"/>
          <w:sz w:val="24"/>
          <w:szCs w:val="24"/>
        </w:rPr>
      </w:pPr>
      <w:r w:rsidRPr="00E266CD">
        <w:rPr>
          <w:rFonts w:ascii="Garamond" w:eastAsia="Times New Roman" w:hAnsi="Garamond"/>
          <w:noProof/>
          <w:color w:val="000000"/>
          <w:sz w:val="24"/>
          <w:szCs w:val="24"/>
          <w:lang w:val="en-US"/>
        </w:rPr>
        <w:drawing>
          <wp:inline distT="0" distB="0" distL="0" distR="0" wp14:anchorId="33415302" wp14:editId="5E384A5C">
            <wp:extent cx="5517502" cy="1833824"/>
            <wp:effectExtent l="0" t="0" r="762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63833" cy="1849223"/>
                    </a:xfrm>
                    <a:prstGeom prst="rect">
                      <a:avLst/>
                    </a:prstGeom>
                    <a:noFill/>
                  </pic:spPr>
                </pic:pic>
              </a:graphicData>
            </a:graphic>
          </wp:inline>
        </w:drawing>
      </w:r>
    </w:p>
    <w:p w14:paraId="51DDD27D" w14:textId="297C0DFA" w:rsidR="007959B4" w:rsidRPr="00E266CD" w:rsidRDefault="007959B4" w:rsidP="00175D90">
      <w:pPr>
        <w:pStyle w:val="TEKSTIIII"/>
      </w:pPr>
      <w:r w:rsidRPr="00E266CD">
        <w:t>Për të tre qëllimet e politikës janë identifikuar në total 10 objektiva specifikë. Grafiku i mëposhtëm jep peshën që zë çdo objektiv në koston totale të llogaritur për strategjinë</w:t>
      </w:r>
      <w:r w:rsidR="00D44BB0">
        <w:t>.</w:t>
      </w:r>
    </w:p>
    <w:p w14:paraId="45E0F61A" w14:textId="77777777" w:rsidR="007959B4" w:rsidRPr="00E266CD" w:rsidRDefault="007959B4" w:rsidP="00175D90">
      <w:pPr>
        <w:pStyle w:val="TEKSTIIII"/>
      </w:pPr>
    </w:p>
    <w:p w14:paraId="624E247A" w14:textId="051E0E37" w:rsidR="007959B4" w:rsidRPr="00E266CD" w:rsidRDefault="007959B4" w:rsidP="00175D90">
      <w:pPr>
        <w:pStyle w:val="TEKSTIIII"/>
        <w:jc w:val="center"/>
        <w:rPr>
          <w:i/>
        </w:rPr>
      </w:pPr>
      <w:r w:rsidRPr="00E266CD">
        <w:rPr>
          <w:i/>
        </w:rPr>
        <w:t>Grafiku 5</w:t>
      </w:r>
      <w:r w:rsidR="00A6005A">
        <w:rPr>
          <w:i/>
        </w:rPr>
        <w:t>.</w:t>
      </w:r>
      <w:r w:rsidRPr="00E266CD">
        <w:rPr>
          <w:i/>
        </w:rPr>
        <w:t xml:space="preserve"> Pesha e objektivave specifikë në koston totale të strategjisë</w:t>
      </w:r>
    </w:p>
    <w:p w14:paraId="6ADA3EC6" w14:textId="77777777" w:rsidR="007959B4" w:rsidRPr="00E266CD" w:rsidRDefault="007959B4" w:rsidP="00175D90">
      <w:pPr>
        <w:pBdr>
          <w:top w:val="nil"/>
          <w:left w:val="nil"/>
          <w:bottom w:val="nil"/>
          <w:right w:val="nil"/>
          <w:between w:val="nil"/>
        </w:pBdr>
        <w:jc w:val="center"/>
        <w:rPr>
          <w:rFonts w:ascii="Garamond" w:eastAsia="Times New Roman" w:hAnsi="Garamond"/>
          <w:color w:val="000000"/>
          <w:sz w:val="24"/>
          <w:szCs w:val="24"/>
        </w:rPr>
      </w:pPr>
      <w:r w:rsidRPr="00E266CD">
        <w:rPr>
          <w:rFonts w:ascii="Garamond" w:eastAsia="Times New Roman" w:hAnsi="Garamond"/>
          <w:noProof/>
          <w:color w:val="000000"/>
          <w:sz w:val="24"/>
          <w:szCs w:val="24"/>
          <w:lang w:val="en-US"/>
        </w:rPr>
        <w:drawing>
          <wp:inline distT="0" distB="0" distL="0" distR="0" wp14:anchorId="48B11EC0" wp14:editId="33E9CCEF">
            <wp:extent cx="5456555" cy="3044650"/>
            <wp:effectExtent l="0" t="0" r="0" b="381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2239" cy="3053401"/>
                    </a:xfrm>
                    <a:prstGeom prst="rect">
                      <a:avLst/>
                    </a:prstGeom>
                    <a:noFill/>
                  </pic:spPr>
                </pic:pic>
              </a:graphicData>
            </a:graphic>
          </wp:inline>
        </w:drawing>
      </w:r>
    </w:p>
    <w:p w14:paraId="51A725B1" w14:textId="38E5C946" w:rsidR="007959B4" w:rsidRPr="00E266CD" w:rsidRDefault="007959B4" w:rsidP="00175D90">
      <w:pPr>
        <w:pStyle w:val="TEKSTIIII"/>
      </w:pPr>
      <w:r w:rsidRPr="00E266CD">
        <w:t>Siç shihet edhe nga grafiku, objektivi 1.2 dhe objektivi 2.4 kanë peshën më të madhe të shpenzimeve totale</w:t>
      </w:r>
      <w:r w:rsidR="00D44BB0">
        <w:t>,</w:t>
      </w:r>
      <w:r w:rsidRPr="00E266CD">
        <w:t xml:space="preserve"> me përkatësisht 71% dhe 15%. Objektivi 1.2 është i lidhur drejtpërdrejtë me zhvillimin e kapaciteteve njerëzore dhe infrastrukturës mbështetëse të kërkimit shkencor</w:t>
      </w:r>
      <w:r w:rsidR="007715D0" w:rsidRPr="00E266CD">
        <w:t xml:space="preserve"> </w:t>
      </w:r>
      <w:r w:rsidRPr="00E266CD">
        <w:t>dhe përfshin edhe mbështetjen e shtetit dhe donatorëve</w:t>
      </w:r>
      <w:r w:rsidR="00D44BB0">
        <w:t>,</w:t>
      </w:r>
      <w:r w:rsidRPr="00E266CD">
        <w:t xml:space="preserve"> dhe objektivi 2.4</w:t>
      </w:r>
      <w:r w:rsidR="00D44BB0">
        <w:t>,</w:t>
      </w:r>
      <w:r w:rsidRPr="00E266CD">
        <w:t xml:space="preserve"> që ka të bëjë fuqizimin dhe rritjen e kapaciteteve të qendrave të transferimit të teknologjisë për të avancuar njohuritë në një fushë të caktuar ose për të zhvilluar më tej teknologjinë. Objektivi 2.2 dhe objektivi 3.2 kanë peshat më të vogla me 0.26% dhe 0.08%.</w:t>
      </w:r>
    </w:p>
    <w:p w14:paraId="145DE992" w14:textId="33906620" w:rsidR="007959B4" w:rsidRPr="00E266CD" w:rsidRDefault="007959B4" w:rsidP="00175D90">
      <w:pPr>
        <w:pStyle w:val="TEKSTIIII"/>
      </w:pPr>
      <w:r w:rsidRPr="00E266CD">
        <w:t xml:space="preserve">Nëse analizohen fondet që duhen për të realizuar secilin qëllim të politikës, duke u bazuar tek pesha që kanë objektivat tek qëllimi, vihet re se për </w:t>
      </w:r>
      <w:r w:rsidR="00D44BB0">
        <w:t>q</w:t>
      </w:r>
      <w:r w:rsidRPr="00E266CD">
        <w:t>ëllimin e parë, të tre objektivat kanë financim të huaj dhe objektivi i dytë ka vlerën më të lartë të këtij financimi. Ky objektiv ka gjithashtu edhe hendekun më të lartë ndër tre objektivat e qëllimit të parë.</w:t>
      </w:r>
    </w:p>
    <w:p w14:paraId="71D63996" w14:textId="3FD657DC" w:rsidR="007959B4" w:rsidRPr="00E266CD" w:rsidRDefault="007959B4" w:rsidP="00175D90">
      <w:pPr>
        <w:pStyle w:val="TEKSTIIII"/>
      </w:pPr>
      <w:r w:rsidRPr="00E266CD">
        <w:t>Tek objektivi i parë janë përmbledhur të gjitha masat ligjore dhe rregullatore që bëjnë të mundur që sistemi të përmirësohet dhe të arrihet rritja e standardeve të kërkimit shkencor</w:t>
      </w:r>
      <w:r w:rsidR="00D44BB0">
        <w:t>,</w:t>
      </w:r>
      <w:r w:rsidR="007715D0" w:rsidRPr="00E266CD">
        <w:t xml:space="preserve"> </w:t>
      </w:r>
      <w:r w:rsidRPr="00E266CD">
        <w:t>dhe rregullimi i mëtejshëm i tij. Mbështetja e donatorëve është e ndjeshme dhe e dukshme tek objektivi i dytë që lidhet me zhvillimin e kapaciteteve njerëzore</w:t>
      </w:r>
      <w:r w:rsidR="00D44BB0">
        <w:t>,</w:t>
      </w:r>
      <w:r w:rsidRPr="00E266CD">
        <w:t xml:space="preserve"> dhe infrastrukturës mbështetëse, ku janë planifikuar një sërë masash për të dy këto lloj kapacitetesh. Të tre objektivat kanë hendek financiar që pritet të mbulohet kryesisht me mbështetjen e donatorëve dhe më pak me mbështetjen e buxhetit të shtetit. </w:t>
      </w:r>
    </w:p>
    <w:p w14:paraId="426C2E7F" w14:textId="1CF576BB" w:rsidR="007959B4" w:rsidRPr="00E266CD" w:rsidRDefault="007959B4" w:rsidP="00175D90">
      <w:pPr>
        <w:pStyle w:val="TEKSTIIII"/>
      </w:pPr>
      <w:r w:rsidRPr="00E266CD">
        <w:t>Ndërkohë</w:t>
      </w:r>
      <w:r w:rsidR="00D44BB0">
        <w:t>,</w:t>
      </w:r>
      <w:r w:rsidRPr="00E266CD">
        <w:t xml:space="preserve"> nëse analizohet financimi i objektivave të qëllimit të dytë, mund të thuhet se</w:t>
      </w:r>
      <w:r w:rsidR="007715D0" w:rsidRPr="00E266CD">
        <w:t xml:space="preserve"> </w:t>
      </w:r>
      <w:r w:rsidRPr="00E266CD">
        <w:t>për</w:t>
      </w:r>
      <w:r w:rsidR="007715D0" w:rsidRPr="00E266CD">
        <w:t xml:space="preserve"> </w:t>
      </w:r>
      <w:r w:rsidRPr="00E266CD">
        <w:t>tre nga katër objektivat e qëllimit nuk ka financim nga donatorët. Objektivi i parë ka vlerën më të lartë të financimit nga donatorët. Te këta objektiva vihet fokusi te fuqizimi i qendrave të transferimit të teknologjisë dhe rritjes së kapaciteteve për transferimin ndërkombëtar të teknologjive.</w:t>
      </w:r>
    </w:p>
    <w:p w14:paraId="4B40937B" w14:textId="277BD6B5" w:rsidR="007959B4" w:rsidRPr="00E266CD" w:rsidRDefault="007959B4" w:rsidP="00175D90">
      <w:pPr>
        <w:pStyle w:val="TEKSTIIII"/>
      </w:pPr>
      <w:r w:rsidRPr="00E266CD">
        <w:t>Për</w:t>
      </w:r>
      <w:r w:rsidR="00825FA5" w:rsidRPr="00E266CD">
        <w:t xml:space="preserve"> </w:t>
      </w:r>
      <w:r w:rsidRPr="00E266CD">
        <w:t>sa i përket hendekut financiar, hendekun e financimit më të lartë e ka objektivi i katërt që përfshin rritjen e kapaciteteve për të avancuar njohuritë në një fushë të caktuar ose për të zhvilluar më tej teknologjinë. Gjithashtu, objektivi i parë, realizimi i të cilit do të çonte në rritjen e bashkëpunimit mes katër aktorëve, ka hendek financiar të lartë.</w:t>
      </w:r>
    </w:p>
    <w:p w14:paraId="0766AB41" w14:textId="6A6E3CAE" w:rsidR="007959B4" w:rsidRPr="00E266CD" w:rsidRDefault="007959B4" w:rsidP="00175D90">
      <w:pPr>
        <w:pStyle w:val="TEKSTIIII"/>
      </w:pPr>
      <w:r w:rsidRPr="00E266CD">
        <w:t>Te qëllimi i tretë përfshihen objektivat, realizimi i të cilëve do të ndihmonte përhapjen e informacionit, njohurive dhe inovacionit</w:t>
      </w:r>
      <w:r w:rsidR="00D44BB0">
        <w:t>,</w:t>
      </w:r>
      <w:r w:rsidRPr="00E266CD">
        <w:t xml:space="preserve"> jo vetëm te katër aktorët e përmendur tek qëllimi i dytë por edhe tek arsimi parauniversitar. Në dy nga tri objektivat, financimi i huaj është i lartë dhe lidhet drejtpërdrejtë me mbështetjen që ka dhënë AADF</w:t>
      </w:r>
      <w:r w:rsidR="00D44BB0">
        <w:t>-ja</w:t>
      </w:r>
      <w:r w:rsidRPr="00E266CD">
        <w:t xml:space="preserve"> dhe </w:t>
      </w:r>
      <w:r w:rsidR="00A6005A" w:rsidRPr="00E266CD">
        <w:t xml:space="preserve">Vodafone </w:t>
      </w:r>
      <w:r w:rsidRPr="00E266CD">
        <w:t>për zhvillimin e aftësive për kërkim shkencor dhe teknologji edhe në arsimin parauniversitar.</w:t>
      </w:r>
    </w:p>
    <w:p w14:paraId="08C4A0BA" w14:textId="3428D749" w:rsidR="007959B4" w:rsidRPr="00E266CD" w:rsidRDefault="007959B4" w:rsidP="00175D90">
      <w:pPr>
        <w:pStyle w:val="TEKSTIIII"/>
      </w:pPr>
      <w:r w:rsidRPr="00E266CD">
        <w:t>Në këtë qëllim, përfshihen masat për të përfshirë TIK</w:t>
      </w:r>
      <w:r w:rsidR="00D44BB0">
        <w:t>-un</w:t>
      </w:r>
      <w:r w:rsidRPr="00E266CD">
        <w:t xml:space="preserve"> në klasat e para dhe pastaj më tutje </w:t>
      </w:r>
      <w:bookmarkStart w:id="101" w:name="_GoBack"/>
      <w:bookmarkEnd w:id="101"/>
      <w:r w:rsidRPr="007D5D04">
        <w:t>edhe në klasat e II dhe II</w:t>
      </w:r>
      <w:r w:rsidRPr="00E266CD">
        <w:t xml:space="preserve"> dhe me radhë, Gjithashtu, parashikohet rritje e kapaciteteve të mësuesve dhe përmirësim i ndjeshëm i infrastrukturës dhe laboratorëve që përdoren për STEM</w:t>
      </w:r>
      <w:r w:rsidR="00D44BB0">
        <w:t>-in</w:t>
      </w:r>
      <w:r w:rsidRPr="00E266CD">
        <w:t xml:space="preserve"> dhe </w:t>
      </w:r>
      <w:r w:rsidRPr="00E266CD">
        <w:rPr>
          <w:i/>
        </w:rPr>
        <w:t>smart labs</w:t>
      </w:r>
      <w:r w:rsidRPr="00E266CD">
        <w:t>.</w:t>
      </w:r>
    </w:p>
    <w:p w14:paraId="7A56B750" w14:textId="77777777" w:rsidR="00D76FAB" w:rsidRPr="00E266CD" w:rsidRDefault="00D76FAB" w:rsidP="00175D90">
      <w:pPr>
        <w:pStyle w:val="TEKSTIIII"/>
      </w:pPr>
    </w:p>
    <w:p w14:paraId="6BC37DA8" w14:textId="77777777" w:rsidR="0054389C" w:rsidRPr="00E266CD" w:rsidRDefault="0054389C" w:rsidP="00175D90">
      <w:pPr>
        <w:pStyle w:val="TEKSTIIII"/>
      </w:pPr>
    </w:p>
    <w:p w14:paraId="45B89123" w14:textId="77777777" w:rsidR="00C176AB" w:rsidRPr="00E266CD" w:rsidRDefault="00C176AB" w:rsidP="00175D90">
      <w:pPr>
        <w:pStyle w:val="TEKSTIIII"/>
      </w:pPr>
    </w:p>
    <w:p w14:paraId="54A4D656" w14:textId="77777777" w:rsidR="00C176AB" w:rsidRPr="00E266CD" w:rsidRDefault="00C176AB" w:rsidP="00175D90">
      <w:pPr>
        <w:pStyle w:val="TEKSTIIII"/>
      </w:pPr>
    </w:p>
    <w:p w14:paraId="52BF8D4A" w14:textId="77777777" w:rsidR="00C176AB" w:rsidRPr="00E266CD" w:rsidRDefault="00C176AB" w:rsidP="00175D90">
      <w:pPr>
        <w:pStyle w:val="TEKSTIIII"/>
      </w:pPr>
    </w:p>
    <w:p w14:paraId="199C26E1" w14:textId="77777777" w:rsidR="00C176AB" w:rsidRPr="00E266CD" w:rsidRDefault="00C176AB" w:rsidP="00175D90">
      <w:pPr>
        <w:pStyle w:val="TEKSTIIII"/>
      </w:pPr>
    </w:p>
    <w:p w14:paraId="168C34CC" w14:textId="77777777" w:rsidR="00C176AB" w:rsidRPr="00E266CD" w:rsidRDefault="00C176AB" w:rsidP="00175D90">
      <w:pPr>
        <w:pStyle w:val="TEKSTIIII"/>
      </w:pPr>
    </w:p>
    <w:p w14:paraId="1BD22C49" w14:textId="77777777" w:rsidR="00C176AB" w:rsidRPr="00E266CD" w:rsidRDefault="00C176AB" w:rsidP="00175D90">
      <w:pPr>
        <w:pStyle w:val="TEKSTIIII"/>
      </w:pPr>
    </w:p>
    <w:p w14:paraId="68F9AC82" w14:textId="77777777" w:rsidR="00C176AB" w:rsidRPr="00E266CD" w:rsidRDefault="00C176AB" w:rsidP="00175D90">
      <w:pPr>
        <w:pStyle w:val="TEKSTIIII"/>
      </w:pPr>
    </w:p>
    <w:p w14:paraId="4D5BD5B6" w14:textId="77777777" w:rsidR="00C176AB" w:rsidRPr="00E266CD" w:rsidRDefault="00C176AB" w:rsidP="00175D90">
      <w:pPr>
        <w:pStyle w:val="TEKSTIIII"/>
      </w:pPr>
    </w:p>
    <w:p w14:paraId="572282D4" w14:textId="77777777" w:rsidR="00C176AB" w:rsidRPr="00E266CD" w:rsidRDefault="00C176AB" w:rsidP="00175D90">
      <w:pPr>
        <w:pStyle w:val="TEKSTIIII"/>
      </w:pPr>
    </w:p>
    <w:p w14:paraId="6201E571" w14:textId="77777777" w:rsidR="00C176AB" w:rsidRPr="00E266CD" w:rsidRDefault="00C176AB" w:rsidP="00175D90">
      <w:pPr>
        <w:pStyle w:val="TEKSTIIII"/>
      </w:pPr>
    </w:p>
    <w:p w14:paraId="7DCC0580" w14:textId="77777777" w:rsidR="00C176AB" w:rsidRPr="00E266CD" w:rsidRDefault="00C176AB" w:rsidP="00175D90">
      <w:pPr>
        <w:pStyle w:val="TEKSTIIII"/>
      </w:pPr>
    </w:p>
    <w:p w14:paraId="16FBFD75" w14:textId="77777777" w:rsidR="00C176AB" w:rsidRPr="00E266CD" w:rsidRDefault="00C176AB" w:rsidP="00175D90">
      <w:pPr>
        <w:pStyle w:val="TEKSTIIII"/>
      </w:pPr>
    </w:p>
    <w:p w14:paraId="5C373204" w14:textId="77777777" w:rsidR="00C176AB" w:rsidRPr="00E266CD" w:rsidRDefault="00C176AB" w:rsidP="00175D90">
      <w:pPr>
        <w:pStyle w:val="TEKSTIIII"/>
      </w:pPr>
    </w:p>
    <w:p w14:paraId="4C86AC5A" w14:textId="77777777" w:rsidR="00C176AB" w:rsidRPr="00E266CD" w:rsidRDefault="00C176AB" w:rsidP="00175D90">
      <w:pPr>
        <w:pStyle w:val="TEKSTIIII"/>
      </w:pPr>
    </w:p>
    <w:p w14:paraId="658EDDEC" w14:textId="77777777" w:rsidR="00C176AB" w:rsidRPr="00E266CD" w:rsidRDefault="00C176AB" w:rsidP="00175D90">
      <w:pPr>
        <w:pStyle w:val="TEKSTIIII"/>
        <w:sectPr w:rsidR="00C176AB" w:rsidRPr="00E266CD" w:rsidSect="00E609AA">
          <w:headerReference w:type="default" r:id="rId22"/>
          <w:footerReference w:type="default" r:id="rId23"/>
          <w:pgSz w:w="11907" w:h="16839" w:code="9"/>
          <w:pgMar w:top="1418" w:right="1418" w:bottom="1418" w:left="1418" w:header="1304" w:footer="1134" w:gutter="0"/>
          <w:pgNumType w:start="0"/>
          <w:cols w:space="720"/>
          <w:titlePg/>
          <w:docGrid w:linePitch="360"/>
        </w:sectPr>
      </w:pPr>
    </w:p>
    <w:p w14:paraId="10821B5A" w14:textId="5EE7F562" w:rsidR="00E34C80" w:rsidRPr="00E266CD" w:rsidRDefault="00E34C80" w:rsidP="00E34C80">
      <w:pPr>
        <w:pStyle w:val="TEKSTIIII"/>
        <w:jc w:val="center"/>
      </w:pPr>
      <w:bookmarkStart w:id="102" w:name="_Toc135703216"/>
      <w:r w:rsidRPr="00E266CD">
        <w:t>ANEKS 1</w:t>
      </w:r>
    </w:p>
    <w:p w14:paraId="34E48FC9" w14:textId="7E2A8C6B" w:rsidR="00F760F7" w:rsidRPr="00E266CD" w:rsidRDefault="00417E27" w:rsidP="00E34C80">
      <w:pPr>
        <w:pStyle w:val="TEKSTIIII"/>
        <w:jc w:val="center"/>
      </w:pPr>
      <w:r w:rsidRPr="00E266CD">
        <w:t>PLANI I VEPRIMIT I KOSTUAR</w:t>
      </w:r>
      <w:bookmarkEnd w:id="102"/>
    </w:p>
    <w:p w14:paraId="3F6CDED2" w14:textId="77777777" w:rsidR="00C176AB" w:rsidRPr="00E266CD" w:rsidRDefault="00C176AB" w:rsidP="00175D90">
      <w:pPr>
        <w:pStyle w:val="TEKSTIIII"/>
      </w:pPr>
    </w:p>
    <w:tbl>
      <w:tblPr>
        <w:tblStyle w:val="5"/>
        <w:tblW w:w="15725" w:type="dxa"/>
        <w:jc w:val="center"/>
        <w:tblLayout w:type="fixed"/>
        <w:tblLook w:val="0400" w:firstRow="0" w:lastRow="0" w:firstColumn="0" w:lastColumn="0" w:noHBand="0" w:noVBand="1"/>
      </w:tblPr>
      <w:tblGrid>
        <w:gridCol w:w="699"/>
        <w:gridCol w:w="4111"/>
        <w:gridCol w:w="1268"/>
        <w:gridCol w:w="1544"/>
        <w:gridCol w:w="593"/>
        <w:gridCol w:w="872"/>
        <w:gridCol w:w="1196"/>
        <w:gridCol w:w="936"/>
        <w:gridCol w:w="1082"/>
        <w:gridCol w:w="720"/>
        <w:gridCol w:w="832"/>
        <w:gridCol w:w="62"/>
        <w:gridCol w:w="900"/>
        <w:gridCol w:w="910"/>
      </w:tblGrid>
      <w:tr w:rsidR="00DC69E1" w:rsidRPr="00E266CD" w14:paraId="2407339E" w14:textId="77777777" w:rsidTr="00DC69E1">
        <w:trPr>
          <w:trHeight w:val="340"/>
          <w:jc w:val="center"/>
        </w:trPr>
        <w:tc>
          <w:tcPr>
            <w:tcW w:w="698" w:type="dxa"/>
            <w:tcBorders>
              <w:top w:val="single" w:sz="8" w:space="0" w:color="000000"/>
              <w:left w:val="single" w:sz="8" w:space="0" w:color="000000"/>
              <w:bottom w:val="single" w:sz="8" w:space="0" w:color="000000"/>
              <w:right w:val="single" w:sz="8" w:space="0" w:color="000000"/>
            </w:tcBorders>
          </w:tcPr>
          <w:p w14:paraId="4EACFF19" w14:textId="77777777" w:rsidR="00DC69E1" w:rsidRPr="00E266CD" w:rsidRDefault="00DC69E1" w:rsidP="00695B0D">
            <w:pPr>
              <w:spacing w:after="0" w:line="240" w:lineRule="auto"/>
              <w:jc w:val="center"/>
              <w:rPr>
                <w:rFonts w:ascii="Garamond" w:eastAsia="Times New Roman" w:hAnsi="Garamond"/>
                <w:b/>
                <w:color w:val="FF0000"/>
                <w:sz w:val="10"/>
                <w:szCs w:val="10"/>
              </w:rPr>
            </w:pPr>
          </w:p>
        </w:tc>
        <w:tc>
          <w:tcPr>
            <w:tcW w:w="15023" w:type="dxa"/>
            <w:gridSpan w:val="13"/>
            <w:tcBorders>
              <w:top w:val="single" w:sz="8" w:space="0" w:color="000000"/>
              <w:left w:val="single" w:sz="8" w:space="0" w:color="000000"/>
              <w:bottom w:val="single" w:sz="8" w:space="0" w:color="000000"/>
              <w:right w:val="single" w:sz="8" w:space="0" w:color="000000"/>
            </w:tcBorders>
            <w:shd w:val="clear" w:color="auto" w:fill="auto"/>
            <w:vAlign w:val="center"/>
          </w:tcPr>
          <w:p w14:paraId="5DC32FA2" w14:textId="7BA40D54" w:rsidR="00DC69E1" w:rsidRPr="00E266CD" w:rsidRDefault="00DC69E1" w:rsidP="00695B0D">
            <w:pPr>
              <w:spacing w:after="0" w:line="240" w:lineRule="auto"/>
              <w:jc w:val="center"/>
              <w:rPr>
                <w:rFonts w:ascii="Garamond" w:eastAsia="Times New Roman" w:hAnsi="Garamond"/>
                <w:b/>
                <w:sz w:val="10"/>
                <w:szCs w:val="10"/>
              </w:rPr>
            </w:pPr>
            <w:r w:rsidRPr="00E266CD">
              <w:rPr>
                <w:rFonts w:ascii="Garamond" w:eastAsia="Times New Roman" w:hAnsi="Garamond"/>
                <w:b/>
                <w:sz w:val="10"/>
                <w:szCs w:val="10"/>
              </w:rPr>
              <w:t xml:space="preserve">Qëllimi i </w:t>
            </w:r>
            <w:r w:rsidR="00D44BB0">
              <w:rPr>
                <w:rFonts w:ascii="Garamond" w:eastAsia="Times New Roman" w:hAnsi="Garamond"/>
                <w:b/>
                <w:sz w:val="10"/>
                <w:szCs w:val="10"/>
              </w:rPr>
              <w:t>p</w:t>
            </w:r>
            <w:r w:rsidRPr="00E266CD">
              <w:rPr>
                <w:rFonts w:ascii="Garamond" w:eastAsia="Times New Roman" w:hAnsi="Garamond"/>
                <w:b/>
                <w:sz w:val="10"/>
                <w:szCs w:val="10"/>
              </w:rPr>
              <w:t>olitikës I:</w:t>
            </w:r>
            <w:r w:rsidR="007715D0" w:rsidRPr="00E266CD">
              <w:rPr>
                <w:rFonts w:ascii="Garamond" w:eastAsia="Times New Roman" w:hAnsi="Garamond"/>
                <w:b/>
                <w:sz w:val="10"/>
                <w:szCs w:val="10"/>
              </w:rPr>
              <w:t xml:space="preserve"> </w:t>
            </w:r>
            <w:r w:rsidRPr="00E266CD">
              <w:rPr>
                <w:rFonts w:ascii="Garamond" w:eastAsia="Times New Roman" w:hAnsi="Garamond"/>
                <w:b/>
                <w:sz w:val="10"/>
                <w:szCs w:val="10"/>
              </w:rPr>
              <w:t xml:space="preserve">Rritja e efikasitetit dhe qëndrueshmërisë së sistemit për mbështetjen e kërkimit shkencor, </w:t>
            </w:r>
            <w:r w:rsidR="00BF1624" w:rsidRPr="00E266CD">
              <w:rPr>
                <w:rFonts w:ascii="Garamond" w:eastAsia="Times New Roman" w:hAnsi="Garamond"/>
                <w:sz w:val="10"/>
                <w:szCs w:val="10"/>
              </w:rPr>
              <w:t>të</w:t>
            </w:r>
            <w:r w:rsidRPr="00E266CD">
              <w:rPr>
                <w:rFonts w:ascii="Garamond" w:eastAsia="Times New Roman" w:hAnsi="Garamond"/>
                <w:b/>
                <w:sz w:val="10"/>
                <w:szCs w:val="10"/>
              </w:rPr>
              <w:t xml:space="preserve"> integruar n</w:t>
            </w:r>
            <w:r w:rsidR="00BF1624" w:rsidRPr="00E266CD">
              <w:rPr>
                <w:rFonts w:ascii="Garamond" w:eastAsia="Times New Roman" w:hAnsi="Garamond"/>
                <w:b/>
                <w:sz w:val="10"/>
                <w:szCs w:val="10"/>
              </w:rPr>
              <w:t>ë</w:t>
            </w:r>
            <w:r w:rsidRPr="00E266CD">
              <w:rPr>
                <w:rFonts w:ascii="Garamond" w:eastAsia="Times New Roman" w:hAnsi="Garamond"/>
                <w:b/>
                <w:sz w:val="10"/>
                <w:szCs w:val="10"/>
              </w:rPr>
              <w:t xml:space="preserve"> nivel ndërkombëtar,</w:t>
            </w:r>
            <w:r w:rsidR="007715D0" w:rsidRPr="00E266CD">
              <w:rPr>
                <w:rFonts w:ascii="Garamond" w:eastAsia="Times New Roman" w:hAnsi="Garamond"/>
                <w:b/>
                <w:sz w:val="10"/>
                <w:szCs w:val="10"/>
              </w:rPr>
              <w:t xml:space="preserve"> </w:t>
            </w:r>
            <w:r w:rsidRPr="00E266CD">
              <w:rPr>
                <w:rFonts w:ascii="Garamond" w:eastAsia="Times New Roman" w:hAnsi="Garamond"/>
                <w:b/>
                <w:sz w:val="10"/>
                <w:szCs w:val="10"/>
              </w:rPr>
              <w:t>në të gjithë spektrin e fushave të shkencave natyrore, inxhinierike dhe teknologjike, mjekësore, bujqësore, sociale</w:t>
            </w:r>
            <w:r w:rsidR="007715D0" w:rsidRPr="00E266CD">
              <w:rPr>
                <w:rFonts w:ascii="Garamond" w:eastAsia="Times New Roman" w:hAnsi="Garamond"/>
                <w:b/>
                <w:sz w:val="10"/>
                <w:szCs w:val="10"/>
              </w:rPr>
              <w:t xml:space="preserve"> </w:t>
            </w:r>
            <w:r w:rsidRPr="00E266CD">
              <w:rPr>
                <w:rFonts w:ascii="Garamond" w:eastAsia="Times New Roman" w:hAnsi="Garamond"/>
                <w:b/>
                <w:sz w:val="10"/>
                <w:szCs w:val="10"/>
              </w:rPr>
              <w:t>dhe humane</w:t>
            </w:r>
          </w:p>
        </w:tc>
      </w:tr>
      <w:tr w:rsidR="00DC69E1" w:rsidRPr="00E266CD" w14:paraId="795BB904" w14:textId="77777777" w:rsidTr="00DC69E1">
        <w:trPr>
          <w:trHeight w:val="340"/>
          <w:jc w:val="center"/>
        </w:trPr>
        <w:tc>
          <w:tcPr>
            <w:tcW w:w="698" w:type="dxa"/>
            <w:vMerge w:val="restart"/>
            <w:tcBorders>
              <w:top w:val="single" w:sz="8" w:space="0" w:color="000000"/>
              <w:left w:val="single" w:sz="8" w:space="0" w:color="000000"/>
              <w:bottom w:val="single" w:sz="8" w:space="0" w:color="000000"/>
              <w:right w:val="single" w:sz="4" w:space="0" w:color="000000"/>
            </w:tcBorders>
            <w:shd w:val="clear" w:color="auto" w:fill="auto"/>
            <w:vAlign w:val="center"/>
          </w:tcPr>
          <w:p w14:paraId="4353FF1A"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Nr.</w:t>
            </w:r>
          </w:p>
        </w:tc>
        <w:tc>
          <w:tcPr>
            <w:tcW w:w="4109" w:type="dxa"/>
            <w:vMerge w:val="restart"/>
            <w:tcBorders>
              <w:top w:val="single" w:sz="8" w:space="0" w:color="000000"/>
              <w:left w:val="single" w:sz="4" w:space="0" w:color="000000"/>
              <w:bottom w:val="single" w:sz="8" w:space="0" w:color="000000"/>
              <w:right w:val="single" w:sz="4" w:space="0" w:color="000000"/>
            </w:tcBorders>
            <w:shd w:val="clear" w:color="auto" w:fill="auto"/>
            <w:vAlign w:val="center"/>
          </w:tcPr>
          <w:p w14:paraId="086E65F6"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Titulli</w:t>
            </w:r>
          </w:p>
        </w:tc>
        <w:tc>
          <w:tcPr>
            <w:tcW w:w="2811" w:type="dxa"/>
            <w:gridSpan w:val="2"/>
            <w:tcBorders>
              <w:top w:val="single" w:sz="8" w:space="0" w:color="000000"/>
              <w:left w:val="nil"/>
              <w:bottom w:val="single" w:sz="4" w:space="0" w:color="000000"/>
              <w:right w:val="single" w:sz="4" w:space="0" w:color="000000"/>
            </w:tcBorders>
            <w:shd w:val="clear" w:color="auto" w:fill="auto"/>
            <w:vAlign w:val="center"/>
          </w:tcPr>
          <w:p w14:paraId="0E4A35DC" w14:textId="577E84DA"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825FA5" w:rsidRPr="00E266CD">
              <w:rPr>
                <w:rFonts w:ascii="Garamond" w:eastAsia="Times New Roman" w:hAnsi="Garamond"/>
                <w:b/>
                <w:color w:val="000000"/>
                <w:sz w:val="10"/>
                <w:szCs w:val="10"/>
              </w:rPr>
              <w:t>p</w:t>
            </w:r>
            <w:r w:rsidRPr="00E266CD">
              <w:rPr>
                <w:rFonts w:ascii="Garamond" w:eastAsia="Times New Roman" w:hAnsi="Garamond"/>
                <w:b/>
                <w:color w:val="000000"/>
                <w:sz w:val="10"/>
                <w:szCs w:val="10"/>
              </w:rPr>
              <w:t>ërgjegjës</w:t>
            </w:r>
          </w:p>
        </w:tc>
        <w:tc>
          <w:tcPr>
            <w:tcW w:w="1465" w:type="dxa"/>
            <w:gridSpan w:val="2"/>
            <w:tcBorders>
              <w:top w:val="single" w:sz="8" w:space="0" w:color="000000"/>
              <w:left w:val="nil"/>
              <w:bottom w:val="single" w:sz="4" w:space="0" w:color="000000"/>
              <w:right w:val="single" w:sz="8" w:space="0" w:color="000000"/>
            </w:tcBorders>
            <w:shd w:val="clear" w:color="auto" w:fill="auto"/>
            <w:vAlign w:val="center"/>
          </w:tcPr>
          <w:p w14:paraId="5000E1D5" w14:textId="3E8CB741"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Periudha e </w:t>
            </w:r>
            <w:r w:rsidR="00825FA5" w:rsidRPr="00E266CD">
              <w:rPr>
                <w:rFonts w:ascii="Garamond" w:eastAsia="Times New Roman" w:hAnsi="Garamond"/>
                <w:b/>
                <w:color w:val="000000"/>
                <w:sz w:val="10"/>
                <w:szCs w:val="10"/>
              </w:rPr>
              <w:t>z</w:t>
            </w:r>
            <w:r w:rsidRPr="00E266CD">
              <w:rPr>
                <w:rFonts w:ascii="Garamond" w:eastAsia="Times New Roman" w:hAnsi="Garamond"/>
                <w:b/>
                <w:color w:val="000000"/>
                <w:sz w:val="10"/>
                <w:szCs w:val="10"/>
              </w:rPr>
              <w:t>batimit</w:t>
            </w:r>
          </w:p>
        </w:tc>
        <w:tc>
          <w:tcPr>
            <w:tcW w:w="3214" w:type="dxa"/>
            <w:gridSpan w:val="3"/>
            <w:tcBorders>
              <w:top w:val="single" w:sz="8" w:space="0" w:color="000000"/>
              <w:left w:val="nil"/>
              <w:bottom w:val="single" w:sz="8" w:space="0" w:color="000000"/>
              <w:right w:val="single" w:sz="8" w:space="0" w:color="000000"/>
            </w:tcBorders>
            <w:shd w:val="clear" w:color="auto" w:fill="auto"/>
            <w:vAlign w:val="center"/>
          </w:tcPr>
          <w:p w14:paraId="4CE488F6" w14:textId="21CC124A"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Kosto</w:t>
            </w:r>
            <w:r w:rsidR="00D44BB0">
              <w:rPr>
                <w:rFonts w:ascii="Garamond" w:eastAsia="Times New Roman" w:hAnsi="Garamond"/>
                <w:b/>
                <w:color w:val="000000"/>
                <w:sz w:val="10"/>
                <w:szCs w:val="10"/>
              </w:rPr>
              <w:t>ja</w:t>
            </w:r>
            <w:r w:rsidRPr="00E266CD">
              <w:rPr>
                <w:rFonts w:ascii="Garamond" w:eastAsia="Times New Roman" w:hAnsi="Garamond"/>
                <w:b/>
                <w:color w:val="000000"/>
                <w:sz w:val="10"/>
                <w:szCs w:val="10"/>
              </w:rPr>
              <w:t xml:space="preserve"> indikative</w:t>
            </w:r>
          </w:p>
        </w:tc>
        <w:tc>
          <w:tcPr>
            <w:tcW w:w="1552" w:type="dxa"/>
            <w:gridSpan w:val="2"/>
            <w:tcBorders>
              <w:top w:val="single" w:sz="8" w:space="0" w:color="000000"/>
              <w:left w:val="single" w:sz="8" w:space="0" w:color="000000"/>
              <w:bottom w:val="single" w:sz="8" w:space="0" w:color="000000"/>
              <w:right w:val="single" w:sz="8" w:space="0" w:color="000000"/>
            </w:tcBorders>
          </w:tcPr>
          <w:p w14:paraId="76672460" w14:textId="77777777" w:rsidR="00DC69E1" w:rsidRPr="00E266CD" w:rsidRDefault="00DC69E1" w:rsidP="00695B0D">
            <w:pPr>
              <w:spacing w:after="0" w:line="240" w:lineRule="auto"/>
              <w:jc w:val="center"/>
              <w:rPr>
                <w:rFonts w:ascii="Garamond" w:eastAsia="Times New Roman" w:hAnsi="Garamond"/>
                <w:b/>
                <w:color w:val="000000"/>
                <w:sz w:val="10"/>
                <w:szCs w:val="10"/>
              </w:rPr>
            </w:pPr>
          </w:p>
        </w:tc>
        <w:tc>
          <w:tcPr>
            <w:tcW w:w="1872"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14:paraId="6DEB5D00" w14:textId="77777777" w:rsidR="00DC69E1" w:rsidRPr="00E266CD" w:rsidRDefault="00DC69E1" w:rsidP="00695B0D">
            <w:pPr>
              <w:spacing w:after="0" w:line="240" w:lineRule="auto"/>
              <w:jc w:val="center"/>
              <w:rPr>
                <w:rFonts w:ascii="Garamond" w:eastAsia="Times New Roman" w:hAnsi="Garamond"/>
                <w:b/>
                <w:color w:val="000000"/>
                <w:sz w:val="10"/>
                <w:szCs w:val="10"/>
              </w:rPr>
            </w:pPr>
          </w:p>
        </w:tc>
      </w:tr>
      <w:tr w:rsidR="00DC69E1" w:rsidRPr="00E266CD" w14:paraId="293561E6" w14:textId="77777777" w:rsidTr="00D44BB0">
        <w:trPr>
          <w:trHeight w:val="417"/>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4ED5BD92"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78D67243"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vMerge w:val="restart"/>
            <w:tcBorders>
              <w:top w:val="nil"/>
              <w:left w:val="single" w:sz="4" w:space="0" w:color="000000"/>
              <w:bottom w:val="single" w:sz="8" w:space="0" w:color="000000"/>
              <w:right w:val="single" w:sz="4" w:space="0" w:color="000000"/>
            </w:tcBorders>
            <w:shd w:val="clear" w:color="auto" w:fill="auto"/>
            <w:vAlign w:val="center"/>
          </w:tcPr>
          <w:p w14:paraId="55EA679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Institucioni drejtues</w:t>
            </w:r>
          </w:p>
        </w:tc>
        <w:tc>
          <w:tcPr>
            <w:tcW w:w="1544" w:type="dxa"/>
            <w:vMerge w:val="restart"/>
            <w:tcBorders>
              <w:top w:val="nil"/>
              <w:left w:val="single" w:sz="4" w:space="0" w:color="000000"/>
              <w:bottom w:val="single" w:sz="8" w:space="0" w:color="000000"/>
              <w:right w:val="single" w:sz="4" w:space="0" w:color="000000"/>
            </w:tcBorders>
            <w:shd w:val="clear" w:color="auto" w:fill="auto"/>
            <w:vAlign w:val="center"/>
          </w:tcPr>
          <w:p w14:paraId="1C9480B2" w14:textId="3B0AE840"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825FA5" w:rsidRPr="00E266CD">
              <w:rPr>
                <w:rFonts w:ascii="Garamond" w:eastAsia="Times New Roman" w:hAnsi="Garamond"/>
                <w:b/>
                <w:color w:val="000000"/>
                <w:sz w:val="10"/>
                <w:szCs w:val="10"/>
              </w:rPr>
              <w:t>pjesëmarrëse</w:t>
            </w:r>
          </w:p>
        </w:tc>
        <w:tc>
          <w:tcPr>
            <w:tcW w:w="593" w:type="dxa"/>
            <w:vMerge w:val="restart"/>
            <w:tcBorders>
              <w:top w:val="nil"/>
              <w:left w:val="single" w:sz="4" w:space="0" w:color="000000"/>
              <w:bottom w:val="single" w:sz="8" w:space="0" w:color="000000"/>
              <w:right w:val="single" w:sz="4" w:space="0" w:color="000000"/>
            </w:tcBorders>
            <w:shd w:val="clear" w:color="auto" w:fill="auto"/>
            <w:vAlign w:val="center"/>
          </w:tcPr>
          <w:p w14:paraId="0819DDA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fillimit</w:t>
            </w:r>
          </w:p>
        </w:tc>
        <w:tc>
          <w:tcPr>
            <w:tcW w:w="872" w:type="dxa"/>
            <w:vMerge w:val="restart"/>
            <w:tcBorders>
              <w:top w:val="nil"/>
              <w:left w:val="single" w:sz="4" w:space="0" w:color="000000"/>
              <w:bottom w:val="single" w:sz="8" w:space="0" w:color="000000"/>
              <w:right w:val="single" w:sz="8" w:space="0" w:color="000000"/>
            </w:tcBorders>
            <w:shd w:val="clear" w:color="auto" w:fill="auto"/>
            <w:vAlign w:val="center"/>
          </w:tcPr>
          <w:p w14:paraId="6359BB0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mbarimit</w:t>
            </w:r>
          </w:p>
        </w:tc>
        <w:tc>
          <w:tcPr>
            <w:tcW w:w="3214" w:type="dxa"/>
            <w:gridSpan w:val="3"/>
            <w:tcBorders>
              <w:top w:val="nil"/>
              <w:left w:val="single" w:sz="4" w:space="0" w:color="000000"/>
              <w:bottom w:val="single" w:sz="8" w:space="0" w:color="000000"/>
              <w:right w:val="single" w:sz="8" w:space="0" w:color="000000"/>
            </w:tcBorders>
            <w:vAlign w:val="center"/>
          </w:tcPr>
          <w:p w14:paraId="046876C0" w14:textId="77777777" w:rsidR="00DC69E1" w:rsidRPr="00E266CD" w:rsidRDefault="00DC69E1" w:rsidP="00695B0D">
            <w:pPr>
              <w:spacing w:after="0" w:line="240" w:lineRule="auto"/>
              <w:rPr>
                <w:rFonts w:ascii="Garamond" w:eastAsia="Times New Roman" w:hAnsi="Garamond"/>
                <w:b/>
                <w:color w:val="000000"/>
                <w:sz w:val="10"/>
                <w:szCs w:val="10"/>
              </w:rPr>
            </w:pPr>
          </w:p>
        </w:tc>
        <w:tc>
          <w:tcPr>
            <w:tcW w:w="1614" w:type="dxa"/>
            <w:gridSpan w:val="3"/>
            <w:tcBorders>
              <w:top w:val="single" w:sz="8" w:space="0" w:color="000000"/>
              <w:left w:val="nil"/>
              <w:bottom w:val="single" w:sz="8" w:space="0" w:color="000000"/>
              <w:right w:val="nil"/>
            </w:tcBorders>
            <w:shd w:val="clear" w:color="auto" w:fill="auto"/>
            <w:vAlign w:val="center"/>
          </w:tcPr>
          <w:p w14:paraId="36A0659D" w14:textId="77777777" w:rsidR="00DC69E1" w:rsidRPr="00E266CD" w:rsidRDefault="00DC69E1" w:rsidP="00695B0D">
            <w:pPr>
              <w:spacing w:after="0" w:line="240" w:lineRule="auto"/>
              <w:jc w:val="center"/>
              <w:rPr>
                <w:rFonts w:ascii="Garamond" w:eastAsia="Times New Roman" w:hAnsi="Garamond"/>
                <w:b/>
                <w:color w:val="000000"/>
                <w:sz w:val="10"/>
                <w:szCs w:val="10"/>
              </w:rPr>
            </w:pPr>
          </w:p>
        </w:tc>
        <w:tc>
          <w:tcPr>
            <w:tcW w:w="900" w:type="dxa"/>
            <w:tcBorders>
              <w:top w:val="single" w:sz="8" w:space="0" w:color="000000"/>
              <w:left w:val="single" w:sz="8" w:space="0" w:color="000000"/>
              <w:bottom w:val="single" w:sz="8" w:space="0" w:color="000000"/>
              <w:right w:val="single" w:sz="8" w:space="0" w:color="000000"/>
            </w:tcBorders>
            <w:vAlign w:val="center"/>
          </w:tcPr>
          <w:p w14:paraId="426704E9" w14:textId="5DB3A761" w:rsidR="00DC69E1" w:rsidRPr="00E266CD" w:rsidRDefault="00DC69E1" w:rsidP="00D44BB0">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Të tjerë</w:t>
            </w:r>
            <w:r w:rsidR="007715D0" w:rsidRPr="00E266CD">
              <w:rPr>
                <w:rFonts w:ascii="Garamond" w:hAnsi="Garamond"/>
                <w:b/>
                <w:bCs/>
                <w:color w:val="000000"/>
                <w:sz w:val="10"/>
                <w:szCs w:val="10"/>
              </w:rPr>
              <w:t xml:space="preserve"> </w:t>
            </w:r>
            <w:r w:rsidRPr="00E266CD">
              <w:rPr>
                <w:rFonts w:ascii="Garamond" w:hAnsi="Garamond"/>
                <w:b/>
                <w:bCs/>
                <w:color w:val="000000"/>
                <w:sz w:val="10"/>
                <w:szCs w:val="10"/>
              </w:rPr>
              <w:t>(buxheti i institucioneve</w:t>
            </w:r>
            <w:r w:rsidR="00D44BB0">
              <w:rPr>
                <w:rFonts w:ascii="Garamond" w:hAnsi="Garamond"/>
                <w:b/>
                <w:bCs/>
                <w:color w:val="000000"/>
                <w:sz w:val="10"/>
                <w:szCs w:val="10"/>
              </w:rPr>
              <w:t>)</w:t>
            </w:r>
          </w:p>
          <w:p w14:paraId="0534466D" w14:textId="77777777" w:rsidR="00DC69E1" w:rsidRPr="00E266CD" w:rsidRDefault="00DC69E1" w:rsidP="00D44BB0">
            <w:pPr>
              <w:spacing w:after="0" w:line="240" w:lineRule="auto"/>
              <w:jc w:val="center"/>
              <w:rPr>
                <w:rFonts w:ascii="Garamond" w:eastAsia="Times New Roman" w:hAnsi="Garamond"/>
                <w:b/>
                <w:color w:val="000000"/>
                <w:sz w:val="10"/>
                <w:szCs w:val="10"/>
              </w:rPr>
            </w:pPr>
          </w:p>
        </w:tc>
        <w:tc>
          <w:tcPr>
            <w:tcW w:w="910" w:type="dxa"/>
            <w:tcBorders>
              <w:top w:val="single" w:sz="8" w:space="0" w:color="000000"/>
              <w:left w:val="single" w:sz="8" w:space="0" w:color="000000"/>
              <w:bottom w:val="single" w:sz="8" w:space="0" w:color="000000"/>
              <w:right w:val="single" w:sz="8" w:space="0" w:color="000000"/>
            </w:tcBorders>
            <w:vAlign w:val="center"/>
          </w:tcPr>
          <w:p w14:paraId="417E66AA" w14:textId="5397AF00" w:rsidR="00DC69E1" w:rsidRPr="00E266CD" w:rsidRDefault="00DC69E1" w:rsidP="00D44BB0">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Hendeku </w:t>
            </w:r>
            <w:r w:rsidR="00825FA5" w:rsidRPr="00E266CD">
              <w:rPr>
                <w:rFonts w:ascii="Garamond" w:eastAsia="Times New Roman" w:hAnsi="Garamond"/>
                <w:b/>
                <w:color w:val="000000"/>
                <w:sz w:val="10"/>
                <w:szCs w:val="10"/>
              </w:rPr>
              <w:t>f</w:t>
            </w:r>
            <w:r w:rsidRPr="00E266CD">
              <w:rPr>
                <w:rFonts w:ascii="Garamond" w:eastAsia="Times New Roman" w:hAnsi="Garamond"/>
                <w:b/>
                <w:color w:val="000000"/>
                <w:sz w:val="10"/>
                <w:szCs w:val="10"/>
              </w:rPr>
              <w:t>inanciar</w:t>
            </w:r>
          </w:p>
        </w:tc>
      </w:tr>
      <w:tr w:rsidR="00DC69E1" w:rsidRPr="00E266CD" w14:paraId="17F630C6" w14:textId="77777777" w:rsidTr="00DC69E1">
        <w:trPr>
          <w:trHeight w:val="79"/>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7FF97BBC"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210CCA91"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vMerge/>
            <w:tcBorders>
              <w:top w:val="nil"/>
              <w:left w:val="single" w:sz="4" w:space="0" w:color="000000"/>
              <w:bottom w:val="single" w:sz="8" w:space="0" w:color="000000"/>
              <w:right w:val="single" w:sz="4" w:space="0" w:color="000000"/>
            </w:tcBorders>
            <w:shd w:val="clear" w:color="auto" w:fill="auto"/>
            <w:vAlign w:val="center"/>
          </w:tcPr>
          <w:p w14:paraId="02C3EC7A"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544" w:type="dxa"/>
            <w:vMerge/>
            <w:tcBorders>
              <w:top w:val="nil"/>
              <w:left w:val="single" w:sz="4" w:space="0" w:color="000000"/>
              <w:bottom w:val="single" w:sz="8" w:space="0" w:color="000000"/>
              <w:right w:val="single" w:sz="4" w:space="0" w:color="000000"/>
            </w:tcBorders>
            <w:shd w:val="clear" w:color="auto" w:fill="auto"/>
            <w:vAlign w:val="center"/>
          </w:tcPr>
          <w:p w14:paraId="3153C8F5"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593" w:type="dxa"/>
            <w:vMerge/>
            <w:tcBorders>
              <w:top w:val="nil"/>
              <w:left w:val="single" w:sz="4" w:space="0" w:color="000000"/>
              <w:bottom w:val="single" w:sz="8" w:space="0" w:color="000000"/>
              <w:right w:val="single" w:sz="4" w:space="0" w:color="000000"/>
            </w:tcBorders>
            <w:shd w:val="clear" w:color="auto" w:fill="auto"/>
            <w:vAlign w:val="center"/>
          </w:tcPr>
          <w:p w14:paraId="7651212A"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872" w:type="dxa"/>
            <w:vMerge/>
            <w:tcBorders>
              <w:top w:val="nil"/>
              <w:left w:val="single" w:sz="4" w:space="0" w:color="000000"/>
              <w:bottom w:val="single" w:sz="8" w:space="0" w:color="000000"/>
              <w:right w:val="single" w:sz="8" w:space="0" w:color="000000"/>
            </w:tcBorders>
            <w:shd w:val="clear" w:color="auto" w:fill="auto"/>
            <w:vAlign w:val="center"/>
          </w:tcPr>
          <w:p w14:paraId="21724803" w14:textId="77777777" w:rsidR="00DC69E1" w:rsidRPr="00E266CD" w:rsidRDefault="00DC69E1" w:rsidP="00695B0D">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196" w:type="dxa"/>
            <w:tcBorders>
              <w:top w:val="nil"/>
              <w:left w:val="nil"/>
              <w:bottom w:val="single" w:sz="8" w:space="0" w:color="000000"/>
              <w:right w:val="nil"/>
            </w:tcBorders>
            <w:shd w:val="clear" w:color="auto" w:fill="auto"/>
            <w:vAlign w:val="center"/>
          </w:tcPr>
          <w:p w14:paraId="3841696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Korente</w:t>
            </w:r>
          </w:p>
        </w:tc>
        <w:tc>
          <w:tcPr>
            <w:tcW w:w="936" w:type="dxa"/>
            <w:tcBorders>
              <w:top w:val="nil"/>
              <w:left w:val="single" w:sz="8" w:space="0" w:color="000000"/>
              <w:bottom w:val="single" w:sz="8" w:space="0" w:color="000000"/>
              <w:right w:val="single" w:sz="8" w:space="0" w:color="000000"/>
            </w:tcBorders>
            <w:shd w:val="clear" w:color="auto" w:fill="auto"/>
            <w:vAlign w:val="center"/>
          </w:tcPr>
          <w:p w14:paraId="4074F40D"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Kapitale</w:t>
            </w:r>
          </w:p>
        </w:tc>
        <w:tc>
          <w:tcPr>
            <w:tcW w:w="1082" w:type="dxa"/>
            <w:tcBorders>
              <w:top w:val="nil"/>
              <w:left w:val="nil"/>
              <w:bottom w:val="single" w:sz="8" w:space="0" w:color="000000"/>
              <w:right w:val="single" w:sz="8" w:space="0" w:color="000000"/>
            </w:tcBorders>
            <w:shd w:val="clear" w:color="auto" w:fill="auto"/>
            <w:vAlign w:val="center"/>
          </w:tcPr>
          <w:p w14:paraId="61C35E94" w14:textId="7D35361E"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Total </w:t>
            </w:r>
            <w:r w:rsidR="00825FA5" w:rsidRPr="00E266CD">
              <w:rPr>
                <w:rFonts w:ascii="Garamond" w:eastAsia="Times New Roman" w:hAnsi="Garamond"/>
                <w:b/>
                <w:color w:val="000000"/>
                <w:sz w:val="10"/>
                <w:szCs w:val="10"/>
              </w:rPr>
              <w:t>k</w:t>
            </w:r>
            <w:r w:rsidRPr="00E266CD">
              <w:rPr>
                <w:rFonts w:ascii="Garamond" w:eastAsia="Times New Roman" w:hAnsi="Garamond"/>
                <w:b/>
                <w:color w:val="000000"/>
                <w:sz w:val="10"/>
                <w:szCs w:val="10"/>
              </w:rPr>
              <w:t>osto</w:t>
            </w:r>
          </w:p>
        </w:tc>
        <w:tc>
          <w:tcPr>
            <w:tcW w:w="720" w:type="dxa"/>
            <w:tcBorders>
              <w:top w:val="nil"/>
              <w:left w:val="nil"/>
              <w:bottom w:val="single" w:sz="8" w:space="0" w:color="000000"/>
              <w:right w:val="single" w:sz="8" w:space="0" w:color="000000"/>
            </w:tcBorders>
            <w:shd w:val="clear" w:color="auto" w:fill="auto"/>
            <w:vAlign w:val="center"/>
          </w:tcPr>
          <w:p w14:paraId="1F103506" w14:textId="67766C55"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w:t>
            </w:r>
            <w:r w:rsidR="00657978">
              <w:rPr>
                <w:rFonts w:ascii="Garamond" w:eastAsia="Times New Roman" w:hAnsi="Garamond"/>
                <w:b/>
                <w:color w:val="000000"/>
                <w:sz w:val="10"/>
                <w:szCs w:val="10"/>
              </w:rPr>
              <w:t xml:space="preserve"> </w:t>
            </w:r>
            <w:r w:rsidRPr="00E266CD">
              <w:rPr>
                <w:rFonts w:ascii="Garamond" w:eastAsia="Times New Roman" w:hAnsi="Garamond"/>
                <w:b/>
                <w:color w:val="000000"/>
                <w:sz w:val="10"/>
                <w:szCs w:val="10"/>
              </w:rPr>
              <w:t>BSH</w:t>
            </w:r>
          </w:p>
        </w:tc>
        <w:tc>
          <w:tcPr>
            <w:tcW w:w="894" w:type="dxa"/>
            <w:gridSpan w:val="2"/>
            <w:tcBorders>
              <w:top w:val="nil"/>
              <w:left w:val="nil"/>
              <w:bottom w:val="single" w:sz="8" w:space="0" w:color="000000"/>
              <w:right w:val="single" w:sz="8" w:space="0" w:color="000000"/>
            </w:tcBorders>
            <w:shd w:val="clear" w:color="auto" w:fill="auto"/>
            <w:vAlign w:val="center"/>
          </w:tcPr>
          <w:p w14:paraId="4BCEF82D" w14:textId="326ADA5A"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w:t>
            </w:r>
            <w:r w:rsidR="00D44BB0">
              <w:rPr>
                <w:rFonts w:ascii="Garamond" w:eastAsia="Times New Roman" w:hAnsi="Garamond"/>
                <w:b/>
                <w:color w:val="000000"/>
                <w:sz w:val="10"/>
                <w:szCs w:val="10"/>
              </w:rPr>
              <w:t xml:space="preserve"> </w:t>
            </w:r>
            <w:r w:rsidRPr="00E266CD">
              <w:rPr>
                <w:rFonts w:ascii="Garamond" w:eastAsia="Times New Roman" w:hAnsi="Garamond"/>
                <w:b/>
                <w:color w:val="000000"/>
                <w:sz w:val="10"/>
                <w:szCs w:val="10"/>
              </w:rPr>
              <w:t>FH</w:t>
            </w:r>
          </w:p>
        </w:tc>
        <w:tc>
          <w:tcPr>
            <w:tcW w:w="900" w:type="dxa"/>
            <w:tcBorders>
              <w:top w:val="nil"/>
              <w:left w:val="nil"/>
              <w:bottom w:val="single" w:sz="8" w:space="0" w:color="000000"/>
              <w:right w:val="nil"/>
            </w:tcBorders>
          </w:tcPr>
          <w:p w14:paraId="5E13BDBF" w14:textId="77777777" w:rsidR="00DC69E1" w:rsidRPr="00E266CD" w:rsidRDefault="00DC69E1" w:rsidP="00695B0D">
            <w:pPr>
              <w:spacing w:after="0" w:line="240" w:lineRule="auto"/>
              <w:jc w:val="center"/>
              <w:rPr>
                <w:rFonts w:ascii="Garamond" w:eastAsia="Times New Roman" w:hAnsi="Garamond"/>
                <w:b/>
                <w:color w:val="000000"/>
                <w:sz w:val="10"/>
                <w:szCs w:val="10"/>
              </w:rPr>
            </w:pPr>
          </w:p>
        </w:tc>
        <w:tc>
          <w:tcPr>
            <w:tcW w:w="910" w:type="dxa"/>
            <w:tcBorders>
              <w:top w:val="nil"/>
              <w:left w:val="nil"/>
              <w:bottom w:val="single" w:sz="8" w:space="0" w:color="000000"/>
              <w:right w:val="single" w:sz="8" w:space="0" w:color="000000"/>
            </w:tcBorders>
            <w:shd w:val="clear" w:color="auto" w:fill="auto"/>
            <w:vAlign w:val="center"/>
          </w:tcPr>
          <w:p w14:paraId="36633BB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r>
      <w:tr w:rsidR="00DC69E1" w:rsidRPr="00E266CD" w14:paraId="7B38E007" w14:textId="77777777" w:rsidTr="00DC69E1">
        <w:trPr>
          <w:trHeight w:val="1330"/>
          <w:jc w:val="center"/>
        </w:trPr>
        <w:tc>
          <w:tcPr>
            <w:tcW w:w="698" w:type="dxa"/>
            <w:tcBorders>
              <w:top w:val="nil"/>
              <w:left w:val="single" w:sz="8" w:space="0" w:color="000000"/>
              <w:bottom w:val="single" w:sz="4" w:space="0" w:color="000000"/>
              <w:right w:val="single" w:sz="4" w:space="0" w:color="000000"/>
            </w:tcBorders>
            <w:shd w:val="clear" w:color="auto" w:fill="F8CBAD"/>
            <w:vAlign w:val="center"/>
          </w:tcPr>
          <w:p w14:paraId="5AB9E13D"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w:t>
            </w:r>
          </w:p>
        </w:tc>
        <w:tc>
          <w:tcPr>
            <w:tcW w:w="4109" w:type="dxa"/>
            <w:tcBorders>
              <w:top w:val="nil"/>
              <w:left w:val="nil"/>
              <w:bottom w:val="single" w:sz="4" w:space="0" w:color="000000"/>
              <w:right w:val="single" w:sz="4" w:space="0" w:color="000000"/>
            </w:tcBorders>
            <w:shd w:val="clear" w:color="auto" w:fill="F8CBAD"/>
            <w:vAlign w:val="center"/>
          </w:tcPr>
          <w:p w14:paraId="2802BBAD" w14:textId="52B77F4E" w:rsidR="00DC69E1" w:rsidRPr="00E266CD" w:rsidRDefault="00DC69E1" w:rsidP="00695B0D">
            <w:pPr>
              <w:spacing w:after="0" w:line="240" w:lineRule="auto"/>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 Objektivi </w:t>
            </w:r>
            <w:r w:rsidR="00D44BB0">
              <w:rPr>
                <w:rFonts w:ascii="Garamond" w:eastAsia="Times New Roman" w:hAnsi="Garamond"/>
                <w:b/>
                <w:color w:val="000000"/>
                <w:sz w:val="10"/>
                <w:szCs w:val="10"/>
              </w:rPr>
              <w:t>s</w:t>
            </w:r>
            <w:r w:rsidRPr="00E266CD">
              <w:rPr>
                <w:rFonts w:ascii="Garamond" w:eastAsia="Times New Roman" w:hAnsi="Garamond"/>
                <w:b/>
                <w:color w:val="000000"/>
                <w:sz w:val="10"/>
                <w:szCs w:val="10"/>
              </w:rPr>
              <w:t>pecifik: Plotësimi dhe zbatimi i kuadrit ligjor dhe rregullator për të garantuar cilësinë, etikën dhe efektivitetin në zhvillimin dhe aplikimin e kërkimit në përputhje me fushat prioritare</w:t>
            </w:r>
          </w:p>
        </w:tc>
        <w:tc>
          <w:tcPr>
            <w:tcW w:w="1267" w:type="dxa"/>
            <w:tcBorders>
              <w:top w:val="nil"/>
              <w:left w:val="single" w:sz="4" w:space="0" w:color="000000"/>
              <w:bottom w:val="single" w:sz="4" w:space="0" w:color="000000"/>
              <w:right w:val="single" w:sz="4" w:space="0" w:color="000000"/>
            </w:tcBorders>
            <w:shd w:val="clear" w:color="auto" w:fill="F8CBAD"/>
            <w:vAlign w:val="center"/>
          </w:tcPr>
          <w:p w14:paraId="0BE69F83"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AKKSHI, AKSHI</w:t>
            </w:r>
          </w:p>
        </w:tc>
        <w:tc>
          <w:tcPr>
            <w:tcW w:w="1544" w:type="dxa"/>
            <w:tcBorders>
              <w:top w:val="nil"/>
              <w:left w:val="nil"/>
              <w:bottom w:val="single" w:sz="4" w:space="0" w:color="000000"/>
              <w:right w:val="single" w:sz="4" w:space="0" w:color="000000"/>
            </w:tcBorders>
            <w:shd w:val="clear" w:color="auto" w:fill="F8CBAD"/>
            <w:vAlign w:val="center"/>
          </w:tcPr>
          <w:p w14:paraId="298218E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 ASCAL, RASH, ASHSH, M</w:t>
            </w:r>
            <w:r w:rsidRPr="00E266CD">
              <w:rPr>
                <w:rFonts w:ascii="Garamond" w:eastAsia="Times New Roman" w:hAnsi="Garamond"/>
                <w:sz w:val="10"/>
                <w:szCs w:val="10"/>
              </w:rPr>
              <w:t>L, AKSHI</w:t>
            </w:r>
          </w:p>
        </w:tc>
        <w:tc>
          <w:tcPr>
            <w:tcW w:w="593" w:type="dxa"/>
            <w:tcBorders>
              <w:top w:val="nil"/>
              <w:left w:val="nil"/>
              <w:bottom w:val="single" w:sz="4" w:space="0" w:color="000000"/>
              <w:right w:val="single" w:sz="4" w:space="0" w:color="000000"/>
            </w:tcBorders>
            <w:shd w:val="clear" w:color="auto" w:fill="F8CBAD"/>
            <w:vAlign w:val="center"/>
          </w:tcPr>
          <w:p w14:paraId="7F01B46C"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nil"/>
              <w:bottom w:val="single" w:sz="4" w:space="0" w:color="000000"/>
              <w:right w:val="single" w:sz="8" w:space="0" w:color="000000"/>
            </w:tcBorders>
            <w:shd w:val="clear" w:color="auto" w:fill="F8CBAD"/>
            <w:vAlign w:val="center"/>
          </w:tcPr>
          <w:p w14:paraId="7F738C0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single" w:sz="4" w:space="0" w:color="000000"/>
              <w:right w:val="single" w:sz="4" w:space="0" w:color="000000"/>
            </w:tcBorders>
            <w:shd w:val="clear" w:color="auto" w:fill="F8CBAD"/>
            <w:vAlign w:val="center"/>
          </w:tcPr>
          <w:p w14:paraId="0ECF6E2A"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936" w:type="dxa"/>
            <w:tcBorders>
              <w:top w:val="nil"/>
              <w:left w:val="nil"/>
              <w:bottom w:val="single" w:sz="4" w:space="0" w:color="000000"/>
              <w:right w:val="single" w:sz="4" w:space="0" w:color="000000"/>
            </w:tcBorders>
            <w:shd w:val="clear" w:color="auto" w:fill="F8CBAD"/>
            <w:vAlign w:val="center"/>
          </w:tcPr>
          <w:p w14:paraId="46C20CB6"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082" w:type="dxa"/>
            <w:tcBorders>
              <w:top w:val="nil"/>
              <w:left w:val="nil"/>
              <w:bottom w:val="single" w:sz="4" w:space="0" w:color="000000"/>
              <w:right w:val="single" w:sz="8" w:space="0" w:color="000000"/>
            </w:tcBorders>
            <w:shd w:val="clear" w:color="auto" w:fill="F8CBAD"/>
            <w:vAlign w:val="center"/>
          </w:tcPr>
          <w:p w14:paraId="1D6E7896"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720" w:type="dxa"/>
            <w:tcBorders>
              <w:top w:val="nil"/>
              <w:left w:val="nil"/>
              <w:bottom w:val="single" w:sz="4" w:space="0" w:color="000000"/>
              <w:right w:val="nil"/>
            </w:tcBorders>
            <w:shd w:val="clear" w:color="auto" w:fill="F8CBAD"/>
            <w:vAlign w:val="center"/>
          </w:tcPr>
          <w:p w14:paraId="3214DD7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94" w:type="dxa"/>
            <w:gridSpan w:val="2"/>
            <w:tcBorders>
              <w:top w:val="nil"/>
              <w:left w:val="single" w:sz="4" w:space="0" w:color="000000"/>
              <w:bottom w:val="single" w:sz="4" w:space="0" w:color="000000"/>
              <w:right w:val="single" w:sz="8" w:space="0" w:color="000000"/>
            </w:tcBorders>
            <w:shd w:val="clear" w:color="auto" w:fill="F8CBAD"/>
            <w:vAlign w:val="center"/>
          </w:tcPr>
          <w:p w14:paraId="6582242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900" w:type="dxa"/>
            <w:tcBorders>
              <w:top w:val="single" w:sz="4" w:space="0" w:color="000000"/>
              <w:left w:val="nil"/>
              <w:bottom w:val="single" w:sz="4" w:space="0" w:color="000000"/>
              <w:right w:val="nil"/>
            </w:tcBorders>
            <w:shd w:val="clear" w:color="auto" w:fill="F8CBAD"/>
          </w:tcPr>
          <w:p w14:paraId="4CB1F643" w14:textId="77777777" w:rsidR="00DC69E1" w:rsidRPr="00E266CD" w:rsidRDefault="00DC69E1" w:rsidP="00695B0D">
            <w:pPr>
              <w:spacing w:after="0" w:line="240" w:lineRule="auto"/>
              <w:jc w:val="center"/>
              <w:rPr>
                <w:rFonts w:ascii="Garamond" w:eastAsia="Times New Roman" w:hAnsi="Garamond"/>
                <w:b/>
                <w:color w:val="000000"/>
                <w:sz w:val="10"/>
                <w:szCs w:val="10"/>
              </w:rPr>
            </w:pPr>
          </w:p>
        </w:tc>
        <w:tc>
          <w:tcPr>
            <w:tcW w:w="910" w:type="dxa"/>
            <w:tcBorders>
              <w:top w:val="single" w:sz="4" w:space="0" w:color="000000"/>
              <w:left w:val="nil"/>
              <w:bottom w:val="single" w:sz="4" w:space="0" w:color="000000"/>
              <w:right w:val="single" w:sz="8" w:space="0" w:color="000000"/>
            </w:tcBorders>
            <w:shd w:val="clear" w:color="auto" w:fill="F8CBAD"/>
            <w:vAlign w:val="center"/>
          </w:tcPr>
          <w:p w14:paraId="6241391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r>
      <w:tr w:rsidR="00DC69E1" w:rsidRPr="00E266CD" w14:paraId="32B74D42" w14:textId="77777777" w:rsidTr="00974609">
        <w:trPr>
          <w:trHeight w:val="575"/>
          <w:jc w:val="center"/>
        </w:trPr>
        <w:tc>
          <w:tcPr>
            <w:tcW w:w="698" w:type="dxa"/>
            <w:tcBorders>
              <w:top w:val="nil"/>
              <w:left w:val="single" w:sz="8" w:space="0" w:color="000000"/>
              <w:bottom w:val="single" w:sz="4" w:space="0" w:color="000000"/>
              <w:right w:val="nil"/>
            </w:tcBorders>
            <w:shd w:val="clear" w:color="auto" w:fill="auto"/>
            <w:vAlign w:val="center"/>
          </w:tcPr>
          <w:p w14:paraId="4FF76C3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1.1.1</w:t>
            </w:r>
          </w:p>
        </w:tc>
        <w:tc>
          <w:tcPr>
            <w:tcW w:w="4109" w:type="dxa"/>
            <w:tcBorders>
              <w:top w:val="nil"/>
              <w:left w:val="single" w:sz="4" w:space="0" w:color="000000"/>
              <w:bottom w:val="single" w:sz="4" w:space="0" w:color="000000"/>
              <w:right w:val="single" w:sz="4" w:space="0" w:color="000000"/>
            </w:tcBorders>
            <w:shd w:val="clear" w:color="auto" w:fill="DDEBF7"/>
          </w:tcPr>
          <w:p w14:paraId="61FF8DF6" w14:textId="470C9DF4"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1.1.1</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 xml:space="preserve">Miratimi i ligjit të ri “Për </w:t>
            </w:r>
            <w:r w:rsidR="00D44BB0">
              <w:rPr>
                <w:rFonts w:ascii="Garamond" w:eastAsia="Times New Roman" w:hAnsi="Garamond"/>
                <w:color w:val="000000"/>
                <w:sz w:val="10"/>
                <w:szCs w:val="10"/>
              </w:rPr>
              <w:t>s</w:t>
            </w:r>
            <w:r w:rsidRPr="00E266CD">
              <w:rPr>
                <w:rFonts w:ascii="Garamond" w:eastAsia="Times New Roman" w:hAnsi="Garamond"/>
                <w:color w:val="000000"/>
                <w:sz w:val="10"/>
                <w:szCs w:val="10"/>
              </w:rPr>
              <w:t>hkencën në Republikën e Shqipërisë”</w:t>
            </w:r>
          </w:p>
        </w:tc>
        <w:tc>
          <w:tcPr>
            <w:tcW w:w="1267" w:type="dxa"/>
            <w:tcBorders>
              <w:top w:val="nil"/>
              <w:left w:val="single" w:sz="4" w:space="0" w:color="000000"/>
              <w:bottom w:val="single" w:sz="4" w:space="0" w:color="000000"/>
              <w:right w:val="nil"/>
            </w:tcBorders>
            <w:shd w:val="clear" w:color="auto" w:fill="auto"/>
            <w:vAlign w:val="center"/>
          </w:tcPr>
          <w:p w14:paraId="23F60C9B" w14:textId="77777777" w:rsidR="00DC69E1" w:rsidRPr="00E266CD" w:rsidRDefault="00DC69E1" w:rsidP="00974609">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314E61EA"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 - ASCAL, ASHSH,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270F0C0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074E117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590195D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2,028,830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2CDD4F9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414407F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2,028,830</w:t>
            </w:r>
          </w:p>
        </w:tc>
        <w:tc>
          <w:tcPr>
            <w:tcW w:w="720" w:type="dxa"/>
            <w:tcBorders>
              <w:top w:val="nil"/>
              <w:left w:val="nil"/>
              <w:bottom w:val="single" w:sz="4" w:space="0" w:color="000000"/>
              <w:right w:val="nil"/>
            </w:tcBorders>
            <w:shd w:val="clear" w:color="auto" w:fill="auto"/>
            <w:vAlign w:val="center"/>
          </w:tcPr>
          <w:p w14:paraId="69F23E9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2,028,831</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D58C32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2142CEB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1B01E4E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w:t>
            </w:r>
          </w:p>
        </w:tc>
      </w:tr>
      <w:tr w:rsidR="00DC69E1" w:rsidRPr="00E266CD" w14:paraId="2E13E8DC" w14:textId="77777777" w:rsidTr="00974609">
        <w:trPr>
          <w:trHeight w:val="510"/>
          <w:jc w:val="center"/>
        </w:trPr>
        <w:tc>
          <w:tcPr>
            <w:tcW w:w="698" w:type="dxa"/>
            <w:tcBorders>
              <w:top w:val="nil"/>
              <w:left w:val="single" w:sz="8" w:space="0" w:color="000000"/>
              <w:bottom w:val="single" w:sz="4" w:space="0" w:color="000000"/>
              <w:right w:val="nil"/>
            </w:tcBorders>
            <w:shd w:val="clear" w:color="auto" w:fill="auto"/>
            <w:vAlign w:val="center"/>
          </w:tcPr>
          <w:p w14:paraId="3D1BA090"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1.1.2</w:t>
            </w:r>
          </w:p>
        </w:tc>
        <w:tc>
          <w:tcPr>
            <w:tcW w:w="4109" w:type="dxa"/>
            <w:tcBorders>
              <w:top w:val="nil"/>
              <w:left w:val="single" w:sz="4" w:space="0" w:color="000000"/>
              <w:bottom w:val="single" w:sz="4" w:space="0" w:color="000000"/>
              <w:right w:val="single" w:sz="4" w:space="0" w:color="000000"/>
            </w:tcBorders>
            <w:shd w:val="clear" w:color="auto" w:fill="DDEBF7"/>
          </w:tcPr>
          <w:p w14:paraId="67EB8801" w14:textId="3D10D66D"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 xml:space="preserve">Miratimi i paketës së akteve nënligjore në zbatim të </w:t>
            </w:r>
            <w:r w:rsidR="00825FA5" w:rsidRPr="00E266CD">
              <w:rPr>
                <w:rFonts w:ascii="Garamond" w:eastAsia="Times New Roman" w:hAnsi="Garamond"/>
                <w:color w:val="000000"/>
                <w:sz w:val="10"/>
                <w:szCs w:val="10"/>
              </w:rPr>
              <w:t xml:space="preserve">ligjit </w:t>
            </w:r>
            <w:r w:rsidRPr="00E266CD">
              <w:rPr>
                <w:rFonts w:ascii="Garamond" w:eastAsia="Times New Roman" w:hAnsi="Garamond"/>
                <w:color w:val="000000"/>
                <w:sz w:val="10"/>
                <w:szCs w:val="10"/>
              </w:rPr>
              <w:t>të ri “Për</w:t>
            </w:r>
            <w:r w:rsidR="007715D0" w:rsidRPr="00E266CD">
              <w:rPr>
                <w:rFonts w:ascii="Garamond" w:eastAsia="Times New Roman" w:hAnsi="Garamond"/>
                <w:color w:val="000000"/>
                <w:sz w:val="10"/>
                <w:szCs w:val="10"/>
              </w:rPr>
              <w:t xml:space="preserve"> </w:t>
            </w:r>
            <w:r w:rsidR="00825FA5" w:rsidRPr="00E266CD">
              <w:rPr>
                <w:rFonts w:ascii="Garamond" w:eastAsia="Times New Roman" w:hAnsi="Garamond"/>
                <w:color w:val="000000"/>
                <w:sz w:val="10"/>
                <w:szCs w:val="10"/>
              </w:rPr>
              <w:t xml:space="preserve">shkencën </w:t>
            </w:r>
            <w:r w:rsidRPr="00E266CD">
              <w:rPr>
                <w:rFonts w:ascii="Garamond" w:eastAsia="Times New Roman" w:hAnsi="Garamond"/>
                <w:color w:val="000000"/>
                <w:sz w:val="10"/>
                <w:szCs w:val="10"/>
              </w:rPr>
              <w:t>në Republikën e Shqipërisë”</w:t>
            </w:r>
          </w:p>
        </w:tc>
        <w:tc>
          <w:tcPr>
            <w:tcW w:w="1267" w:type="dxa"/>
            <w:tcBorders>
              <w:top w:val="single" w:sz="4" w:space="0" w:color="000000"/>
              <w:left w:val="single" w:sz="4" w:space="0" w:color="000000"/>
              <w:bottom w:val="single" w:sz="4" w:space="0" w:color="000000"/>
              <w:right w:val="nil"/>
            </w:tcBorders>
            <w:shd w:val="clear" w:color="auto" w:fill="auto"/>
            <w:vAlign w:val="center"/>
          </w:tcPr>
          <w:p w14:paraId="51CD8A72" w14:textId="77777777" w:rsidR="00DC69E1" w:rsidRPr="00E266CD" w:rsidRDefault="00DC69E1" w:rsidP="00974609">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55450976"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ASHSH, IAL,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5488C9BC"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1EB0114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6393C4C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2,612,986</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36F10D6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589B7BE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2,612,986</w:t>
            </w:r>
          </w:p>
        </w:tc>
        <w:tc>
          <w:tcPr>
            <w:tcW w:w="720" w:type="dxa"/>
            <w:tcBorders>
              <w:top w:val="nil"/>
              <w:left w:val="nil"/>
              <w:bottom w:val="single" w:sz="4" w:space="0" w:color="000000"/>
              <w:right w:val="nil"/>
            </w:tcBorders>
            <w:shd w:val="clear" w:color="auto" w:fill="auto"/>
            <w:vAlign w:val="center"/>
          </w:tcPr>
          <w:p w14:paraId="5FED778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2,612,986</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340F66B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4DE51B5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695647F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09EC1516" w14:textId="77777777" w:rsidTr="00974609">
        <w:trPr>
          <w:trHeight w:val="431"/>
          <w:jc w:val="center"/>
        </w:trPr>
        <w:tc>
          <w:tcPr>
            <w:tcW w:w="698" w:type="dxa"/>
            <w:tcBorders>
              <w:top w:val="nil"/>
              <w:left w:val="single" w:sz="8" w:space="0" w:color="000000"/>
              <w:bottom w:val="single" w:sz="8" w:space="0" w:color="000000"/>
              <w:right w:val="nil"/>
            </w:tcBorders>
            <w:shd w:val="clear" w:color="auto" w:fill="auto"/>
            <w:vAlign w:val="center"/>
          </w:tcPr>
          <w:p w14:paraId="4CD90BC0"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1.1.3</w:t>
            </w:r>
          </w:p>
        </w:tc>
        <w:tc>
          <w:tcPr>
            <w:tcW w:w="4109" w:type="dxa"/>
            <w:tcBorders>
              <w:top w:val="nil"/>
              <w:left w:val="single" w:sz="4" w:space="0" w:color="000000"/>
              <w:bottom w:val="single" w:sz="4" w:space="0" w:color="000000"/>
              <w:right w:val="single" w:sz="4" w:space="0" w:color="000000"/>
            </w:tcBorders>
            <w:shd w:val="clear" w:color="auto" w:fill="DDEBF7"/>
          </w:tcPr>
          <w:p w14:paraId="3DA497B2" w14:textId="465CE9F8"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1.1.3 Zhvillimi i fushatave sensibilizuese për ligjin “Për </w:t>
            </w:r>
            <w:r w:rsidR="00825FA5" w:rsidRPr="00E266CD">
              <w:rPr>
                <w:rFonts w:ascii="Garamond" w:eastAsia="Times New Roman" w:hAnsi="Garamond"/>
                <w:color w:val="000000"/>
                <w:sz w:val="10"/>
                <w:szCs w:val="10"/>
              </w:rPr>
              <w:t xml:space="preserve">shkencën </w:t>
            </w:r>
            <w:r w:rsidRPr="00E266CD">
              <w:rPr>
                <w:rFonts w:ascii="Garamond" w:eastAsia="Times New Roman" w:hAnsi="Garamond"/>
                <w:color w:val="000000"/>
                <w:sz w:val="10"/>
                <w:szCs w:val="10"/>
              </w:rPr>
              <w:t>në Republikën e Shqipërisë”.</w:t>
            </w:r>
          </w:p>
        </w:tc>
        <w:tc>
          <w:tcPr>
            <w:tcW w:w="1267" w:type="dxa"/>
            <w:tcBorders>
              <w:top w:val="single" w:sz="4" w:space="0" w:color="000000"/>
              <w:left w:val="single" w:sz="4" w:space="0" w:color="000000"/>
              <w:bottom w:val="single" w:sz="4" w:space="0" w:color="000000"/>
              <w:right w:val="nil"/>
            </w:tcBorders>
            <w:shd w:val="clear" w:color="auto" w:fill="auto"/>
            <w:vAlign w:val="center"/>
          </w:tcPr>
          <w:p w14:paraId="6E5C646C" w14:textId="77777777" w:rsidR="00DC69E1" w:rsidRPr="00E266CD" w:rsidRDefault="00DC69E1" w:rsidP="00974609">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69857E7D"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415279F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141E02E7"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5E62094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69,969</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20B76F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3CE07B3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69,969</w:t>
            </w:r>
          </w:p>
        </w:tc>
        <w:tc>
          <w:tcPr>
            <w:tcW w:w="720" w:type="dxa"/>
            <w:tcBorders>
              <w:top w:val="nil"/>
              <w:left w:val="nil"/>
              <w:bottom w:val="single" w:sz="4" w:space="0" w:color="000000"/>
              <w:right w:val="nil"/>
            </w:tcBorders>
            <w:shd w:val="clear" w:color="auto" w:fill="auto"/>
            <w:vAlign w:val="center"/>
          </w:tcPr>
          <w:p w14:paraId="0AE496F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69,969</w:t>
            </w:r>
          </w:p>
        </w:tc>
        <w:tc>
          <w:tcPr>
            <w:tcW w:w="894" w:type="dxa"/>
            <w:gridSpan w:val="2"/>
            <w:tcBorders>
              <w:top w:val="nil"/>
              <w:left w:val="nil"/>
              <w:bottom w:val="single" w:sz="4" w:space="0" w:color="000000"/>
              <w:right w:val="single" w:sz="8" w:space="0" w:color="000000"/>
            </w:tcBorders>
            <w:shd w:val="clear" w:color="auto" w:fill="auto"/>
            <w:vAlign w:val="center"/>
          </w:tcPr>
          <w:p w14:paraId="7E8090B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253BC60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0128811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4F20CE74" w14:textId="77777777" w:rsidTr="00974609">
        <w:trPr>
          <w:trHeight w:val="457"/>
          <w:jc w:val="center"/>
        </w:trPr>
        <w:tc>
          <w:tcPr>
            <w:tcW w:w="698" w:type="dxa"/>
            <w:tcBorders>
              <w:top w:val="nil"/>
              <w:left w:val="single" w:sz="8" w:space="0" w:color="000000"/>
              <w:bottom w:val="single" w:sz="4" w:space="0" w:color="000000"/>
              <w:right w:val="nil"/>
            </w:tcBorders>
            <w:shd w:val="clear" w:color="auto" w:fill="auto"/>
            <w:vAlign w:val="center"/>
          </w:tcPr>
          <w:p w14:paraId="40F1B167"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1.1.4</w:t>
            </w:r>
          </w:p>
        </w:tc>
        <w:tc>
          <w:tcPr>
            <w:tcW w:w="4109" w:type="dxa"/>
            <w:tcBorders>
              <w:top w:val="nil"/>
              <w:left w:val="single" w:sz="4" w:space="0" w:color="000000"/>
              <w:bottom w:val="single" w:sz="4" w:space="0" w:color="000000"/>
              <w:right w:val="single" w:sz="4" w:space="0" w:color="000000"/>
            </w:tcBorders>
            <w:shd w:val="clear" w:color="auto" w:fill="DDEBF7"/>
          </w:tcPr>
          <w:p w14:paraId="132F9B8B" w14:textId="7F3F6AA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1.1.4 Krijimi i një </w:t>
            </w:r>
            <w:r w:rsidR="00A46CD4" w:rsidRPr="00E266CD">
              <w:rPr>
                <w:rFonts w:ascii="Garamond" w:eastAsia="Times New Roman" w:hAnsi="Garamond"/>
                <w:color w:val="000000"/>
                <w:sz w:val="10"/>
                <w:szCs w:val="10"/>
              </w:rPr>
              <w:t>strukture koordinuese kombëtare për politikat mbi shkencën, teknologjinë dhe inovacionin</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EDA7F" w14:textId="77777777" w:rsidR="00DC69E1" w:rsidRPr="00E266CD" w:rsidRDefault="00DC69E1" w:rsidP="00974609">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4BC0FA0D"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ML, ASHSH, AKKSHI AKSHI</w:t>
            </w:r>
          </w:p>
        </w:tc>
        <w:tc>
          <w:tcPr>
            <w:tcW w:w="593" w:type="dxa"/>
            <w:tcBorders>
              <w:top w:val="nil"/>
              <w:left w:val="nil"/>
              <w:bottom w:val="single" w:sz="4" w:space="0" w:color="000000"/>
              <w:right w:val="nil"/>
            </w:tcBorders>
            <w:shd w:val="clear" w:color="auto" w:fill="FFFFFF"/>
          </w:tcPr>
          <w:p w14:paraId="45459C3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872" w:type="dxa"/>
            <w:tcBorders>
              <w:top w:val="nil"/>
              <w:left w:val="single" w:sz="4" w:space="0" w:color="000000"/>
              <w:bottom w:val="single" w:sz="4" w:space="0" w:color="000000"/>
              <w:right w:val="nil"/>
            </w:tcBorders>
            <w:shd w:val="clear" w:color="auto" w:fill="FFFFFF"/>
          </w:tcPr>
          <w:p w14:paraId="1A87AFFF"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6277895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1,670,925</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1EDC1E2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7D7C9DD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1,670,925</w:t>
            </w:r>
          </w:p>
        </w:tc>
        <w:tc>
          <w:tcPr>
            <w:tcW w:w="720" w:type="dxa"/>
            <w:tcBorders>
              <w:top w:val="nil"/>
              <w:left w:val="nil"/>
              <w:bottom w:val="single" w:sz="4" w:space="0" w:color="000000"/>
              <w:right w:val="nil"/>
            </w:tcBorders>
            <w:shd w:val="clear" w:color="auto" w:fill="auto"/>
            <w:vAlign w:val="center"/>
          </w:tcPr>
          <w:p w14:paraId="30BF663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95,928</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39C13F9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45B18E7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47B3932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-1,574,997</w:t>
            </w:r>
          </w:p>
        </w:tc>
      </w:tr>
      <w:tr w:rsidR="00DC69E1" w:rsidRPr="00E266CD" w14:paraId="3007AB0E" w14:textId="77777777" w:rsidTr="00DC69E1">
        <w:trPr>
          <w:trHeight w:val="510"/>
          <w:jc w:val="center"/>
        </w:trPr>
        <w:tc>
          <w:tcPr>
            <w:tcW w:w="698" w:type="dxa"/>
            <w:tcBorders>
              <w:top w:val="nil"/>
              <w:left w:val="single" w:sz="8" w:space="0" w:color="000000"/>
              <w:bottom w:val="single" w:sz="4" w:space="0" w:color="000000"/>
              <w:right w:val="nil"/>
            </w:tcBorders>
            <w:shd w:val="clear" w:color="auto" w:fill="auto"/>
            <w:vAlign w:val="center"/>
          </w:tcPr>
          <w:p w14:paraId="389D141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1.1.5</w:t>
            </w:r>
          </w:p>
        </w:tc>
        <w:tc>
          <w:tcPr>
            <w:tcW w:w="4109" w:type="dxa"/>
            <w:tcBorders>
              <w:top w:val="nil"/>
              <w:left w:val="single" w:sz="4" w:space="0" w:color="000000"/>
              <w:bottom w:val="single" w:sz="4" w:space="0" w:color="000000"/>
              <w:right w:val="single" w:sz="4" w:space="0" w:color="000000"/>
            </w:tcBorders>
            <w:shd w:val="clear" w:color="auto" w:fill="DDEBF7"/>
          </w:tcPr>
          <w:p w14:paraId="7D18183B"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1.1.5 Hartimi dhe miratimi i akteve nënligjore lidhur me Statusin e Kërkuesit Shkencor</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20668EE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19847342"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ASHSH, RASH, IAL,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094667D2"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6D09A9A5"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26BE0E4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1,797,700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6436DD5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27D7004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1,797,700</w:t>
            </w:r>
          </w:p>
        </w:tc>
        <w:tc>
          <w:tcPr>
            <w:tcW w:w="720" w:type="dxa"/>
            <w:tcBorders>
              <w:top w:val="nil"/>
              <w:left w:val="nil"/>
              <w:bottom w:val="single" w:sz="4" w:space="0" w:color="000000"/>
              <w:right w:val="nil"/>
            </w:tcBorders>
            <w:shd w:val="clear" w:color="auto" w:fill="auto"/>
            <w:vAlign w:val="center"/>
          </w:tcPr>
          <w:p w14:paraId="7E32157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1,797,700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626EF54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55C4D70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7B7AC5E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48C51845" w14:textId="77777777" w:rsidTr="00DC69E1">
        <w:trPr>
          <w:trHeight w:val="467"/>
          <w:jc w:val="center"/>
        </w:trPr>
        <w:tc>
          <w:tcPr>
            <w:tcW w:w="698" w:type="dxa"/>
            <w:tcBorders>
              <w:top w:val="nil"/>
              <w:left w:val="single" w:sz="8" w:space="0" w:color="000000"/>
              <w:bottom w:val="single" w:sz="8" w:space="0" w:color="000000"/>
              <w:right w:val="nil"/>
            </w:tcBorders>
            <w:shd w:val="clear" w:color="auto" w:fill="auto"/>
            <w:vAlign w:val="center"/>
          </w:tcPr>
          <w:p w14:paraId="3139F41B"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1.1.6</w:t>
            </w:r>
          </w:p>
        </w:tc>
        <w:tc>
          <w:tcPr>
            <w:tcW w:w="4109" w:type="dxa"/>
            <w:tcBorders>
              <w:top w:val="nil"/>
              <w:left w:val="single" w:sz="4" w:space="0" w:color="000000"/>
              <w:bottom w:val="single" w:sz="4" w:space="0" w:color="000000"/>
              <w:right w:val="single" w:sz="4" w:space="0" w:color="000000"/>
            </w:tcBorders>
            <w:shd w:val="clear" w:color="auto" w:fill="DDEBF7"/>
          </w:tcPr>
          <w:p w14:paraId="1756763E" w14:textId="34A6565B"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1.1.6. Hartimi dhe miratimi i Kodi</w:t>
            </w:r>
            <w:r w:rsidR="00A46CD4">
              <w:rPr>
                <w:rFonts w:ascii="Garamond" w:eastAsia="Times New Roman" w:hAnsi="Garamond"/>
                <w:color w:val="000000"/>
                <w:sz w:val="10"/>
                <w:szCs w:val="10"/>
              </w:rPr>
              <w:t>t</w:t>
            </w:r>
            <w:r w:rsidRPr="00E266CD">
              <w:rPr>
                <w:rFonts w:ascii="Garamond" w:eastAsia="Times New Roman" w:hAnsi="Garamond"/>
                <w:color w:val="000000"/>
                <w:sz w:val="10"/>
                <w:szCs w:val="10"/>
              </w:rPr>
              <w:t xml:space="preserve"> </w:t>
            </w:r>
            <w:r w:rsidR="00A46CD4">
              <w:rPr>
                <w:rFonts w:ascii="Garamond" w:eastAsia="Times New Roman" w:hAnsi="Garamond"/>
                <w:color w:val="000000"/>
                <w:sz w:val="10"/>
                <w:szCs w:val="10"/>
              </w:rPr>
              <w:t>të</w:t>
            </w:r>
            <w:r w:rsidRPr="00E266CD">
              <w:rPr>
                <w:rFonts w:ascii="Garamond" w:eastAsia="Times New Roman" w:hAnsi="Garamond"/>
                <w:color w:val="000000"/>
                <w:sz w:val="10"/>
                <w:szCs w:val="10"/>
              </w:rPr>
              <w:t xml:space="preserve"> Etikës në Kërkimin Shkencor</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6B02F87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6C030C87"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AKKSHI,ASHSH,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4C04777A"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62685477"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577D4E9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1,540,445</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D3BFBB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0135BDE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1,540,445</w:t>
            </w:r>
          </w:p>
        </w:tc>
        <w:tc>
          <w:tcPr>
            <w:tcW w:w="720" w:type="dxa"/>
            <w:tcBorders>
              <w:top w:val="nil"/>
              <w:left w:val="nil"/>
              <w:bottom w:val="single" w:sz="4" w:space="0" w:color="000000"/>
              <w:right w:val="nil"/>
            </w:tcBorders>
            <w:shd w:val="clear" w:color="auto" w:fill="auto"/>
            <w:vAlign w:val="center"/>
          </w:tcPr>
          <w:p w14:paraId="05C2455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1,540,445</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8EBFED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609B6AD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455E2BD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2485CA00" w14:textId="77777777" w:rsidTr="00DC69E1">
        <w:trPr>
          <w:trHeight w:val="637"/>
          <w:jc w:val="center"/>
        </w:trPr>
        <w:tc>
          <w:tcPr>
            <w:tcW w:w="698" w:type="dxa"/>
            <w:tcBorders>
              <w:top w:val="nil"/>
              <w:left w:val="single" w:sz="8" w:space="0" w:color="000000"/>
              <w:bottom w:val="single" w:sz="4" w:space="0" w:color="000000"/>
              <w:right w:val="nil"/>
            </w:tcBorders>
            <w:shd w:val="clear" w:color="auto" w:fill="auto"/>
            <w:vAlign w:val="center"/>
          </w:tcPr>
          <w:p w14:paraId="4C40F33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1.1.7</w:t>
            </w:r>
          </w:p>
        </w:tc>
        <w:tc>
          <w:tcPr>
            <w:tcW w:w="4109" w:type="dxa"/>
            <w:tcBorders>
              <w:top w:val="nil"/>
              <w:left w:val="single" w:sz="4" w:space="0" w:color="000000"/>
              <w:bottom w:val="single" w:sz="4" w:space="0" w:color="000000"/>
              <w:right w:val="single" w:sz="4" w:space="0" w:color="000000"/>
            </w:tcBorders>
            <w:shd w:val="clear" w:color="auto" w:fill="DDEBF7"/>
          </w:tcPr>
          <w:p w14:paraId="72C08C1A" w14:textId="7730E2E2"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1.1.7 Hartimi i kritereve dhe treguesve</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për vlerësimin e kërkimit shkencor dhe renditja e IAL</w:t>
            </w:r>
            <w:r w:rsidR="00A46CD4">
              <w:rPr>
                <w:rFonts w:ascii="Garamond" w:eastAsia="Times New Roman" w:hAnsi="Garamond"/>
                <w:color w:val="000000"/>
                <w:sz w:val="10"/>
                <w:szCs w:val="10"/>
              </w:rPr>
              <w:t>-ve</w:t>
            </w:r>
            <w:r w:rsidRPr="00E266CD">
              <w:rPr>
                <w:rFonts w:ascii="Garamond" w:eastAsia="Times New Roman" w:hAnsi="Garamond"/>
                <w:color w:val="000000"/>
                <w:sz w:val="10"/>
                <w:szCs w:val="10"/>
              </w:rPr>
              <w:t xml:space="preserve"> sipas performancës në kërkimin shkencor</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5FCBC7F1"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27C24431"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AKKSHI,ASHSH,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62BEC4E5"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tcPr>
          <w:p w14:paraId="4B946EC4"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186A2C6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3,764,555</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3C36EF3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2283215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3,764,555</w:t>
            </w:r>
          </w:p>
        </w:tc>
        <w:tc>
          <w:tcPr>
            <w:tcW w:w="720" w:type="dxa"/>
            <w:tcBorders>
              <w:top w:val="nil"/>
              <w:left w:val="nil"/>
              <w:bottom w:val="single" w:sz="4" w:space="0" w:color="000000"/>
              <w:right w:val="nil"/>
            </w:tcBorders>
            <w:shd w:val="clear" w:color="auto" w:fill="auto"/>
            <w:vAlign w:val="center"/>
          </w:tcPr>
          <w:p w14:paraId="1BA2C7B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3,764,575</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4ED4B1C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50B4707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354B4AE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w:t>
            </w:r>
          </w:p>
        </w:tc>
      </w:tr>
      <w:tr w:rsidR="00DC69E1" w:rsidRPr="00E266CD" w14:paraId="7BD48087" w14:textId="77777777" w:rsidTr="00DC69E1">
        <w:trPr>
          <w:trHeight w:val="615"/>
          <w:jc w:val="center"/>
        </w:trPr>
        <w:tc>
          <w:tcPr>
            <w:tcW w:w="698" w:type="dxa"/>
            <w:tcBorders>
              <w:top w:val="nil"/>
              <w:left w:val="single" w:sz="8" w:space="0" w:color="000000"/>
              <w:bottom w:val="single" w:sz="4" w:space="0" w:color="000000"/>
              <w:right w:val="nil"/>
            </w:tcBorders>
            <w:shd w:val="clear" w:color="auto" w:fill="auto"/>
            <w:vAlign w:val="center"/>
          </w:tcPr>
          <w:p w14:paraId="3BA3376B"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1.1.8</w:t>
            </w:r>
          </w:p>
        </w:tc>
        <w:tc>
          <w:tcPr>
            <w:tcW w:w="4109" w:type="dxa"/>
            <w:tcBorders>
              <w:top w:val="nil"/>
              <w:left w:val="single" w:sz="4" w:space="0" w:color="000000"/>
              <w:bottom w:val="single" w:sz="4" w:space="0" w:color="000000"/>
              <w:right w:val="single" w:sz="4" w:space="0" w:color="000000"/>
            </w:tcBorders>
            <w:shd w:val="clear" w:color="auto" w:fill="DDEBF7"/>
          </w:tcPr>
          <w:p w14:paraId="7F91E067" w14:textId="1FA4F1B3"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1.1.8 Rishikimi i akteve ligjore në kuadër të kapitullit 25 të BE</w:t>
            </w:r>
            <w:r w:rsidR="00A46CD4">
              <w:rPr>
                <w:rFonts w:ascii="Garamond" w:eastAsia="Times New Roman" w:hAnsi="Garamond"/>
                <w:color w:val="000000"/>
                <w:sz w:val="10"/>
                <w:szCs w:val="10"/>
              </w:rPr>
              <w:t>-së</w:t>
            </w:r>
            <w:r w:rsidRPr="00E266CD">
              <w:rPr>
                <w:rFonts w:ascii="Garamond" w:eastAsia="Times New Roman" w:hAnsi="Garamond"/>
                <w:color w:val="000000"/>
                <w:sz w:val="10"/>
                <w:szCs w:val="10"/>
              </w:rPr>
              <w:t xml:space="preserve"> “Shkenca dhe kërkimi shkencor”</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1A5ADC23"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2ABBE2FD"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RASH, IAL, ASHSH,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04FFC733"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6389A759"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32E5E78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57,724,232</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38F0435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74535E6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57,724,232</w:t>
            </w:r>
          </w:p>
        </w:tc>
        <w:tc>
          <w:tcPr>
            <w:tcW w:w="720" w:type="dxa"/>
            <w:tcBorders>
              <w:top w:val="nil"/>
              <w:left w:val="nil"/>
              <w:bottom w:val="single" w:sz="4" w:space="0" w:color="000000"/>
              <w:right w:val="nil"/>
            </w:tcBorders>
            <w:shd w:val="clear" w:color="auto" w:fill="auto"/>
            <w:vAlign w:val="center"/>
          </w:tcPr>
          <w:p w14:paraId="3D5894E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16,024,232</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A55C19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1,700,000</w:t>
            </w:r>
          </w:p>
        </w:tc>
        <w:tc>
          <w:tcPr>
            <w:tcW w:w="900" w:type="dxa"/>
            <w:tcBorders>
              <w:top w:val="nil"/>
              <w:left w:val="nil"/>
              <w:bottom w:val="single" w:sz="4" w:space="0" w:color="000000"/>
              <w:right w:val="nil"/>
            </w:tcBorders>
            <w:vAlign w:val="center"/>
          </w:tcPr>
          <w:p w14:paraId="16F02C2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40,000,000</w:t>
            </w:r>
          </w:p>
        </w:tc>
        <w:tc>
          <w:tcPr>
            <w:tcW w:w="910" w:type="dxa"/>
            <w:tcBorders>
              <w:top w:val="nil"/>
              <w:left w:val="nil"/>
              <w:bottom w:val="single" w:sz="4" w:space="0" w:color="000000"/>
              <w:right w:val="single" w:sz="8" w:space="0" w:color="000000"/>
            </w:tcBorders>
            <w:shd w:val="clear" w:color="auto" w:fill="auto"/>
            <w:vAlign w:val="center"/>
          </w:tcPr>
          <w:p w14:paraId="16DB72E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11701B10" w14:textId="77777777" w:rsidTr="00DC69E1">
        <w:trPr>
          <w:trHeight w:val="773"/>
          <w:jc w:val="center"/>
        </w:trPr>
        <w:tc>
          <w:tcPr>
            <w:tcW w:w="698" w:type="dxa"/>
            <w:tcBorders>
              <w:top w:val="single" w:sz="4" w:space="0" w:color="000000"/>
              <w:left w:val="single" w:sz="8" w:space="0" w:color="000000"/>
              <w:bottom w:val="single" w:sz="4" w:space="0" w:color="000000"/>
              <w:right w:val="nil"/>
            </w:tcBorders>
            <w:shd w:val="clear" w:color="auto" w:fill="auto"/>
            <w:vAlign w:val="center"/>
          </w:tcPr>
          <w:p w14:paraId="2253AF1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1.1.9</w:t>
            </w:r>
          </w:p>
        </w:tc>
        <w:tc>
          <w:tcPr>
            <w:tcW w:w="4109" w:type="dxa"/>
            <w:tcBorders>
              <w:top w:val="single" w:sz="4" w:space="0" w:color="000000"/>
              <w:left w:val="single" w:sz="4" w:space="0" w:color="000000"/>
              <w:bottom w:val="single" w:sz="4" w:space="0" w:color="000000"/>
              <w:right w:val="single" w:sz="4" w:space="0" w:color="000000"/>
            </w:tcBorders>
            <w:shd w:val="clear" w:color="auto" w:fill="DDEBF7"/>
          </w:tcPr>
          <w:p w14:paraId="7F718695" w14:textId="308B433E"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1.1.9 Rishikimi i kuadrit rregullator përfshirë atë institucional për kërkimin shkencor</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 xml:space="preserve"> në kuadër të detyrimeve që burojnë nga procesi i asocimit në BE</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 xml:space="preserve"> lidhur me kapitullin 25 të BE</w:t>
            </w:r>
            <w:r w:rsidR="00A46CD4">
              <w:rPr>
                <w:rFonts w:ascii="Garamond" w:eastAsia="Times New Roman" w:hAnsi="Garamond"/>
                <w:color w:val="000000"/>
                <w:sz w:val="10"/>
                <w:szCs w:val="10"/>
              </w:rPr>
              <w:t>-së</w:t>
            </w:r>
            <w:r w:rsidRPr="00E266CD">
              <w:rPr>
                <w:rFonts w:ascii="Garamond" w:eastAsia="Times New Roman" w:hAnsi="Garamond"/>
                <w:color w:val="000000"/>
                <w:sz w:val="10"/>
                <w:szCs w:val="10"/>
              </w:rPr>
              <w:t xml:space="preserve"> “Shkenca dhe </w:t>
            </w:r>
            <w:r w:rsidR="00A46CD4" w:rsidRPr="00E266CD">
              <w:rPr>
                <w:rFonts w:ascii="Garamond" w:eastAsia="Times New Roman" w:hAnsi="Garamond"/>
                <w:color w:val="000000"/>
                <w:sz w:val="10"/>
                <w:szCs w:val="10"/>
              </w:rPr>
              <w:t>kërkimi shkencor</w:t>
            </w:r>
            <w:r w:rsidRPr="00E266CD">
              <w:rPr>
                <w:rFonts w:ascii="Garamond" w:eastAsia="Times New Roman" w:hAnsi="Garamond"/>
                <w:color w:val="000000"/>
                <w:sz w:val="10"/>
                <w:szCs w:val="10"/>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4F1EC"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single" w:sz="4" w:space="0" w:color="000000"/>
              <w:left w:val="nil"/>
              <w:bottom w:val="single" w:sz="4" w:space="0" w:color="000000"/>
              <w:right w:val="single" w:sz="4" w:space="0" w:color="000000"/>
            </w:tcBorders>
            <w:shd w:val="clear" w:color="auto" w:fill="auto"/>
            <w:vAlign w:val="center"/>
          </w:tcPr>
          <w:p w14:paraId="0D01C4E0"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ASHSH, M</w:t>
            </w:r>
            <w:r w:rsidRPr="00E266CD">
              <w:rPr>
                <w:rFonts w:ascii="Garamond" w:eastAsia="Times New Roman" w:hAnsi="Garamond"/>
                <w:sz w:val="10"/>
                <w:szCs w:val="10"/>
              </w:rPr>
              <w:t>L</w:t>
            </w:r>
          </w:p>
        </w:tc>
        <w:tc>
          <w:tcPr>
            <w:tcW w:w="593" w:type="dxa"/>
            <w:tcBorders>
              <w:top w:val="single" w:sz="4" w:space="0" w:color="000000"/>
              <w:left w:val="nil"/>
              <w:bottom w:val="single" w:sz="4" w:space="0" w:color="000000"/>
              <w:right w:val="nil"/>
            </w:tcBorders>
            <w:shd w:val="clear" w:color="auto" w:fill="FFFFFF"/>
          </w:tcPr>
          <w:p w14:paraId="17EA8C8F"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nil"/>
            </w:tcBorders>
            <w:shd w:val="clear" w:color="auto" w:fill="FFFFFF"/>
          </w:tcPr>
          <w:p w14:paraId="1C1F12DB"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6F232B4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32,989,757</w:t>
            </w:r>
          </w:p>
        </w:tc>
        <w:tc>
          <w:tcPr>
            <w:tcW w:w="93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33404D3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14:paraId="44DDF0C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32,989,757</w:t>
            </w:r>
          </w:p>
        </w:tc>
        <w:tc>
          <w:tcPr>
            <w:tcW w:w="720" w:type="dxa"/>
            <w:tcBorders>
              <w:top w:val="single" w:sz="4" w:space="0" w:color="000000"/>
              <w:left w:val="nil"/>
              <w:bottom w:val="single" w:sz="4" w:space="0" w:color="000000"/>
              <w:right w:val="nil"/>
            </w:tcBorders>
            <w:shd w:val="clear" w:color="auto" w:fill="auto"/>
            <w:vAlign w:val="center"/>
          </w:tcPr>
          <w:p w14:paraId="116B8B1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1,189,756</w:t>
            </w:r>
          </w:p>
        </w:tc>
        <w:tc>
          <w:tcPr>
            <w:tcW w:w="894"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65C3C80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31,800,000</w:t>
            </w:r>
          </w:p>
        </w:tc>
        <w:tc>
          <w:tcPr>
            <w:tcW w:w="900" w:type="dxa"/>
            <w:tcBorders>
              <w:top w:val="single" w:sz="4" w:space="0" w:color="000000"/>
              <w:left w:val="nil"/>
              <w:bottom w:val="single" w:sz="4" w:space="0" w:color="000000"/>
              <w:right w:val="nil"/>
            </w:tcBorders>
            <w:vAlign w:val="center"/>
          </w:tcPr>
          <w:p w14:paraId="22DE544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4" w:space="0" w:color="000000"/>
              <w:left w:val="nil"/>
              <w:bottom w:val="single" w:sz="4" w:space="0" w:color="000000"/>
              <w:right w:val="single" w:sz="8" w:space="0" w:color="000000"/>
            </w:tcBorders>
            <w:shd w:val="clear" w:color="auto" w:fill="auto"/>
            <w:vAlign w:val="center"/>
          </w:tcPr>
          <w:p w14:paraId="4653A1B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w:t>
            </w:r>
          </w:p>
        </w:tc>
      </w:tr>
      <w:tr w:rsidR="00DC69E1" w:rsidRPr="00E266CD" w14:paraId="561DABFB" w14:textId="77777777" w:rsidTr="00DC69E1">
        <w:trPr>
          <w:trHeight w:val="503"/>
          <w:jc w:val="center"/>
        </w:trPr>
        <w:tc>
          <w:tcPr>
            <w:tcW w:w="698" w:type="dxa"/>
            <w:tcBorders>
              <w:top w:val="nil"/>
              <w:left w:val="single" w:sz="8" w:space="0" w:color="000000"/>
              <w:bottom w:val="single" w:sz="4" w:space="0" w:color="000000"/>
              <w:right w:val="nil"/>
            </w:tcBorders>
            <w:shd w:val="clear" w:color="auto" w:fill="auto"/>
            <w:vAlign w:val="center"/>
          </w:tcPr>
          <w:p w14:paraId="14CAFB06"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1.1.10</w:t>
            </w:r>
          </w:p>
        </w:tc>
        <w:tc>
          <w:tcPr>
            <w:tcW w:w="4109" w:type="dxa"/>
            <w:tcBorders>
              <w:top w:val="nil"/>
              <w:left w:val="single" w:sz="4" w:space="0" w:color="000000"/>
              <w:bottom w:val="single" w:sz="4" w:space="0" w:color="000000"/>
              <w:right w:val="single" w:sz="4" w:space="0" w:color="000000"/>
            </w:tcBorders>
            <w:shd w:val="clear" w:color="auto" w:fill="DDEBF7"/>
          </w:tcPr>
          <w:p w14:paraId="4A0CD039" w14:textId="21A0A642"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1.1.10 Përmirësimi i akteve normative lidhur me përcaktimin e fushave prioritare të kërkimit shkencor</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689CF9A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6921E7BC"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 M</w:t>
            </w:r>
            <w:r w:rsidRPr="00E266CD">
              <w:rPr>
                <w:rFonts w:ascii="Garamond" w:eastAsia="Times New Roman" w:hAnsi="Garamond"/>
                <w:sz w:val="10"/>
                <w:szCs w:val="10"/>
              </w:rPr>
              <w:t>L</w:t>
            </w:r>
          </w:p>
        </w:tc>
        <w:tc>
          <w:tcPr>
            <w:tcW w:w="593" w:type="dxa"/>
            <w:tcBorders>
              <w:top w:val="nil"/>
              <w:left w:val="nil"/>
              <w:bottom w:val="single" w:sz="4" w:space="0" w:color="000000"/>
              <w:right w:val="nil"/>
            </w:tcBorders>
            <w:shd w:val="clear" w:color="auto" w:fill="FFFFFF"/>
          </w:tcPr>
          <w:p w14:paraId="54C40B5C"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7FF4B01E"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69157E1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11,872,020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892F05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381A944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11,872,020</w:t>
            </w:r>
          </w:p>
        </w:tc>
        <w:tc>
          <w:tcPr>
            <w:tcW w:w="720" w:type="dxa"/>
            <w:tcBorders>
              <w:top w:val="nil"/>
              <w:left w:val="nil"/>
              <w:bottom w:val="single" w:sz="4" w:space="0" w:color="000000"/>
              <w:right w:val="nil"/>
            </w:tcBorders>
            <w:shd w:val="clear" w:color="auto" w:fill="auto"/>
            <w:vAlign w:val="center"/>
          </w:tcPr>
          <w:p w14:paraId="6EB7C9B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11,272,024</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1BC1CAA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7488D8A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40ECC3B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-599,996</w:t>
            </w:r>
          </w:p>
        </w:tc>
      </w:tr>
      <w:tr w:rsidR="00DC69E1" w:rsidRPr="00E266CD" w14:paraId="15DD7DEC" w14:textId="77777777" w:rsidTr="00DC69E1">
        <w:trPr>
          <w:trHeight w:val="809"/>
          <w:jc w:val="center"/>
        </w:trPr>
        <w:tc>
          <w:tcPr>
            <w:tcW w:w="698" w:type="dxa"/>
            <w:tcBorders>
              <w:top w:val="nil"/>
              <w:left w:val="single" w:sz="8" w:space="0" w:color="000000"/>
              <w:bottom w:val="single" w:sz="4" w:space="0" w:color="000000"/>
              <w:right w:val="nil"/>
            </w:tcBorders>
            <w:shd w:val="clear" w:color="auto" w:fill="auto"/>
            <w:vAlign w:val="center"/>
          </w:tcPr>
          <w:p w14:paraId="4B5BAE3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1.1.11</w:t>
            </w:r>
          </w:p>
        </w:tc>
        <w:tc>
          <w:tcPr>
            <w:tcW w:w="4109" w:type="dxa"/>
            <w:tcBorders>
              <w:top w:val="nil"/>
              <w:left w:val="single" w:sz="4" w:space="0" w:color="000000"/>
              <w:bottom w:val="single" w:sz="4" w:space="0" w:color="000000"/>
              <w:right w:val="single" w:sz="4" w:space="0" w:color="000000"/>
            </w:tcBorders>
            <w:shd w:val="clear" w:color="auto" w:fill="DDEBF7"/>
          </w:tcPr>
          <w:p w14:paraId="1737AC15"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1.1.11 Hartimi dhe miratimi i akteve nënligjore që garantojnë aksesin në publikime të kërkuesve shkencorë të vendit për të qenë në linjë me strategjitë e </w:t>
            </w:r>
            <w:r w:rsidRPr="00E266CD">
              <w:rPr>
                <w:rFonts w:ascii="Garamond" w:eastAsia="Times New Roman" w:hAnsi="Garamond"/>
                <w:i/>
                <w:color w:val="000000"/>
                <w:sz w:val="10"/>
                <w:szCs w:val="10"/>
              </w:rPr>
              <w:t>Open Access</w:t>
            </w:r>
            <w:r w:rsidRPr="00E266CD">
              <w:rPr>
                <w:rFonts w:ascii="Garamond" w:eastAsia="Times New Roman" w:hAnsi="Garamond"/>
                <w:color w:val="000000"/>
                <w:sz w:val="10"/>
                <w:szCs w:val="10"/>
              </w:rPr>
              <w:t xml:space="preserve"> që zbatohen në nivel evropian</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4DD16045"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AKSHI</w:t>
            </w:r>
          </w:p>
        </w:tc>
        <w:tc>
          <w:tcPr>
            <w:tcW w:w="1544" w:type="dxa"/>
            <w:tcBorders>
              <w:top w:val="nil"/>
              <w:left w:val="nil"/>
              <w:bottom w:val="single" w:sz="4" w:space="0" w:color="000000"/>
              <w:right w:val="single" w:sz="4" w:space="0" w:color="000000"/>
            </w:tcBorders>
            <w:shd w:val="clear" w:color="auto" w:fill="auto"/>
            <w:vAlign w:val="center"/>
          </w:tcPr>
          <w:p w14:paraId="74670B35"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ASHSH, RASH, IAL</w:t>
            </w:r>
          </w:p>
        </w:tc>
        <w:tc>
          <w:tcPr>
            <w:tcW w:w="593" w:type="dxa"/>
            <w:tcBorders>
              <w:top w:val="nil"/>
              <w:left w:val="nil"/>
              <w:bottom w:val="single" w:sz="4" w:space="0" w:color="000000"/>
              <w:right w:val="nil"/>
            </w:tcBorders>
            <w:shd w:val="clear" w:color="auto" w:fill="FFFFFF"/>
          </w:tcPr>
          <w:p w14:paraId="3025EFC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3A6CAB7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75FBC07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7,384,591</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561357D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3F1DBF6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7,384,591</w:t>
            </w:r>
          </w:p>
        </w:tc>
        <w:tc>
          <w:tcPr>
            <w:tcW w:w="720" w:type="dxa"/>
            <w:tcBorders>
              <w:top w:val="nil"/>
              <w:left w:val="nil"/>
              <w:bottom w:val="single" w:sz="4" w:space="0" w:color="000000"/>
              <w:right w:val="nil"/>
            </w:tcBorders>
            <w:shd w:val="clear" w:color="auto" w:fill="auto"/>
            <w:vAlign w:val="center"/>
          </w:tcPr>
          <w:p w14:paraId="7343B1C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6,664,592</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707C1F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nil"/>
              <w:bottom w:val="single" w:sz="4" w:space="0" w:color="000000"/>
              <w:right w:val="nil"/>
            </w:tcBorders>
            <w:vAlign w:val="center"/>
          </w:tcPr>
          <w:p w14:paraId="4FA9BE4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3DF5B2E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-719,999</w:t>
            </w:r>
          </w:p>
        </w:tc>
      </w:tr>
      <w:tr w:rsidR="00DC69E1" w:rsidRPr="00E266CD" w14:paraId="1F5D826B" w14:textId="77777777" w:rsidTr="00DC69E1">
        <w:trPr>
          <w:trHeight w:val="620"/>
          <w:jc w:val="center"/>
        </w:trPr>
        <w:tc>
          <w:tcPr>
            <w:tcW w:w="698" w:type="dxa"/>
            <w:tcBorders>
              <w:top w:val="nil"/>
              <w:left w:val="single" w:sz="8" w:space="0" w:color="000000"/>
              <w:bottom w:val="single" w:sz="4" w:space="0" w:color="000000"/>
              <w:right w:val="nil"/>
            </w:tcBorders>
            <w:shd w:val="clear" w:color="auto" w:fill="auto"/>
            <w:vAlign w:val="center"/>
          </w:tcPr>
          <w:p w14:paraId="6D348213"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1.1.12</w:t>
            </w:r>
          </w:p>
        </w:tc>
        <w:tc>
          <w:tcPr>
            <w:tcW w:w="4109" w:type="dxa"/>
            <w:tcBorders>
              <w:top w:val="nil"/>
              <w:left w:val="single" w:sz="4" w:space="0" w:color="000000"/>
              <w:bottom w:val="single" w:sz="4" w:space="0" w:color="000000"/>
              <w:right w:val="single" w:sz="4" w:space="0" w:color="000000"/>
            </w:tcBorders>
            <w:shd w:val="clear" w:color="auto" w:fill="DDEBF7"/>
          </w:tcPr>
          <w:p w14:paraId="126F0DB7"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1.1.12 </w:t>
            </w:r>
            <w:r w:rsidRPr="00E266CD">
              <w:rPr>
                <w:rFonts w:ascii="Garamond" w:eastAsia="Times New Roman" w:hAnsi="Garamond"/>
                <w:sz w:val="10"/>
                <w:szCs w:val="10"/>
              </w:rPr>
              <w:t>Hartimi i një plani kombëtar për promovimin e barazisë gjinore në shkencë, teknologji dhe inovacion</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496DCDDE"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147F93D2"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w:t>
            </w:r>
          </w:p>
        </w:tc>
        <w:tc>
          <w:tcPr>
            <w:tcW w:w="593" w:type="dxa"/>
            <w:tcBorders>
              <w:top w:val="nil"/>
              <w:left w:val="nil"/>
              <w:bottom w:val="single" w:sz="4" w:space="0" w:color="000000"/>
              <w:right w:val="nil"/>
            </w:tcBorders>
            <w:shd w:val="clear" w:color="auto" w:fill="FFFFFF"/>
          </w:tcPr>
          <w:p w14:paraId="7D568E6A"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7CA2825F"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01707F1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20,064,000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53C90DB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6321112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20,064,000</w:t>
            </w:r>
          </w:p>
        </w:tc>
        <w:tc>
          <w:tcPr>
            <w:tcW w:w="720" w:type="dxa"/>
            <w:tcBorders>
              <w:top w:val="nil"/>
              <w:left w:val="nil"/>
              <w:bottom w:val="single" w:sz="4" w:space="0" w:color="000000"/>
              <w:right w:val="nil"/>
            </w:tcBorders>
            <w:shd w:val="clear" w:color="auto" w:fill="auto"/>
            <w:vAlign w:val="center"/>
          </w:tcPr>
          <w:p w14:paraId="069D113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52AB30D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2,400,000</w:t>
            </w:r>
          </w:p>
        </w:tc>
        <w:tc>
          <w:tcPr>
            <w:tcW w:w="900" w:type="dxa"/>
            <w:tcBorders>
              <w:top w:val="nil"/>
              <w:left w:val="nil"/>
              <w:bottom w:val="single" w:sz="4" w:space="0" w:color="000000"/>
              <w:right w:val="nil"/>
            </w:tcBorders>
            <w:vAlign w:val="center"/>
          </w:tcPr>
          <w:p w14:paraId="0C7DA69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nil"/>
              <w:bottom w:val="single" w:sz="4" w:space="0" w:color="000000"/>
              <w:right w:val="single" w:sz="8" w:space="0" w:color="000000"/>
            </w:tcBorders>
            <w:shd w:val="clear" w:color="auto" w:fill="auto"/>
            <w:vAlign w:val="center"/>
          </w:tcPr>
          <w:p w14:paraId="4B6C935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-17,664,000</w:t>
            </w:r>
          </w:p>
        </w:tc>
      </w:tr>
      <w:tr w:rsidR="00DC69E1" w:rsidRPr="00E266CD" w14:paraId="2FA42F0D" w14:textId="77777777" w:rsidTr="00DC69E1">
        <w:trPr>
          <w:trHeight w:val="989"/>
          <w:jc w:val="center"/>
        </w:trPr>
        <w:tc>
          <w:tcPr>
            <w:tcW w:w="698" w:type="dxa"/>
            <w:tcBorders>
              <w:top w:val="nil"/>
              <w:left w:val="single" w:sz="8" w:space="0" w:color="000000"/>
              <w:bottom w:val="single" w:sz="4" w:space="0" w:color="000000"/>
              <w:right w:val="nil"/>
            </w:tcBorders>
            <w:shd w:val="clear" w:color="auto" w:fill="auto"/>
            <w:vAlign w:val="center"/>
          </w:tcPr>
          <w:p w14:paraId="6161087A"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1.1.13</w:t>
            </w:r>
          </w:p>
        </w:tc>
        <w:tc>
          <w:tcPr>
            <w:tcW w:w="4109" w:type="dxa"/>
            <w:tcBorders>
              <w:top w:val="nil"/>
              <w:left w:val="single" w:sz="4" w:space="0" w:color="000000"/>
              <w:bottom w:val="single" w:sz="4" w:space="0" w:color="000000"/>
              <w:right w:val="single" w:sz="4" w:space="0" w:color="000000"/>
            </w:tcBorders>
            <w:shd w:val="clear" w:color="auto" w:fill="DDEBF7"/>
          </w:tcPr>
          <w:p w14:paraId="628F26B5" w14:textId="2B16FF61"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1.1.13 Miratimi dhe vënia në zbatim (funksionalizimi) i rregullores për krijimin e regjistrit kombëtar të revistave dhe periodikëve shkencorë</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 xml:space="preserve"> dhe për përcaktimin e kritereve që duhet të plotësojnë revistat dhe periodikët shkencorë për </w:t>
            </w:r>
            <w:r w:rsidR="00417E27" w:rsidRPr="00E266CD">
              <w:rPr>
                <w:rFonts w:ascii="Garamond" w:eastAsia="Times New Roman" w:hAnsi="Garamond"/>
                <w:color w:val="000000"/>
                <w:sz w:val="10"/>
                <w:szCs w:val="10"/>
              </w:rPr>
              <w:t>t’u</w:t>
            </w:r>
            <w:r w:rsidRPr="00E266CD">
              <w:rPr>
                <w:rFonts w:ascii="Garamond" w:eastAsia="Times New Roman" w:hAnsi="Garamond"/>
                <w:color w:val="000000"/>
                <w:sz w:val="10"/>
                <w:szCs w:val="10"/>
              </w:rPr>
              <w:t xml:space="preserve"> regjistruar në regjistrin kombëtar të Republikës së Shqipërisë.</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28CCC74C"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nil"/>
              <w:bottom w:val="single" w:sz="4" w:space="0" w:color="000000"/>
              <w:right w:val="single" w:sz="4" w:space="0" w:color="000000"/>
            </w:tcBorders>
            <w:shd w:val="clear" w:color="auto" w:fill="auto"/>
            <w:vAlign w:val="center"/>
          </w:tcPr>
          <w:p w14:paraId="5306646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IAL, AKKSHI, ASHSH, AKSHI</w:t>
            </w:r>
          </w:p>
        </w:tc>
        <w:tc>
          <w:tcPr>
            <w:tcW w:w="593" w:type="dxa"/>
            <w:tcBorders>
              <w:top w:val="nil"/>
              <w:left w:val="nil"/>
              <w:bottom w:val="single" w:sz="4" w:space="0" w:color="000000"/>
              <w:right w:val="nil"/>
            </w:tcBorders>
            <w:shd w:val="clear" w:color="auto" w:fill="FFFFFF"/>
          </w:tcPr>
          <w:p w14:paraId="3746D3A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3332A0C2"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384E0C5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8,067,877</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253B511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5,200,000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6FA3057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13,267,877</w:t>
            </w:r>
          </w:p>
        </w:tc>
        <w:tc>
          <w:tcPr>
            <w:tcW w:w="720" w:type="dxa"/>
            <w:tcBorders>
              <w:top w:val="nil"/>
              <w:left w:val="single" w:sz="8" w:space="0" w:color="000000"/>
              <w:bottom w:val="single" w:sz="4" w:space="0" w:color="000000"/>
              <w:right w:val="single" w:sz="4" w:space="0" w:color="000000"/>
            </w:tcBorders>
            <w:shd w:val="clear" w:color="auto" w:fill="auto"/>
            <w:vAlign w:val="center"/>
          </w:tcPr>
          <w:p w14:paraId="5C15C12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10,726,236</w:t>
            </w:r>
          </w:p>
        </w:tc>
        <w:tc>
          <w:tcPr>
            <w:tcW w:w="894" w:type="dxa"/>
            <w:gridSpan w:val="2"/>
            <w:tcBorders>
              <w:top w:val="nil"/>
              <w:left w:val="single" w:sz="8" w:space="0" w:color="000000"/>
              <w:bottom w:val="single" w:sz="4" w:space="0" w:color="000000"/>
              <w:right w:val="single" w:sz="4" w:space="0" w:color="000000"/>
            </w:tcBorders>
            <w:shd w:val="clear" w:color="auto" w:fill="auto"/>
            <w:vAlign w:val="center"/>
          </w:tcPr>
          <w:p w14:paraId="49A0F3D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nil"/>
              <w:left w:val="single" w:sz="8" w:space="0" w:color="000000"/>
              <w:bottom w:val="single" w:sz="4" w:space="0" w:color="000000"/>
              <w:right w:val="single" w:sz="8" w:space="0" w:color="000000"/>
            </w:tcBorders>
            <w:vAlign w:val="center"/>
          </w:tcPr>
          <w:p w14:paraId="3EB6D7F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nil"/>
              <w:left w:val="single" w:sz="8" w:space="0" w:color="000000"/>
              <w:bottom w:val="single" w:sz="4" w:space="0" w:color="000000"/>
              <w:right w:val="single" w:sz="8" w:space="0" w:color="000000"/>
            </w:tcBorders>
            <w:shd w:val="clear" w:color="auto" w:fill="auto"/>
            <w:vAlign w:val="center"/>
          </w:tcPr>
          <w:p w14:paraId="07890C2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-2,541,641</w:t>
            </w:r>
          </w:p>
        </w:tc>
      </w:tr>
      <w:tr w:rsidR="00DC69E1" w:rsidRPr="00E266CD" w14:paraId="47FC34A9" w14:textId="77777777" w:rsidTr="00DC69E1">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48ADDB5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50C5703A" w14:textId="34CF8351" w:rsidR="00DC69E1" w:rsidRPr="00E266CD" w:rsidRDefault="00DC69E1" w:rsidP="00695B0D">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A46CD4">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A46CD4" w:rsidRPr="00E266CD">
              <w:rPr>
                <w:rFonts w:ascii="Garamond" w:eastAsia="Times New Roman" w:hAnsi="Garamond"/>
                <w:b/>
                <w:color w:val="FF0000"/>
                <w:sz w:val="10"/>
                <w:szCs w:val="10"/>
              </w:rPr>
              <w:t>objektivi</w:t>
            </w:r>
            <w:r w:rsidR="00A46CD4">
              <w:rPr>
                <w:rFonts w:ascii="Garamond" w:eastAsia="Times New Roman" w:hAnsi="Garamond"/>
                <w:b/>
                <w:color w:val="FF0000"/>
                <w:sz w:val="10"/>
                <w:szCs w:val="10"/>
              </w:rPr>
              <w:t>t</w:t>
            </w:r>
            <w:r w:rsidR="00A46CD4" w:rsidRPr="00E266CD">
              <w:rPr>
                <w:rFonts w:ascii="Garamond" w:eastAsia="Times New Roman" w:hAnsi="Garamond"/>
                <w:b/>
                <w:color w:val="FF0000"/>
                <w:sz w:val="10"/>
                <w:szCs w:val="10"/>
              </w:rPr>
              <w:t xml:space="preserve"> specifik </w:t>
            </w:r>
            <w:r w:rsidRPr="00E266CD">
              <w:rPr>
                <w:rFonts w:ascii="Garamond" w:eastAsia="Times New Roman" w:hAnsi="Garamond"/>
                <w:b/>
                <w:color w:val="FF0000"/>
                <w:sz w:val="10"/>
                <w:szCs w:val="10"/>
              </w:rPr>
              <w:t>1.1</w:t>
            </w:r>
          </w:p>
        </w:tc>
        <w:tc>
          <w:tcPr>
            <w:tcW w:w="1267" w:type="dxa"/>
            <w:tcBorders>
              <w:top w:val="nil"/>
              <w:left w:val="nil"/>
              <w:bottom w:val="nil"/>
              <w:right w:val="single" w:sz="4" w:space="0" w:color="000000"/>
            </w:tcBorders>
            <w:shd w:val="clear" w:color="auto" w:fill="D9D9D9"/>
            <w:vAlign w:val="center"/>
          </w:tcPr>
          <w:p w14:paraId="416F3B0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tcBorders>
              <w:top w:val="nil"/>
              <w:left w:val="nil"/>
              <w:bottom w:val="nil"/>
              <w:right w:val="single" w:sz="4" w:space="0" w:color="000000"/>
            </w:tcBorders>
            <w:shd w:val="clear" w:color="auto" w:fill="D9D9D9"/>
            <w:vAlign w:val="center"/>
          </w:tcPr>
          <w:p w14:paraId="63398E0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320BA69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04030A8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BFBFBF"/>
            <w:vAlign w:val="center"/>
          </w:tcPr>
          <w:p w14:paraId="03B8D4AA"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151,587,887</w:t>
            </w:r>
          </w:p>
        </w:tc>
        <w:tc>
          <w:tcPr>
            <w:tcW w:w="936" w:type="dxa"/>
            <w:tcBorders>
              <w:top w:val="nil"/>
              <w:left w:val="nil"/>
              <w:bottom w:val="nil"/>
              <w:right w:val="single" w:sz="4" w:space="0" w:color="000000"/>
            </w:tcBorders>
            <w:shd w:val="clear" w:color="auto" w:fill="BFBFBF"/>
            <w:vAlign w:val="center"/>
          </w:tcPr>
          <w:p w14:paraId="64C32086"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5,200,000</w:t>
            </w:r>
          </w:p>
        </w:tc>
        <w:tc>
          <w:tcPr>
            <w:tcW w:w="1082" w:type="dxa"/>
            <w:tcBorders>
              <w:top w:val="nil"/>
              <w:left w:val="nil"/>
              <w:bottom w:val="nil"/>
              <w:right w:val="single" w:sz="4" w:space="0" w:color="000000"/>
            </w:tcBorders>
            <w:shd w:val="clear" w:color="auto" w:fill="BFBFBF"/>
            <w:vAlign w:val="center"/>
          </w:tcPr>
          <w:p w14:paraId="2CC3994F"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156,787,887</w:t>
            </w:r>
          </w:p>
        </w:tc>
        <w:tc>
          <w:tcPr>
            <w:tcW w:w="720" w:type="dxa"/>
            <w:tcBorders>
              <w:top w:val="nil"/>
              <w:left w:val="nil"/>
              <w:bottom w:val="nil"/>
              <w:right w:val="single" w:sz="4" w:space="0" w:color="000000"/>
            </w:tcBorders>
            <w:shd w:val="clear" w:color="auto" w:fill="BFBFBF"/>
            <w:vAlign w:val="center"/>
          </w:tcPr>
          <w:p w14:paraId="66DD435D"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57,787,274</w:t>
            </w:r>
          </w:p>
        </w:tc>
        <w:tc>
          <w:tcPr>
            <w:tcW w:w="894" w:type="dxa"/>
            <w:gridSpan w:val="2"/>
            <w:tcBorders>
              <w:top w:val="nil"/>
              <w:left w:val="nil"/>
              <w:bottom w:val="nil"/>
              <w:right w:val="single" w:sz="4" w:space="0" w:color="000000"/>
            </w:tcBorders>
            <w:shd w:val="clear" w:color="auto" w:fill="BFBFBF"/>
            <w:vAlign w:val="center"/>
          </w:tcPr>
          <w:p w14:paraId="516E348E"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35,900,000</w:t>
            </w:r>
          </w:p>
        </w:tc>
        <w:tc>
          <w:tcPr>
            <w:tcW w:w="900" w:type="dxa"/>
            <w:tcBorders>
              <w:top w:val="nil"/>
              <w:left w:val="nil"/>
              <w:bottom w:val="nil"/>
              <w:right w:val="nil"/>
            </w:tcBorders>
            <w:shd w:val="clear" w:color="auto" w:fill="BFBFBF"/>
            <w:vAlign w:val="center"/>
          </w:tcPr>
          <w:p w14:paraId="0BE30966"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40,000,000</w:t>
            </w:r>
          </w:p>
        </w:tc>
        <w:tc>
          <w:tcPr>
            <w:tcW w:w="910" w:type="dxa"/>
            <w:tcBorders>
              <w:top w:val="nil"/>
              <w:left w:val="nil"/>
              <w:bottom w:val="nil"/>
              <w:right w:val="single" w:sz="4" w:space="0" w:color="000000"/>
            </w:tcBorders>
            <w:shd w:val="clear" w:color="auto" w:fill="BFBFBF"/>
            <w:vAlign w:val="center"/>
          </w:tcPr>
          <w:p w14:paraId="1FEC516B"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-23,100,613</w:t>
            </w:r>
          </w:p>
        </w:tc>
      </w:tr>
      <w:tr w:rsidR="00DC69E1" w:rsidRPr="00E266CD" w14:paraId="4C8AEC76" w14:textId="77777777" w:rsidTr="00974609">
        <w:trPr>
          <w:trHeight w:val="900"/>
          <w:jc w:val="center"/>
        </w:trPr>
        <w:tc>
          <w:tcPr>
            <w:tcW w:w="698"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317D197A"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w:t>
            </w:r>
          </w:p>
        </w:tc>
        <w:tc>
          <w:tcPr>
            <w:tcW w:w="4109" w:type="dxa"/>
            <w:tcBorders>
              <w:top w:val="single" w:sz="4" w:space="0" w:color="000000"/>
              <w:left w:val="nil"/>
              <w:bottom w:val="nil"/>
              <w:right w:val="single" w:sz="4" w:space="0" w:color="000000"/>
            </w:tcBorders>
            <w:shd w:val="clear" w:color="auto" w:fill="F8CBAD"/>
          </w:tcPr>
          <w:p w14:paraId="27472E3F" w14:textId="45A7A352" w:rsidR="00DC69E1" w:rsidRPr="00E266CD" w:rsidRDefault="00DC69E1" w:rsidP="00695B0D">
            <w:pPr>
              <w:spacing w:after="0" w:line="240" w:lineRule="auto"/>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Objektivi </w:t>
            </w:r>
            <w:r w:rsidR="00A46CD4">
              <w:rPr>
                <w:rFonts w:ascii="Garamond" w:eastAsia="Times New Roman" w:hAnsi="Garamond"/>
                <w:b/>
                <w:color w:val="000000"/>
                <w:sz w:val="10"/>
                <w:szCs w:val="10"/>
              </w:rPr>
              <w:t>s</w:t>
            </w:r>
            <w:r w:rsidRPr="00E266CD">
              <w:rPr>
                <w:rFonts w:ascii="Garamond" w:eastAsia="Times New Roman" w:hAnsi="Garamond"/>
                <w:b/>
                <w:color w:val="000000"/>
                <w:sz w:val="10"/>
                <w:szCs w:val="10"/>
              </w:rPr>
              <w:t>pecifik 2: Zhvillimi i kapaciteteve njerëzore dhe infrastrukturës mbështetëse të kërkimit shkencor (infrastrukturës akademike) për rritjen e performancës në programet kombëtare dhe ndërkombëtare</w:t>
            </w:r>
          </w:p>
        </w:tc>
        <w:tc>
          <w:tcPr>
            <w:tcW w:w="1267" w:type="dxa"/>
            <w:tcBorders>
              <w:top w:val="single" w:sz="4" w:space="0" w:color="000000"/>
              <w:left w:val="single" w:sz="4" w:space="0" w:color="000000"/>
              <w:bottom w:val="single" w:sz="4" w:space="0" w:color="000000"/>
              <w:right w:val="single" w:sz="4" w:space="0" w:color="000000"/>
            </w:tcBorders>
            <w:shd w:val="clear" w:color="auto" w:fill="F8CBAD"/>
            <w:vAlign w:val="center"/>
          </w:tcPr>
          <w:p w14:paraId="70C5E0F4" w14:textId="77777777" w:rsidR="00DC69E1" w:rsidRPr="00E266CD" w:rsidRDefault="00DC69E1" w:rsidP="00974609">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AKKSHI, RASH</w:t>
            </w:r>
          </w:p>
        </w:tc>
        <w:tc>
          <w:tcPr>
            <w:tcW w:w="1544" w:type="dxa"/>
            <w:tcBorders>
              <w:top w:val="single" w:sz="4" w:space="0" w:color="000000"/>
              <w:left w:val="nil"/>
              <w:bottom w:val="single" w:sz="4" w:space="0" w:color="000000"/>
              <w:right w:val="single" w:sz="4" w:space="0" w:color="000000"/>
            </w:tcBorders>
            <w:shd w:val="clear" w:color="auto" w:fill="F8CBAD"/>
            <w:vAlign w:val="center"/>
          </w:tcPr>
          <w:p w14:paraId="7253E813"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IAL, Institutet kërkimore pranë ML, AMSHC, MAS, AKFAL, RASH, ASHSH, ML,AKD</w:t>
            </w:r>
          </w:p>
        </w:tc>
        <w:tc>
          <w:tcPr>
            <w:tcW w:w="593" w:type="dxa"/>
            <w:tcBorders>
              <w:top w:val="single" w:sz="4" w:space="0" w:color="000000"/>
              <w:left w:val="nil"/>
              <w:bottom w:val="single" w:sz="4" w:space="0" w:color="000000"/>
              <w:right w:val="single" w:sz="4" w:space="0" w:color="000000"/>
            </w:tcBorders>
            <w:shd w:val="clear" w:color="auto" w:fill="F8CBAD"/>
            <w:vAlign w:val="center"/>
          </w:tcPr>
          <w:p w14:paraId="17FB0F6D"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2023</w:t>
            </w:r>
          </w:p>
        </w:tc>
        <w:tc>
          <w:tcPr>
            <w:tcW w:w="872" w:type="dxa"/>
            <w:tcBorders>
              <w:top w:val="single" w:sz="4" w:space="0" w:color="000000"/>
              <w:left w:val="nil"/>
              <w:bottom w:val="single" w:sz="4" w:space="0" w:color="000000"/>
              <w:right w:val="single" w:sz="8" w:space="0" w:color="000000"/>
            </w:tcBorders>
            <w:shd w:val="clear" w:color="auto" w:fill="F8CBAD"/>
            <w:vAlign w:val="center"/>
          </w:tcPr>
          <w:p w14:paraId="158B791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2030</w:t>
            </w:r>
          </w:p>
        </w:tc>
        <w:tc>
          <w:tcPr>
            <w:tcW w:w="1196" w:type="dxa"/>
            <w:tcBorders>
              <w:top w:val="single" w:sz="8" w:space="0" w:color="000000"/>
              <w:left w:val="nil"/>
              <w:bottom w:val="single" w:sz="4" w:space="0" w:color="000000"/>
              <w:right w:val="single" w:sz="4" w:space="0" w:color="000000"/>
            </w:tcBorders>
            <w:shd w:val="clear" w:color="auto" w:fill="F8CBAD"/>
            <w:vAlign w:val="center"/>
          </w:tcPr>
          <w:p w14:paraId="22B0BBC0"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36"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711F732A"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1082"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5E91F7DC"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720" w:type="dxa"/>
            <w:tcBorders>
              <w:top w:val="single" w:sz="8" w:space="0" w:color="000000"/>
              <w:left w:val="nil"/>
              <w:bottom w:val="single" w:sz="4" w:space="0" w:color="000000"/>
              <w:right w:val="single" w:sz="4" w:space="0" w:color="000000"/>
            </w:tcBorders>
            <w:shd w:val="clear" w:color="auto" w:fill="F8CBAD"/>
            <w:vAlign w:val="center"/>
          </w:tcPr>
          <w:p w14:paraId="20DE9874"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894" w:type="dxa"/>
            <w:gridSpan w:val="2"/>
            <w:tcBorders>
              <w:top w:val="single" w:sz="8" w:space="0" w:color="000000"/>
              <w:left w:val="single" w:sz="4" w:space="0" w:color="000000"/>
              <w:bottom w:val="single" w:sz="4" w:space="0" w:color="000000"/>
              <w:right w:val="single" w:sz="8" w:space="0" w:color="000000"/>
            </w:tcBorders>
            <w:shd w:val="clear" w:color="auto" w:fill="F8CBAD"/>
            <w:vAlign w:val="center"/>
          </w:tcPr>
          <w:p w14:paraId="168B5257"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00" w:type="dxa"/>
            <w:tcBorders>
              <w:top w:val="single" w:sz="8" w:space="0" w:color="000000"/>
              <w:left w:val="nil"/>
              <w:bottom w:val="single" w:sz="4" w:space="0" w:color="000000"/>
              <w:right w:val="nil"/>
            </w:tcBorders>
            <w:shd w:val="clear" w:color="auto" w:fill="F8CBAD"/>
            <w:vAlign w:val="center"/>
          </w:tcPr>
          <w:p w14:paraId="79E28FEB"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10" w:type="dxa"/>
            <w:tcBorders>
              <w:top w:val="single" w:sz="8" w:space="0" w:color="000000"/>
              <w:left w:val="nil"/>
              <w:bottom w:val="single" w:sz="4" w:space="0" w:color="000000"/>
              <w:right w:val="single" w:sz="8" w:space="0" w:color="000000"/>
            </w:tcBorders>
            <w:shd w:val="clear" w:color="auto" w:fill="F8CBAD"/>
            <w:vAlign w:val="center"/>
          </w:tcPr>
          <w:p w14:paraId="03B8330B"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r>
      <w:tr w:rsidR="00DC69E1" w:rsidRPr="00E266CD" w14:paraId="313261E1" w14:textId="77777777" w:rsidTr="00DC69E1">
        <w:trPr>
          <w:trHeight w:val="1132"/>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89E3EF1"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1.2.1</w:t>
            </w:r>
          </w:p>
        </w:tc>
        <w:tc>
          <w:tcPr>
            <w:tcW w:w="4109" w:type="dxa"/>
            <w:tcBorders>
              <w:top w:val="nil"/>
              <w:left w:val="nil"/>
              <w:bottom w:val="single" w:sz="4" w:space="0" w:color="000000"/>
              <w:right w:val="single" w:sz="4" w:space="0" w:color="000000"/>
            </w:tcBorders>
            <w:shd w:val="clear" w:color="auto" w:fill="DDEBF7"/>
          </w:tcPr>
          <w:p w14:paraId="39E14F62" w14:textId="4B31614C"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1.2.1 Ngritja e kapaciteteve për shkrimin e projekteve kombëtare shkencore, në mënyrë që përmbajtja dhe arritjet e tyre të kontribuojnë në cilësinë, rëndësinë dhe efektivitetin e kërkimit dhe përmbushjen e qëllimeve strategjike në fushat prioritare</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13AF4669"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nil"/>
              <w:bottom w:val="single" w:sz="4" w:space="0" w:color="000000"/>
              <w:right w:val="single" w:sz="4" w:space="0" w:color="000000"/>
            </w:tcBorders>
            <w:shd w:val="clear" w:color="auto" w:fill="auto"/>
            <w:vAlign w:val="center"/>
          </w:tcPr>
          <w:p w14:paraId="462CDB86"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IAL, MM Institutet kërkimore pranë ML</w:t>
            </w:r>
          </w:p>
        </w:tc>
        <w:tc>
          <w:tcPr>
            <w:tcW w:w="593" w:type="dxa"/>
            <w:tcBorders>
              <w:top w:val="nil"/>
              <w:left w:val="nil"/>
              <w:bottom w:val="single" w:sz="4" w:space="0" w:color="000000"/>
              <w:right w:val="nil"/>
            </w:tcBorders>
            <w:shd w:val="clear" w:color="auto" w:fill="FFFFFF"/>
          </w:tcPr>
          <w:p w14:paraId="41EE720E"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739A5CC6"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03E6020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30,500,000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29E8A82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80,000,000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5D8893D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110,500,000</w:t>
            </w:r>
          </w:p>
        </w:tc>
        <w:tc>
          <w:tcPr>
            <w:tcW w:w="720" w:type="dxa"/>
            <w:tcBorders>
              <w:top w:val="nil"/>
              <w:left w:val="nil"/>
              <w:bottom w:val="single" w:sz="4" w:space="0" w:color="000000"/>
              <w:right w:val="single" w:sz="4" w:space="0" w:color="000000"/>
            </w:tcBorders>
            <w:shd w:val="clear" w:color="auto" w:fill="auto"/>
            <w:vAlign w:val="center"/>
          </w:tcPr>
          <w:p w14:paraId="5B9BD87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103,180,000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4CB829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0E5E2B1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4DA7960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-7,320,000</w:t>
            </w:r>
          </w:p>
        </w:tc>
      </w:tr>
      <w:tr w:rsidR="00DC69E1" w:rsidRPr="00E266CD" w14:paraId="384D7F40" w14:textId="77777777" w:rsidTr="00DC69E1">
        <w:trPr>
          <w:trHeight w:val="90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74E1D372"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1.2.2</w:t>
            </w:r>
          </w:p>
        </w:tc>
        <w:tc>
          <w:tcPr>
            <w:tcW w:w="4109" w:type="dxa"/>
            <w:tcBorders>
              <w:top w:val="nil"/>
              <w:left w:val="nil"/>
              <w:bottom w:val="single" w:sz="4" w:space="0" w:color="000000"/>
              <w:right w:val="single" w:sz="4" w:space="0" w:color="000000"/>
            </w:tcBorders>
            <w:shd w:val="clear" w:color="auto" w:fill="DDEBF7"/>
          </w:tcPr>
          <w:p w14:paraId="1679AD09" w14:textId="2DFFAD9F"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Organizimi i ditëve informative dhe i aktiviteteve promovuese për thirrjet e projekteve në programe ndërkombëtare</w:t>
            </w:r>
          </w:p>
        </w:tc>
        <w:tc>
          <w:tcPr>
            <w:tcW w:w="1267" w:type="dxa"/>
            <w:tcBorders>
              <w:top w:val="nil"/>
              <w:left w:val="single" w:sz="4" w:space="0" w:color="000000"/>
              <w:bottom w:val="single" w:sz="4" w:space="0" w:color="000000"/>
              <w:right w:val="single" w:sz="4" w:space="0" w:color="000000"/>
            </w:tcBorders>
            <w:shd w:val="clear" w:color="auto" w:fill="auto"/>
            <w:vAlign w:val="center"/>
          </w:tcPr>
          <w:p w14:paraId="54EFE60B"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nil"/>
              <w:bottom w:val="single" w:sz="4" w:space="0" w:color="000000"/>
              <w:right w:val="single" w:sz="4" w:space="0" w:color="000000"/>
            </w:tcBorders>
            <w:shd w:val="clear" w:color="auto" w:fill="auto"/>
            <w:vAlign w:val="center"/>
          </w:tcPr>
          <w:p w14:paraId="1259218B"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IAL, Institutet kërkimore pranë ML, AMSHC</w:t>
            </w:r>
          </w:p>
        </w:tc>
        <w:tc>
          <w:tcPr>
            <w:tcW w:w="593" w:type="dxa"/>
            <w:tcBorders>
              <w:top w:val="nil"/>
              <w:left w:val="nil"/>
              <w:bottom w:val="single" w:sz="4" w:space="0" w:color="000000"/>
              <w:right w:val="nil"/>
            </w:tcBorders>
            <w:shd w:val="clear" w:color="auto" w:fill="FFFFFF"/>
          </w:tcPr>
          <w:p w14:paraId="00689A6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47F83124"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1782161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8,064,000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49704D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60A18FA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8,064,000</w:t>
            </w:r>
          </w:p>
        </w:tc>
        <w:tc>
          <w:tcPr>
            <w:tcW w:w="720" w:type="dxa"/>
            <w:tcBorders>
              <w:top w:val="nil"/>
              <w:left w:val="nil"/>
              <w:bottom w:val="single" w:sz="4" w:space="0" w:color="000000"/>
              <w:right w:val="single" w:sz="4" w:space="0" w:color="000000"/>
            </w:tcBorders>
            <w:shd w:val="clear" w:color="auto" w:fill="auto"/>
            <w:vAlign w:val="center"/>
          </w:tcPr>
          <w:p w14:paraId="311215D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5,760,000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1DDD078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43770D9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4950B57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-2,304,000</w:t>
            </w:r>
          </w:p>
        </w:tc>
      </w:tr>
      <w:tr w:rsidR="00DC69E1" w:rsidRPr="00E266CD" w14:paraId="609742DF" w14:textId="77777777" w:rsidTr="00DC69E1">
        <w:trPr>
          <w:trHeight w:val="511"/>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01793D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1.2.3</w:t>
            </w:r>
          </w:p>
        </w:tc>
        <w:tc>
          <w:tcPr>
            <w:tcW w:w="4109" w:type="dxa"/>
            <w:tcBorders>
              <w:top w:val="nil"/>
              <w:left w:val="nil"/>
              <w:bottom w:val="single" w:sz="4" w:space="0" w:color="000000"/>
              <w:right w:val="single" w:sz="4" w:space="0" w:color="000000"/>
            </w:tcBorders>
            <w:shd w:val="clear" w:color="auto" w:fill="DDEBF7"/>
          </w:tcPr>
          <w:p w14:paraId="7390686A" w14:textId="44B47FC8"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Trajnimi i stafeve akademike lidhur me aplikimin në programe ndërkombëtare</w:t>
            </w:r>
          </w:p>
        </w:tc>
        <w:tc>
          <w:tcPr>
            <w:tcW w:w="1267" w:type="dxa"/>
            <w:tcBorders>
              <w:top w:val="nil"/>
              <w:left w:val="single" w:sz="4" w:space="0" w:color="000000"/>
              <w:bottom w:val="nil"/>
              <w:right w:val="nil"/>
            </w:tcBorders>
            <w:shd w:val="clear" w:color="auto" w:fill="auto"/>
            <w:vAlign w:val="center"/>
          </w:tcPr>
          <w:p w14:paraId="0602904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2B65279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593" w:type="dxa"/>
            <w:tcBorders>
              <w:top w:val="nil"/>
              <w:left w:val="nil"/>
              <w:bottom w:val="single" w:sz="4" w:space="0" w:color="000000"/>
              <w:right w:val="nil"/>
            </w:tcBorders>
            <w:shd w:val="clear" w:color="auto" w:fill="FFFFFF"/>
          </w:tcPr>
          <w:p w14:paraId="62ACB01C"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15ECFD5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3FC08E6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14,981,069</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5925144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7E87234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14,981,069</w:t>
            </w:r>
          </w:p>
        </w:tc>
        <w:tc>
          <w:tcPr>
            <w:tcW w:w="720" w:type="dxa"/>
            <w:tcBorders>
              <w:top w:val="nil"/>
              <w:left w:val="nil"/>
              <w:bottom w:val="single" w:sz="4" w:space="0" w:color="000000"/>
              <w:right w:val="single" w:sz="4" w:space="0" w:color="000000"/>
            </w:tcBorders>
            <w:shd w:val="clear" w:color="auto" w:fill="auto"/>
            <w:vAlign w:val="center"/>
          </w:tcPr>
          <w:p w14:paraId="216266C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12,823,438</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570E2C2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55C1773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7A06592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-2,157,631</w:t>
            </w:r>
          </w:p>
        </w:tc>
      </w:tr>
      <w:tr w:rsidR="00DC69E1" w:rsidRPr="00E266CD" w14:paraId="3262CCB1" w14:textId="77777777" w:rsidTr="00DC69E1">
        <w:trPr>
          <w:trHeight w:val="583"/>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25ED623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1.2.4</w:t>
            </w:r>
          </w:p>
        </w:tc>
        <w:tc>
          <w:tcPr>
            <w:tcW w:w="4109" w:type="dxa"/>
            <w:tcBorders>
              <w:top w:val="single" w:sz="4" w:space="0" w:color="000000"/>
              <w:left w:val="nil"/>
              <w:bottom w:val="single" w:sz="4" w:space="0" w:color="000000"/>
              <w:right w:val="single" w:sz="4" w:space="0" w:color="000000"/>
            </w:tcBorders>
            <w:shd w:val="clear" w:color="auto" w:fill="DDEBF7"/>
          </w:tcPr>
          <w:p w14:paraId="1EDDC5D4" w14:textId="5B96FF62"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1.2.4</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Ngritja dhe forcimi i qendrave kombëtare shkencore të ekselencës që integrojnë studiues dhe burime kërkimore në nivel kombëtar dhe ndërkombëtar</w:t>
            </w:r>
          </w:p>
        </w:tc>
        <w:tc>
          <w:tcPr>
            <w:tcW w:w="1267" w:type="dxa"/>
            <w:tcBorders>
              <w:top w:val="single" w:sz="4" w:space="0" w:color="000000"/>
              <w:left w:val="single" w:sz="4" w:space="0" w:color="000000"/>
              <w:bottom w:val="single" w:sz="4" w:space="0" w:color="000000"/>
              <w:right w:val="nil"/>
            </w:tcBorders>
            <w:shd w:val="clear" w:color="auto" w:fill="auto"/>
            <w:vAlign w:val="center"/>
          </w:tcPr>
          <w:p w14:paraId="3CFB146E"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4BA591"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IAL , ASHSH</w:t>
            </w:r>
          </w:p>
        </w:tc>
        <w:tc>
          <w:tcPr>
            <w:tcW w:w="593" w:type="dxa"/>
            <w:tcBorders>
              <w:top w:val="single" w:sz="4" w:space="0" w:color="000000"/>
              <w:left w:val="single" w:sz="4" w:space="0" w:color="000000"/>
              <w:bottom w:val="single" w:sz="4" w:space="0" w:color="000000"/>
              <w:right w:val="nil"/>
            </w:tcBorders>
            <w:shd w:val="clear" w:color="auto" w:fill="FFFFFF"/>
          </w:tcPr>
          <w:p w14:paraId="7C1B6AD6"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nil"/>
            </w:tcBorders>
            <w:shd w:val="clear" w:color="auto" w:fill="FFFFFF"/>
          </w:tcPr>
          <w:p w14:paraId="42DE98AA"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7093949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101,669,040</w:t>
            </w:r>
          </w:p>
        </w:tc>
        <w:tc>
          <w:tcPr>
            <w:tcW w:w="93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68B82EB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16,450,000,000</w:t>
            </w:r>
          </w:p>
        </w:tc>
        <w:tc>
          <w:tcPr>
            <w:tcW w:w="1082" w:type="dxa"/>
            <w:tcBorders>
              <w:top w:val="single" w:sz="4" w:space="0" w:color="000000"/>
              <w:left w:val="single" w:sz="8" w:space="0" w:color="000000"/>
              <w:bottom w:val="single" w:sz="4" w:space="0" w:color="000000"/>
              <w:right w:val="single" w:sz="4" w:space="0" w:color="000000"/>
            </w:tcBorders>
            <w:shd w:val="clear" w:color="auto" w:fill="auto"/>
            <w:vAlign w:val="center"/>
          </w:tcPr>
          <w:p w14:paraId="7CE5C00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16,551,669,040</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1504D5A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2,950,000,000</w:t>
            </w:r>
          </w:p>
        </w:tc>
        <w:tc>
          <w:tcPr>
            <w:tcW w:w="894"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75859DD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2,830,000,000</w:t>
            </w:r>
          </w:p>
        </w:tc>
        <w:tc>
          <w:tcPr>
            <w:tcW w:w="900" w:type="dxa"/>
            <w:tcBorders>
              <w:top w:val="single" w:sz="8" w:space="0" w:color="000000"/>
              <w:left w:val="nil"/>
              <w:bottom w:val="single" w:sz="4" w:space="0" w:color="000000"/>
              <w:right w:val="nil"/>
            </w:tcBorders>
            <w:vAlign w:val="center"/>
          </w:tcPr>
          <w:p w14:paraId="22044A9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5,900,000,000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19AD8F6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-4,871,669,040</w:t>
            </w:r>
          </w:p>
        </w:tc>
      </w:tr>
      <w:tr w:rsidR="00DC69E1" w:rsidRPr="00E266CD" w14:paraId="4BB1DBFF" w14:textId="77777777" w:rsidTr="00DC69E1">
        <w:trPr>
          <w:trHeight w:val="583"/>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353623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1.2.5</w:t>
            </w:r>
          </w:p>
        </w:tc>
        <w:tc>
          <w:tcPr>
            <w:tcW w:w="4109" w:type="dxa"/>
            <w:tcBorders>
              <w:top w:val="nil"/>
              <w:left w:val="nil"/>
              <w:bottom w:val="single" w:sz="4" w:space="0" w:color="000000"/>
              <w:right w:val="nil"/>
            </w:tcBorders>
            <w:shd w:val="clear" w:color="auto" w:fill="DDEBF7"/>
          </w:tcPr>
          <w:p w14:paraId="00EBAF80" w14:textId="412CAACB"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1.2.5</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 xml:space="preserve">Krijimi i Hartës Kombëtare të </w:t>
            </w:r>
            <w:r w:rsidR="00A46CD4" w:rsidRPr="00E266CD">
              <w:rPr>
                <w:rFonts w:ascii="Garamond" w:eastAsia="Times New Roman" w:hAnsi="Garamond"/>
                <w:color w:val="000000"/>
                <w:sz w:val="10"/>
                <w:szCs w:val="10"/>
              </w:rPr>
              <w:t xml:space="preserve">Infrastrukturës </w:t>
            </w:r>
            <w:r w:rsidRPr="00E266CD">
              <w:rPr>
                <w:rFonts w:ascii="Garamond" w:eastAsia="Times New Roman" w:hAnsi="Garamond"/>
                <w:color w:val="000000"/>
                <w:sz w:val="10"/>
                <w:szCs w:val="10"/>
              </w:rPr>
              <w:t>së Kërkimit Shkencor në Shqipëri</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 xml:space="preserve"> në përputhje me ESFRI (</w:t>
            </w:r>
            <w:r w:rsidRPr="00E266CD">
              <w:rPr>
                <w:rFonts w:ascii="Garamond" w:eastAsia="Times New Roman" w:hAnsi="Garamond"/>
                <w:i/>
                <w:color w:val="000000"/>
                <w:sz w:val="10"/>
                <w:szCs w:val="10"/>
              </w:rPr>
              <w:t>European Strategic Framework of Research Infrastructure</w:t>
            </w:r>
            <w:r w:rsidRPr="00E266CD">
              <w:rPr>
                <w:rFonts w:ascii="Garamond" w:eastAsia="Times New Roman" w:hAnsi="Garamond"/>
                <w:color w:val="000000"/>
                <w:sz w:val="10"/>
                <w:szCs w:val="10"/>
              </w:rPr>
              <w:t>)</w:t>
            </w:r>
          </w:p>
        </w:tc>
        <w:tc>
          <w:tcPr>
            <w:tcW w:w="1267" w:type="dxa"/>
            <w:tcBorders>
              <w:top w:val="single" w:sz="4" w:space="0" w:color="000000"/>
              <w:left w:val="single" w:sz="8" w:space="0" w:color="000000"/>
              <w:bottom w:val="single" w:sz="8" w:space="0" w:color="000000"/>
              <w:right w:val="single" w:sz="8" w:space="0" w:color="000000"/>
            </w:tcBorders>
            <w:shd w:val="clear" w:color="auto" w:fill="auto"/>
            <w:vAlign w:val="center"/>
          </w:tcPr>
          <w:p w14:paraId="6CB87AF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26225"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AKFAL</w:t>
            </w:r>
          </w:p>
        </w:tc>
        <w:tc>
          <w:tcPr>
            <w:tcW w:w="593" w:type="dxa"/>
            <w:tcBorders>
              <w:top w:val="nil"/>
              <w:left w:val="nil"/>
              <w:bottom w:val="single" w:sz="4" w:space="0" w:color="000000"/>
              <w:right w:val="nil"/>
            </w:tcBorders>
            <w:shd w:val="clear" w:color="auto" w:fill="FFFFFF"/>
          </w:tcPr>
          <w:p w14:paraId="7F8C19F4"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3CCC90D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0EDE456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3,663,813</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001A49F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50,000,000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0B93E9F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53,663,813</w:t>
            </w:r>
          </w:p>
        </w:tc>
        <w:tc>
          <w:tcPr>
            <w:tcW w:w="720" w:type="dxa"/>
            <w:tcBorders>
              <w:top w:val="nil"/>
              <w:left w:val="nil"/>
              <w:bottom w:val="single" w:sz="4" w:space="0" w:color="000000"/>
              <w:right w:val="single" w:sz="4" w:space="0" w:color="000000"/>
            </w:tcBorders>
            <w:shd w:val="clear" w:color="auto" w:fill="auto"/>
            <w:vAlign w:val="center"/>
          </w:tcPr>
          <w:p w14:paraId="44825CE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2,463,813</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5833D5E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57A25D2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0ADC97A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-51,200,000</w:t>
            </w:r>
          </w:p>
        </w:tc>
      </w:tr>
      <w:tr w:rsidR="00DC69E1" w:rsidRPr="00E266CD" w14:paraId="5995F26A" w14:textId="77777777" w:rsidTr="00DC69E1">
        <w:trPr>
          <w:trHeight w:val="493"/>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1519DA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1.2.6</w:t>
            </w:r>
          </w:p>
        </w:tc>
        <w:tc>
          <w:tcPr>
            <w:tcW w:w="4109" w:type="dxa"/>
            <w:tcBorders>
              <w:top w:val="nil"/>
              <w:left w:val="nil"/>
              <w:bottom w:val="single" w:sz="4" w:space="0" w:color="000000"/>
              <w:right w:val="nil"/>
            </w:tcBorders>
            <w:shd w:val="clear" w:color="auto" w:fill="DDEBF7"/>
          </w:tcPr>
          <w:p w14:paraId="331AE019" w14:textId="5E965ABA"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1.2.6 Forcimi i sistemit të shkencës dhe kërkimit shkencor përmes bashkëpunimit në nivel ndërkombëtar</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2913E84A"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7BC32F9D" w14:textId="33A9AA28"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IAL ASHSH, AKD, ML</w:t>
            </w:r>
          </w:p>
        </w:tc>
        <w:tc>
          <w:tcPr>
            <w:tcW w:w="593" w:type="dxa"/>
            <w:tcBorders>
              <w:top w:val="nil"/>
              <w:left w:val="nil"/>
              <w:bottom w:val="single" w:sz="4" w:space="0" w:color="000000"/>
              <w:right w:val="nil"/>
            </w:tcBorders>
            <w:shd w:val="clear" w:color="auto" w:fill="FFFFFF"/>
          </w:tcPr>
          <w:p w14:paraId="0A06A29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3B986986"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61151E6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608,902,400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023B743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3DE70B7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608,902,400</w:t>
            </w:r>
          </w:p>
        </w:tc>
        <w:tc>
          <w:tcPr>
            <w:tcW w:w="720" w:type="dxa"/>
            <w:tcBorders>
              <w:top w:val="nil"/>
              <w:left w:val="nil"/>
              <w:bottom w:val="single" w:sz="4" w:space="0" w:color="000000"/>
              <w:right w:val="single" w:sz="4" w:space="0" w:color="000000"/>
            </w:tcBorders>
            <w:shd w:val="clear" w:color="auto" w:fill="auto"/>
            <w:vAlign w:val="center"/>
          </w:tcPr>
          <w:p w14:paraId="63AEF29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608,902,400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499DD4C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46F910D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5C08D31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4E0A3929" w14:textId="77777777" w:rsidTr="00DC69E1">
        <w:trPr>
          <w:trHeight w:val="43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6881B20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1.2.7</w:t>
            </w:r>
          </w:p>
        </w:tc>
        <w:tc>
          <w:tcPr>
            <w:tcW w:w="4109" w:type="dxa"/>
            <w:tcBorders>
              <w:top w:val="nil"/>
              <w:left w:val="nil"/>
              <w:bottom w:val="single" w:sz="4" w:space="0" w:color="000000"/>
              <w:right w:val="nil"/>
            </w:tcBorders>
            <w:shd w:val="clear" w:color="auto" w:fill="DDEBF7"/>
          </w:tcPr>
          <w:p w14:paraId="5297E1D4"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1.2.7 Krijimi i rrjeteve të kërkuesve shkencorë brenda dhe jashtë Shqipërisë</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27BF64B3"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7486E2F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RASH, ASHSH, AKD</w:t>
            </w:r>
          </w:p>
        </w:tc>
        <w:tc>
          <w:tcPr>
            <w:tcW w:w="593" w:type="dxa"/>
            <w:tcBorders>
              <w:top w:val="nil"/>
              <w:left w:val="nil"/>
              <w:bottom w:val="single" w:sz="4" w:space="0" w:color="000000"/>
              <w:right w:val="nil"/>
            </w:tcBorders>
            <w:shd w:val="clear" w:color="auto" w:fill="FFFFFF"/>
          </w:tcPr>
          <w:p w14:paraId="75BE29EB"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1B5B16E2"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10898EF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10,560,000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083EF37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720F3CF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10,560,000</w:t>
            </w:r>
          </w:p>
        </w:tc>
        <w:tc>
          <w:tcPr>
            <w:tcW w:w="720" w:type="dxa"/>
            <w:tcBorders>
              <w:top w:val="nil"/>
              <w:left w:val="nil"/>
              <w:bottom w:val="single" w:sz="4" w:space="0" w:color="000000"/>
              <w:right w:val="single" w:sz="4" w:space="0" w:color="000000"/>
            </w:tcBorders>
            <w:shd w:val="clear" w:color="auto" w:fill="auto"/>
            <w:vAlign w:val="center"/>
          </w:tcPr>
          <w:p w14:paraId="4DA227D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4,700,000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60E0579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198C79C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3D284C7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-5,860,000</w:t>
            </w:r>
          </w:p>
        </w:tc>
      </w:tr>
      <w:tr w:rsidR="00DC69E1" w:rsidRPr="00E266CD" w14:paraId="733AED85" w14:textId="77777777" w:rsidTr="00DC69E1">
        <w:trPr>
          <w:trHeight w:val="511"/>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793FC21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1.2.8</w:t>
            </w:r>
          </w:p>
        </w:tc>
        <w:tc>
          <w:tcPr>
            <w:tcW w:w="4109" w:type="dxa"/>
            <w:tcBorders>
              <w:top w:val="nil"/>
              <w:left w:val="nil"/>
              <w:bottom w:val="single" w:sz="4" w:space="0" w:color="000000"/>
              <w:right w:val="nil"/>
            </w:tcBorders>
            <w:shd w:val="clear" w:color="auto" w:fill="DDEBF7"/>
          </w:tcPr>
          <w:p w14:paraId="1E06EC24"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1.2.8 Krijimi dhe përditësimi periodik i databazës së kërkuesve shkencore</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0A9DE2A5"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RASH</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660C84F1"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IAL, AKKSHI, ASHSH</w:t>
            </w:r>
          </w:p>
        </w:tc>
        <w:tc>
          <w:tcPr>
            <w:tcW w:w="593" w:type="dxa"/>
            <w:tcBorders>
              <w:top w:val="nil"/>
              <w:left w:val="nil"/>
              <w:bottom w:val="single" w:sz="4" w:space="0" w:color="000000"/>
              <w:right w:val="nil"/>
            </w:tcBorders>
            <w:shd w:val="clear" w:color="auto" w:fill="FFFFFF"/>
          </w:tcPr>
          <w:p w14:paraId="095509D0"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1E66387F"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529221F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5,180,000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4B2F26E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6AF3472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5,180,000</w:t>
            </w:r>
          </w:p>
        </w:tc>
        <w:tc>
          <w:tcPr>
            <w:tcW w:w="720" w:type="dxa"/>
            <w:tcBorders>
              <w:top w:val="nil"/>
              <w:left w:val="nil"/>
              <w:bottom w:val="single" w:sz="4" w:space="0" w:color="000000"/>
              <w:right w:val="single" w:sz="4" w:space="0" w:color="000000"/>
            </w:tcBorders>
            <w:shd w:val="clear" w:color="auto" w:fill="auto"/>
            <w:vAlign w:val="center"/>
          </w:tcPr>
          <w:p w14:paraId="11FD6C9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740,000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423C03B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1367976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0827A03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-4,440,000</w:t>
            </w:r>
          </w:p>
        </w:tc>
      </w:tr>
      <w:tr w:rsidR="00DC69E1" w:rsidRPr="00E266CD" w14:paraId="6F936DB5" w14:textId="77777777" w:rsidTr="00DC69E1">
        <w:trPr>
          <w:trHeight w:val="52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36B6EB5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1.2.9</w:t>
            </w:r>
          </w:p>
        </w:tc>
        <w:tc>
          <w:tcPr>
            <w:tcW w:w="4109" w:type="dxa"/>
            <w:tcBorders>
              <w:top w:val="nil"/>
              <w:left w:val="nil"/>
              <w:bottom w:val="single" w:sz="4" w:space="0" w:color="000000"/>
              <w:right w:val="nil"/>
            </w:tcBorders>
            <w:shd w:val="clear" w:color="auto" w:fill="DDEBF7"/>
          </w:tcPr>
          <w:p w14:paraId="226F7BB1" w14:textId="49237FB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1.2.9 Rritja e mbështetjes financiare për aplikimin në projekte kombëtare</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29E8FE48"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6A6FE6D9"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AKFAL, MK , ASHSH, AMSHC</w:t>
            </w:r>
          </w:p>
        </w:tc>
        <w:tc>
          <w:tcPr>
            <w:tcW w:w="593" w:type="dxa"/>
            <w:tcBorders>
              <w:top w:val="nil"/>
              <w:left w:val="nil"/>
              <w:bottom w:val="single" w:sz="4" w:space="0" w:color="000000"/>
              <w:right w:val="nil"/>
            </w:tcBorders>
            <w:shd w:val="clear" w:color="auto" w:fill="FFFFFF"/>
          </w:tcPr>
          <w:p w14:paraId="61F7F2BD"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002829AF"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1FD3DD1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4,005,201,563</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1DD49B6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6,325,000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0059EE6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4,011,526,563</w:t>
            </w:r>
          </w:p>
        </w:tc>
        <w:tc>
          <w:tcPr>
            <w:tcW w:w="720" w:type="dxa"/>
            <w:tcBorders>
              <w:top w:val="nil"/>
              <w:left w:val="nil"/>
              <w:bottom w:val="single" w:sz="4" w:space="0" w:color="000000"/>
              <w:right w:val="single" w:sz="4" w:space="0" w:color="000000"/>
            </w:tcBorders>
            <w:shd w:val="clear" w:color="auto" w:fill="auto"/>
            <w:vAlign w:val="center"/>
          </w:tcPr>
          <w:p w14:paraId="151B72D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4,001,241,560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59111C9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0081979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06A1284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-10,285,003</w:t>
            </w:r>
          </w:p>
        </w:tc>
      </w:tr>
      <w:tr w:rsidR="00DC69E1" w:rsidRPr="00E266CD" w14:paraId="4DE7E635" w14:textId="77777777" w:rsidTr="00DC69E1">
        <w:trPr>
          <w:trHeight w:val="421"/>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5E4A16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1.2.10</w:t>
            </w:r>
          </w:p>
        </w:tc>
        <w:tc>
          <w:tcPr>
            <w:tcW w:w="4109" w:type="dxa"/>
            <w:tcBorders>
              <w:top w:val="nil"/>
              <w:left w:val="nil"/>
              <w:bottom w:val="single" w:sz="4" w:space="0" w:color="000000"/>
              <w:right w:val="nil"/>
            </w:tcBorders>
            <w:shd w:val="clear" w:color="auto" w:fill="DDEBF7"/>
          </w:tcPr>
          <w:p w14:paraId="2F102B75"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1.2.10 Forcimi i kapaciteteve të pikave kombëtare të kontaktit (programi </w:t>
            </w:r>
            <w:r w:rsidRPr="00A46CD4">
              <w:rPr>
                <w:rFonts w:ascii="Garamond" w:eastAsia="Times New Roman" w:hAnsi="Garamond"/>
                <w:i/>
                <w:color w:val="000000"/>
                <w:sz w:val="10"/>
                <w:szCs w:val="10"/>
              </w:rPr>
              <w:t>Horizon</w:t>
            </w:r>
            <w:r w:rsidRPr="00E266CD">
              <w:rPr>
                <w:rFonts w:ascii="Garamond" w:eastAsia="Times New Roman" w:hAnsi="Garamond"/>
                <w:color w:val="000000"/>
                <w:sz w:val="10"/>
                <w:szCs w:val="10"/>
              </w:rPr>
              <w:t>)</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1A5FEED7"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6D5A5E95"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ASHSH</w:t>
            </w:r>
          </w:p>
        </w:tc>
        <w:tc>
          <w:tcPr>
            <w:tcW w:w="593" w:type="dxa"/>
            <w:tcBorders>
              <w:top w:val="nil"/>
              <w:left w:val="nil"/>
              <w:bottom w:val="single" w:sz="4" w:space="0" w:color="000000"/>
              <w:right w:val="nil"/>
            </w:tcBorders>
            <w:shd w:val="clear" w:color="auto" w:fill="FFFFFF"/>
          </w:tcPr>
          <w:p w14:paraId="3EEB67F9"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6800A062"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7B15C32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9,840,000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0CEC195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5895E42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9,840,000</w:t>
            </w:r>
          </w:p>
        </w:tc>
        <w:tc>
          <w:tcPr>
            <w:tcW w:w="720" w:type="dxa"/>
            <w:tcBorders>
              <w:top w:val="nil"/>
              <w:left w:val="nil"/>
              <w:bottom w:val="single" w:sz="4" w:space="0" w:color="000000"/>
              <w:right w:val="single" w:sz="4" w:space="0" w:color="000000"/>
            </w:tcBorders>
            <w:shd w:val="clear" w:color="auto" w:fill="auto"/>
            <w:vAlign w:val="center"/>
          </w:tcPr>
          <w:p w14:paraId="095F283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2297146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18F6C3B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4DBFB0A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-9,840,000</w:t>
            </w:r>
          </w:p>
        </w:tc>
      </w:tr>
      <w:tr w:rsidR="00DC69E1" w:rsidRPr="00E266CD" w14:paraId="04C15423" w14:textId="77777777" w:rsidTr="00DC69E1">
        <w:trPr>
          <w:trHeight w:val="61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5477514D"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1.2.11</w:t>
            </w:r>
          </w:p>
        </w:tc>
        <w:tc>
          <w:tcPr>
            <w:tcW w:w="4109" w:type="dxa"/>
            <w:tcBorders>
              <w:top w:val="nil"/>
              <w:left w:val="nil"/>
              <w:bottom w:val="single" w:sz="4" w:space="0" w:color="000000"/>
              <w:right w:val="nil"/>
            </w:tcBorders>
            <w:shd w:val="clear" w:color="auto" w:fill="DDEBF7"/>
          </w:tcPr>
          <w:p w14:paraId="0076CCD8" w14:textId="55D17FAF"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1.2.11 Zhvillimi i </w:t>
            </w:r>
            <w:r w:rsidR="00A46CD4">
              <w:rPr>
                <w:rFonts w:ascii="Garamond" w:eastAsia="Times New Roman" w:hAnsi="Garamond"/>
                <w:color w:val="000000"/>
                <w:sz w:val="10"/>
                <w:szCs w:val="10"/>
              </w:rPr>
              <w:t>p</w:t>
            </w:r>
            <w:r w:rsidRPr="00E266CD">
              <w:rPr>
                <w:rFonts w:ascii="Garamond" w:eastAsia="Times New Roman" w:hAnsi="Garamond"/>
                <w:color w:val="000000"/>
                <w:sz w:val="10"/>
                <w:szCs w:val="10"/>
              </w:rPr>
              <w:t>latformës (</w:t>
            </w:r>
            <w:r w:rsidRPr="00E266CD">
              <w:rPr>
                <w:rFonts w:ascii="Garamond" w:eastAsia="Times New Roman" w:hAnsi="Garamond"/>
                <w:i/>
                <w:color w:val="000000"/>
                <w:sz w:val="10"/>
                <w:szCs w:val="10"/>
              </w:rPr>
              <w:t>online</w:t>
            </w:r>
            <w:r w:rsidRPr="00E266CD">
              <w:rPr>
                <w:rFonts w:ascii="Garamond" w:eastAsia="Times New Roman" w:hAnsi="Garamond"/>
                <w:color w:val="000000"/>
                <w:sz w:val="10"/>
                <w:szCs w:val="10"/>
              </w:rPr>
              <w:t>) të të dhënave për kërkimin shkencor në RSH, në lidhje me kapacitetet njerëzore, infrastrukturore, biblioteka dhe arkivat</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689D3416"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MAS, RASH </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71E423FB"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IAL, MK, ASHSH, AKD, AKSHI</w:t>
            </w:r>
          </w:p>
        </w:tc>
        <w:tc>
          <w:tcPr>
            <w:tcW w:w="593" w:type="dxa"/>
            <w:tcBorders>
              <w:top w:val="nil"/>
              <w:left w:val="nil"/>
              <w:bottom w:val="single" w:sz="4" w:space="0" w:color="000000"/>
              <w:right w:val="nil"/>
            </w:tcBorders>
            <w:shd w:val="clear" w:color="auto" w:fill="FFFFFF"/>
          </w:tcPr>
          <w:p w14:paraId="58454061"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tcPr>
          <w:p w14:paraId="73C3AE2A"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34FD74C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10,489,200</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A76938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12,000,000</w:t>
            </w:r>
          </w:p>
        </w:tc>
        <w:tc>
          <w:tcPr>
            <w:tcW w:w="1082" w:type="dxa"/>
            <w:tcBorders>
              <w:top w:val="nil"/>
              <w:left w:val="single" w:sz="8" w:space="0" w:color="000000"/>
              <w:bottom w:val="single" w:sz="4" w:space="0" w:color="000000"/>
              <w:right w:val="single" w:sz="4" w:space="0" w:color="000000"/>
            </w:tcBorders>
            <w:shd w:val="clear" w:color="auto" w:fill="auto"/>
            <w:vAlign w:val="center"/>
          </w:tcPr>
          <w:p w14:paraId="320728B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22,489,200</w:t>
            </w:r>
          </w:p>
        </w:tc>
        <w:tc>
          <w:tcPr>
            <w:tcW w:w="720" w:type="dxa"/>
            <w:tcBorders>
              <w:top w:val="nil"/>
              <w:left w:val="nil"/>
              <w:bottom w:val="single" w:sz="4" w:space="0" w:color="000000"/>
              <w:right w:val="single" w:sz="4" w:space="0" w:color="000000"/>
            </w:tcBorders>
            <w:shd w:val="clear" w:color="auto" w:fill="auto"/>
            <w:vAlign w:val="center"/>
          </w:tcPr>
          <w:p w14:paraId="57B2D49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0291ACD3"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299FCE9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72C4D8E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-22,489,200</w:t>
            </w:r>
          </w:p>
        </w:tc>
      </w:tr>
      <w:tr w:rsidR="00DC69E1" w:rsidRPr="00E266CD" w14:paraId="21AC2929" w14:textId="77777777" w:rsidTr="00DC69E1">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07C563E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3A96A707" w14:textId="6F2093C7" w:rsidR="00DC69E1" w:rsidRPr="00E266CD" w:rsidRDefault="00DC69E1" w:rsidP="00695B0D">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A46CD4">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A46CD4">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A46CD4">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1.2</w:t>
            </w:r>
          </w:p>
        </w:tc>
        <w:tc>
          <w:tcPr>
            <w:tcW w:w="1267" w:type="dxa"/>
            <w:tcBorders>
              <w:top w:val="nil"/>
              <w:left w:val="nil"/>
              <w:bottom w:val="nil"/>
              <w:right w:val="single" w:sz="4" w:space="0" w:color="000000"/>
            </w:tcBorders>
            <w:shd w:val="clear" w:color="auto" w:fill="D9D9D9"/>
            <w:vAlign w:val="center"/>
          </w:tcPr>
          <w:p w14:paraId="40929906"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tcBorders>
              <w:top w:val="nil"/>
              <w:left w:val="nil"/>
              <w:bottom w:val="nil"/>
              <w:right w:val="single" w:sz="4" w:space="0" w:color="000000"/>
            </w:tcBorders>
            <w:shd w:val="clear" w:color="auto" w:fill="D9D9D9"/>
            <w:vAlign w:val="center"/>
          </w:tcPr>
          <w:p w14:paraId="53056115"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106A3DA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56CC9732"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single" w:sz="4" w:space="0" w:color="000000"/>
              <w:right w:val="single" w:sz="4" w:space="0" w:color="000000"/>
            </w:tcBorders>
            <w:shd w:val="clear" w:color="auto" w:fill="D9D9D9"/>
            <w:vAlign w:val="center"/>
          </w:tcPr>
          <w:p w14:paraId="01D13D59"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4,809,051,084</w:t>
            </w:r>
          </w:p>
        </w:tc>
        <w:tc>
          <w:tcPr>
            <w:tcW w:w="936" w:type="dxa"/>
            <w:tcBorders>
              <w:top w:val="nil"/>
              <w:left w:val="nil"/>
              <w:bottom w:val="single" w:sz="4" w:space="0" w:color="000000"/>
              <w:right w:val="single" w:sz="4" w:space="0" w:color="000000"/>
            </w:tcBorders>
            <w:shd w:val="clear" w:color="auto" w:fill="D9D9D9"/>
            <w:vAlign w:val="center"/>
          </w:tcPr>
          <w:p w14:paraId="532B2D30"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16,598,325,000</w:t>
            </w:r>
          </w:p>
        </w:tc>
        <w:tc>
          <w:tcPr>
            <w:tcW w:w="1082" w:type="dxa"/>
            <w:tcBorders>
              <w:top w:val="nil"/>
              <w:left w:val="nil"/>
              <w:bottom w:val="single" w:sz="4" w:space="0" w:color="000000"/>
              <w:right w:val="single" w:sz="4" w:space="0" w:color="000000"/>
            </w:tcBorders>
            <w:shd w:val="clear" w:color="auto" w:fill="D9D9D9"/>
            <w:vAlign w:val="center"/>
          </w:tcPr>
          <w:p w14:paraId="3A716A93"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21,407,376,084</w:t>
            </w:r>
          </w:p>
        </w:tc>
        <w:tc>
          <w:tcPr>
            <w:tcW w:w="720" w:type="dxa"/>
            <w:tcBorders>
              <w:top w:val="nil"/>
              <w:left w:val="nil"/>
              <w:bottom w:val="single" w:sz="4" w:space="0" w:color="000000"/>
              <w:right w:val="single" w:sz="4" w:space="0" w:color="000000"/>
            </w:tcBorders>
            <w:shd w:val="clear" w:color="auto" w:fill="D9D9D9"/>
            <w:vAlign w:val="center"/>
          </w:tcPr>
          <w:p w14:paraId="2C12559B"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7,689,811,211</w:t>
            </w:r>
          </w:p>
        </w:tc>
        <w:tc>
          <w:tcPr>
            <w:tcW w:w="894" w:type="dxa"/>
            <w:gridSpan w:val="2"/>
            <w:tcBorders>
              <w:top w:val="nil"/>
              <w:left w:val="nil"/>
              <w:bottom w:val="single" w:sz="4" w:space="0" w:color="000000"/>
              <w:right w:val="single" w:sz="4" w:space="0" w:color="000000"/>
            </w:tcBorders>
            <w:shd w:val="clear" w:color="auto" w:fill="D9D9D9"/>
            <w:vAlign w:val="center"/>
          </w:tcPr>
          <w:p w14:paraId="566AEABB"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2,830,000,000</w:t>
            </w:r>
          </w:p>
        </w:tc>
        <w:tc>
          <w:tcPr>
            <w:tcW w:w="900" w:type="dxa"/>
            <w:tcBorders>
              <w:top w:val="nil"/>
              <w:left w:val="nil"/>
              <w:bottom w:val="single" w:sz="4" w:space="0" w:color="000000"/>
              <w:right w:val="nil"/>
            </w:tcBorders>
            <w:shd w:val="clear" w:color="auto" w:fill="D9D9D9"/>
            <w:vAlign w:val="center"/>
          </w:tcPr>
          <w:p w14:paraId="5EBBF674"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5,900,000,000</w:t>
            </w:r>
          </w:p>
        </w:tc>
        <w:tc>
          <w:tcPr>
            <w:tcW w:w="910" w:type="dxa"/>
            <w:tcBorders>
              <w:top w:val="nil"/>
              <w:left w:val="nil"/>
              <w:bottom w:val="single" w:sz="4" w:space="0" w:color="000000"/>
              <w:right w:val="single" w:sz="4" w:space="0" w:color="000000"/>
            </w:tcBorders>
            <w:shd w:val="clear" w:color="auto" w:fill="D9D9D9"/>
            <w:vAlign w:val="center"/>
          </w:tcPr>
          <w:p w14:paraId="6BEA96E8"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-4,987,564,873</w:t>
            </w:r>
          </w:p>
        </w:tc>
      </w:tr>
      <w:tr w:rsidR="00DC69E1" w:rsidRPr="00E266CD" w14:paraId="302D6914" w14:textId="77777777" w:rsidTr="00DC69E1">
        <w:trPr>
          <w:trHeight w:val="900"/>
          <w:jc w:val="center"/>
        </w:trPr>
        <w:tc>
          <w:tcPr>
            <w:tcW w:w="698"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64B3CC81"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w:t>
            </w:r>
          </w:p>
        </w:tc>
        <w:tc>
          <w:tcPr>
            <w:tcW w:w="4109" w:type="dxa"/>
            <w:tcBorders>
              <w:top w:val="single" w:sz="4" w:space="0" w:color="000000"/>
              <w:left w:val="nil"/>
              <w:bottom w:val="single" w:sz="4" w:space="0" w:color="000000"/>
              <w:right w:val="single" w:sz="4" w:space="0" w:color="000000"/>
            </w:tcBorders>
            <w:shd w:val="clear" w:color="auto" w:fill="F8CBAD"/>
          </w:tcPr>
          <w:p w14:paraId="60B95D0F" w14:textId="405E6A1B" w:rsidR="00DC69E1" w:rsidRPr="00E266CD" w:rsidRDefault="00DC69E1" w:rsidP="00695B0D">
            <w:pPr>
              <w:spacing w:after="0" w:line="240" w:lineRule="auto"/>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Objektivi </w:t>
            </w:r>
            <w:r w:rsidR="00A46CD4">
              <w:rPr>
                <w:rFonts w:ascii="Garamond" w:eastAsia="Times New Roman" w:hAnsi="Garamond"/>
                <w:b/>
                <w:color w:val="000000"/>
                <w:sz w:val="10"/>
                <w:szCs w:val="10"/>
              </w:rPr>
              <w:t>s</w:t>
            </w:r>
            <w:r w:rsidRPr="00E266CD">
              <w:rPr>
                <w:rFonts w:ascii="Garamond" w:eastAsia="Times New Roman" w:hAnsi="Garamond"/>
                <w:b/>
                <w:color w:val="000000"/>
                <w:sz w:val="10"/>
                <w:szCs w:val="10"/>
              </w:rPr>
              <w:t>pecifik 3: Përmirësimi i mbledhjes, përpunimit, interpretimit dhe publikimi i treguesve statistikorë dhe të tjerë të kërkimit, zhvillimit të teknologjisë dhe inovacionit</w:t>
            </w:r>
          </w:p>
        </w:tc>
        <w:tc>
          <w:tcPr>
            <w:tcW w:w="1267" w:type="dxa"/>
            <w:tcBorders>
              <w:top w:val="single" w:sz="4" w:space="0" w:color="000000"/>
              <w:left w:val="single" w:sz="4" w:space="0" w:color="000000"/>
              <w:bottom w:val="single" w:sz="4" w:space="0" w:color="000000"/>
              <w:right w:val="single" w:sz="4" w:space="0" w:color="000000"/>
            </w:tcBorders>
            <w:shd w:val="clear" w:color="auto" w:fill="F8CBAD"/>
          </w:tcPr>
          <w:p w14:paraId="4233ED61" w14:textId="77777777" w:rsidR="00DC69E1" w:rsidRPr="00E266CD" w:rsidRDefault="00DC69E1" w:rsidP="00695B0D">
            <w:pPr>
              <w:spacing w:after="0" w:line="240" w:lineRule="auto"/>
              <w:rPr>
                <w:rFonts w:ascii="Garamond" w:eastAsia="Times New Roman" w:hAnsi="Garamond"/>
                <w:b/>
                <w:color w:val="000000"/>
                <w:sz w:val="10"/>
                <w:szCs w:val="10"/>
              </w:rPr>
            </w:pPr>
            <w:r w:rsidRPr="00E266CD">
              <w:rPr>
                <w:rFonts w:ascii="Garamond" w:eastAsia="Times New Roman" w:hAnsi="Garamond"/>
                <w:b/>
                <w:color w:val="000000"/>
                <w:sz w:val="10"/>
                <w:szCs w:val="10"/>
              </w:rPr>
              <w:t>INSTAT, AKKSHI, ASPA</w:t>
            </w:r>
          </w:p>
        </w:tc>
        <w:tc>
          <w:tcPr>
            <w:tcW w:w="1544" w:type="dxa"/>
            <w:tcBorders>
              <w:top w:val="single" w:sz="4" w:space="0" w:color="000000"/>
              <w:left w:val="nil"/>
              <w:bottom w:val="single" w:sz="4" w:space="0" w:color="000000"/>
              <w:right w:val="single" w:sz="4" w:space="0" w:color="000000"/>
            </w:tcBorders>
            <w:shd w:val="clear" w:color="auto" w:fill="F8CBAD"/>
            <w:vAlign w:val="center"/>
          </w:tcPr>
          <w:p w14:paraId="5D266F6A" w14:textId="789EC059"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MAS, AKKSHI, </w:t>
            </w:r>
            <w:r w:rsidR="00657978">
              <w:rPr>
                <w:rFonts w:ascii="Garamond" w:eastAsia="Times New Roman" w:hAnsi="Garamond"/>
                <w:b/>
                <w:color w:val="000000"/>
                <w:sz w:val="10"/>
                <w:szCs w:val="10"/>
              </w:rPr>
              <w:t>i</w:t>
            </w:r>
            <w:r w:rsidRPr="00E266CD">
              <w:rPr>
                <w:rFonts w:ascii="Garamond" w:eastAsia="Times New Roman" w:hAnsi="Garamond"/>
                <w:b/>
                <w:color w:val="000000"/>
                <w:sz w:val="10"/>
                <w:szCs w:val="10"/>
              </w:rPr>
              <w:t>nstitucionet e kërkimit shkencor, IAL, AKFAL, ML, INSTAT</w:t>
            </w:r>
          </w:p>
        </w:tc>
        <w:tc>
          <w:tcPr>
            <w:tcW w:w="593" w:type="dxa"/>
            <w:tcBorders>
              <w:top w:val="single" w:sz="4" w:space="0" w:color="000000"/>
              <w:left w:val="nil"/>
              <w:bottom w:val="single" w:sz="4" w:space="0" w:color="000000"/>
              <w:right w:val="single" w:sz="4" w:space="0" w:color="000000"/>
            </w:tcBorders>
            <w:shd w:val="clear" w:color="auto" w:fill="F8CBAD"/>
            <w:vAlign w:val="center"/>
          </w:tcPr>
          <w:p w14:paraId="268D12C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2023</w:t>
            </w:r>
          </w:p>
        </w:tc>
        <w:tc>
          <w:tcPr>
            <w:tcW w:w="872" w:type="dxa"/>
            <w:tcBorders>
              <w:top w:val="single" w:sz="4" w:space="0" w:color="000000"/>
              <w:left w:val="nil"/>
              <w:bottom w:val="single" w:sz="4" w:space="0" w:color="000000"/>
              <w:right w:val="single" w:sz="8" w:space="0" w:color="000000"/>
            </w:tcBorders>
            <w:shd w:val="clear" w:color="auto" w:fill="F8CBAD"/>
            <w:vAlign w:val="center"/>
          </w:tcPr>
          <w:p w14:paraId="0D16D50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2030</w:t>
            </w:r>
          </w:p>
        </w:tc>
        <w:tc>
          <w:tcPr>
            <w:tcW w:w="1196" w:type="dxa"/>
            <w:tcBorders>
              <w:top w:val="single" w:sz="8" w:space="0" w:color="000000"/>
              <w:left w:val="nil"/>
              <w:bottom w:val="single" w:sz="4" w:space="0" w:color="000000"/>
              <w:right w:val="single" w:sz="4" w:space="0" w:color="000000"/>
            </w:tcBorders>
            <w:shd w:val="clear" w:color="auto" w:fill="F8CBAD"/>
            <w:vAlign w:val="center"/>
          </w:tcPr>
          <w:p w14:paraId="3FF855B9"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36"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34FD79AB"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1082" w:type="dxa"/>
            <w:tcBorders>
              <w:top w:val="single" w:sz="8" w:space="0" w:color="000000"/>
              <w:left w:val="single" w:sz="8" w:space="0" w:color="000000"/>
              <w:bottom w:val="single" w:sz="4" w:space="0" w:color="000000"/>
              <w:right w:val="single" w:sz="4" w:space="0" w:color="000000"/>
            </w:tcBorders>
            <w:shd w:val="clear" w:color="auto" w:fill="F8CBAD"/>
            <w:vAlign w:val="center"/>
          </w:tcPr>
          <w:p w14:paraId="7B315854"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720" w:type="dxa"/>
            <w:tcBorders>
              <w:top w:val="single" w:sz="8" w:space="0" w:color="000000"/>
              <w:left w:val="nil"/>
              <w:bottom w:val="single" w:sz="4" w:space="0" w:color="000000"/>
              <w:right w:val="nil"/>
            </w:tcBorders>
            <w:shd w:val="clear" w:color="auto" w:fill="F8CBAD"/>
            <w:vAlign w:val="center"/>
          </w:tcPr>
          <w:p w14:paraId="2F168C19"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894" w:type="dxa"/>
            <w:gridSpan w:val="2"/>
            <w:tcBorders>
              <w:top w:val="single" w:sz="8" w:space="0" w:color="000000"/>
              <w:left w:val="nil"/>
              <w:bottom w:val="single" w:sz="4" w:space="0" w:color="000000"/>
              <w:right w:val="single" w:sz="8" w:space="0" w:color="000000"/>
            </w:tcBorders>
            <w:shd w:val="clear" w:color="auto" w:fill="F8CBAD"/>
            <w:vAlign w:val="center"/>
          </w:tcPr>
          <w:p w14:paraId="0F095F0C"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00" w:type="dxa"/>
            <w:tcBorders>
              <w:top w:val="single" w:sz="8" w:space="0" w:color="000000"/>
              <w:left w:val="nil"/>
              <w:bottom w:val="single" w:sz="4" w:space="0" w:color="000000"/>
              <w:right w:val="nil"/>
            </w:tcBorders>
            <w:shd w:val="clear" w:color="auto" w:fill="F8CBAD"/>
            <w:vAlign w:val="center"/>
          </w:tcPr>
          <w:p w14:paraId="758FF92B"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c>
          <w:tcPr>
            <w:tcW w:w="910" w:type="dxa"/>
            <w:tcBorders>
              <w:top w:val="single" w:sz="8" w:space="0" w:color="000000"/>
              <w:left w:val="nil"/>
              <w:bottom w:val="single" w:sz="4" w:space="0" w:color="000000"/>
              <w:right w:val="single" w:sz="8" w:space="0" w:color="000000"/>
            </w:tcBorders>
            <w:shd w:val="clear" w:color="auto" w:fill="F8CBAD"/>
            <w:vAlign w:val="center"/>
          </w:tcPr>
          <w:p w14:paraId="2F56CE19" w14:textId="77777777" w:rsidR="00DC69E1" w:rsidRPr="00E266CD" w:rsidRDefault="00DC69E1" w:rsidP="00695B0D">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 </w:t>
            </w:r>
          </w:p>
        </w:tc>
      </w:tr>
      <w:tr w:rsidR="00DC69E1" w:rsidRPr="00E266CD" w14:paraId="6D341BD9" w14:textId="77777777" w:rsidTr="00DC69E1">
        <w:trPr>
          <w:trHeight w:val="78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5924EF7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1.3.1</w:t>
            </w:r>
          </w:p>
        </w:tc>
        <w:tc>
          <w:tcPr>
            <w:tcW w:w="4109" w:type="dxa"/>
            <w:tcBorders>
              <w:top w:val="single" w:sz="4" w:space="0" w:color="000000"/>
              <w:left w:val="nil"/>
              <w:bottom w:val="single" w:sz="4" w:space="0" w:color="000000"/>
              <w:right w:val="nil"/>
            </w:tcBorders>
            <w:shd w:val="clear" w:color="auto" w:fill="DDEBF7"/>
          </w:tcPr>
          <w:p w14:paraId="79049CB2"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1.3.1 Hartimi i metodologjisë së mbledhjes së të dhënave statistikore në fushën e kërkimit shkencor</w:t>
            </w:r>
          </w:p>
        </w:tc>
        <w:tc>
          <w:tcPr>
            <w:tcW w:w="126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FC5665"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INSTAT </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2B8B32BD"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AKKSHI, Institucionet e kërkimit shkencor, IAL, MK</w:t>
            </w:r>
          </w:p>
        </w:tc>
        <w:tc>
          <w:tcPr>
            <w:tcW w:w="593" w:type="dxa"/>
            <w:tcBorders>
              <w:top w:val="nil"/>
              <w:left w:val="nil"/>
              <w:bottom w:val="single" w:sz="4" w:space="0" w:color="000000"/>
              <w:right w:val="nil"/>
            </w:tcBorders>
            <w:shd w:val="clear" w:color="auto" w:fill="FFFFFF"/>
          </w:tcPr>
          <w:p w14:paraId="1626528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5738E506"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3CB70B2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488,915</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5534515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5321D6A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488,915</w:t>
            </w:r>
          </w:p>
        </w:tc>
        <w:tc>
          <w:tcPr>
            <w:tcW w:w="720" w:type="dxa"/>
            <w:tcBorders>
              <w:top w:val="nil"/>
              <w:left w:val="nil"/>
              <w:bottom w:val="single" w:sz="4" w:space="0" w:color="000000"/>
              <w:right w:val="nil"/>
            </w:tcBorders>
            <w:shd w:val="clear" w:color="auto" w:fill="auto"/>
            <w:vAlign w:val="center"/>
          </w:tcPr>
          <w:p w14:paraId="54342F7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488,915</w:t>
            </w:r>
          </w:p>
        </w:tc>
        <w:tc>
          <w:tcPr>
            <w:tcW w:w="894" w:type="dxa"/>
            <w:gridSpan w:val="2"/>
            <w:tcBorders>
              <w:top w:val="nil"/>
              <w:left w:val="nil"/>
              <w:bottom w:val="single" w:sz="4" w:space="0" w:color="000000"/>
              <w:right w:val="single" w:sz="8" w:space="0" w:color="000000"/>
            </w:tcBorders>
            <w:shd w:val="clear" w:color="auto" w:fill="auto"/>
            <w:vAlign w:val="center"/>
          </w:tcPr>
          <w:p w14:paraId="710DB28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3587F8F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3C6797B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1C51C298" w14:textId="77777777" w:rsidTr="00DC69E1">
        <w:trPr>
          <w:trHeight w:val="493"/>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31D41E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1.3.2</w:t>
            </w:r>
          </w:p>
        </w:tc>
        <w:tc>
          <w:tcPr>
            <w:tcW w:w="4109" w:type="dxa"/>
            <w:tcBorders>
              <w:top w:val="nil"/>
              <w:left w:val="nil"/>
              <w:bottom w:val="single" w:sz="4" w:space="0" w:color="000000"/>
              <w:right w:val="nil"/>
            </w:tcBorders>
            <w:shd w:val="clear" w:color="auto" w:fill="DDEBF7"/>
          </w:tcPr>
          <w:p w14:paraId="14760E51" w14:textId="04074823"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1.3.2 Hartimi dhe publikimi i të dhënave për kërkimin shkencor sipas periodicitetit të përcaktuar në Programin e </w:t>
            </w:r>
            <w:r w:rsidR="00A46CD4" w:rsidRPr="00E266CD">
              <w:rPr>
                <w:rFonts w:ascii="Garamond" w:eastAsia="Times New Roman" w:hAnsi="Garamond"/>
                <w:color w:val="000000"/>
                <w:sz w:val="10"/>
                <w:szCs w:val="10"/>
              </w:rPr>
              <w:t xml:space="preserve">Statistikave </w:t>
            </w:r>
            <w:r w:rsidRPr="00E266CD">
              <w:rPr>
                <w:rFonts w:ascii="Garamond" w:eastAsia="Times New Roman" w:hAnsi="Garamond"/>
                <w:color w:val="000000"/>
                <w:sz w:val="10"/>
                <w:szCs w:val="10"/>
              </w:rPr>
              <w:t>Zyrtare 2022</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2026</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100FF347"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INSTAT</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4EF49799"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MAS, AKKSHI</w:t>
            </w:r>
          </w:p>
        </w:tc>
        <w:tc>
          <w:tcPr>
            <w:tcW w:w="593" w:type="dxa"/>
            <w:tcBorders>
              <w:top w:val="nil"/>
              <w:left w:val="nil"/>
              <w:bottom w:val="single" w:sz="4" w:space="0" w:color="000000"/>
              <w:right w:val="nil"/>
            </w:tcBorders>
            <w:shd w:val="clear" w:color="auto" w:fill="FFFFFF"/>
          </w:tcPr>
          <w:p w14:paraId="1868BA40"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04BDF1C9"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05F158E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83,029,716</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16EC683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16,150,000</w:t>
            </w:r>
          </w:p>
        </w:tc>
        <w:tc>
          <w:tcPr>
            <w:tcW w:w="1082" w:type="dxa"/>
            <w:tcBorders>
              <w:top w:val="nil"/>
              <w:left w:val="nil"/>
              <w:bottom w:val="single" w:sz="4" w:space="0" w:color="000000"/>
              <w:right w:val="single" w:sz="8" w:space="0" w:color="000000"/>
            </w:tcBorders>
            <w:shd w:val="clear" w:color="auto" w:fill="auto"/>
            <w:vAlign w:val="center"/>
          </w:tcPr>
          <w:p w14:paraId="0665E43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99,179,716</w:t>
            </w:r>
          </w:p>
        </w:tc>
        <w:tc>
          <w:tcPr>
            <w:tcW w:w="720" w:type="dxa"/>
            <w:tcBorders>
              <w:top w:val="nil"/>
              <w:left w:val="nil"/>
              <w:bottom w:val="single" w:sz="4" w:space="0" w:color="000000"/>
              <w:right w:val="nil"/>
            </w:tcBorders>
            <w:shd w:val="clear" w:color="auto" w:fill="auto"/>
            <w:vAlign w:val="center"/>
          </w:tcPr>
          <w:p w14:paraId="0DF0BF3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83,029,716</w:t>
            </w:r>
          </w:p>
        </w:tc>
        <w:tc>
          <w:tcPr>
            <w:tcW w:w="894" w:type="dxa"/>
            <w:gridSpan w:val="2"/>
            <w:tcBorders>
              <w:top w:val="nil"/>
              <w:left w:val="nil"/>
              <w:bottom w:val="single" w:sz="4" w:space="0" w:color="000000"/>
              <w:right w:val="single" w:sz="8" w:space="0" w:color="000000"/>
            </w:tcBorders>
            <w:shd w:val="clear" w:color="auto" w:fill="auto"/>
            <w:vAlign w:val="center"/>
          </w:tcPr>
          <w:p w14:paraId="67E555E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1,750,000</w:t>
            </w:r>
          </w:p>
        </w:tc>
        <w:tc>
          <w:tcPr>
            <w:tcW w:w="900" w:type="dxa"/>
            <w:tcBorders>
              <w:top w:val="single" w:sz="8" w:space="0" w:color="000000"/>
              <w:left w:val="nil"/>
              <w:bottom w:val="single" w:sz="4" w:space="0" w:color="000000"/>
              <w:right w:val="nil"/>
            </w:tcBorders>
            <w:vAlign w:val="center"/>
          </w:tcPr>
          <w:p w14:paraId="641DA1C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5FD57E0E"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-14,400,000</w:t>
            </w:r>
          </w:p>
        </w:tc>
      </w:tr>
      <w:tr w:rsidR="00DC69E1" w:rsidRPr="00E266CD" w14:paraId="37383FE3" w14:textId="77777777" w:rsidTr="00DC69E1">
        <w:trPr>
          <w:trHeight w:val="511"/>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7A2FD17"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1.3.3</w:t>
            </w:r>
          </w:p>
        </w:tc>
        <w:tc>
          <w:tcPr>
            <w:tcW w:w="4109" w:type="dxa"/>
            <w:tcBorders>
              <w:top w:val="nil"/>
              <w:left w:val="nil"/>
              <w:bottom w:val="single" w:sz="4" w:space="0" w:color="000000"/>
              <w:right w:val="nil"/>
            </w:tcBorders>
            <w:shd w:val="clear" w:color="auto" w:fill="DDEBF7"/>
          </w:tcPr>
          <w:p w14:paraId="12D413DB" w14:textId="5C957946"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1.3.3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Hartimi dhe publikimi i buletinit të përvitshëm për kërkimin shkencor</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6D0A6A62"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43A029C9"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MAS </w:t>
            </w:r>
          </w:p>
        </w:tc>
        <w:tc>
          <w:tcPr>
            <w:tcW w:w="593" w:type="dxa"/>
            <w:tcBorders>
              <w:top w:val="nil"/>
              <w:left w:val="nil"/>
              <w:bottom w:val="single" w:sz="4" w:space="0" w:color="000000"/>
              <w:right w:val="nil"/>
            </w:tcBorders>
            <w:shd w:val="clear" w:color="auto" w:fill="FFFFFF"/>
          </w:tcPr>
          <w:p w14:paraId="726FEB58"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4AA47B51"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231B9F1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1,071,423</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75B2952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5F10358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1,071,423</w:t>
            </w:r>
          </w:p>
        </w:tc>
        <w:tc>
          <w:tcPr>
            <w:tcW w:w="720" w:type="dxa"/>
            <w:tcBorders>
              <w:top w:val="nil"/>
              <w:left w:val="nil"/>
              <w:bottom w:val="single" w:sz="4" w:space="0" w:color="000000"/>
              <w:right w:val="nil"/>
            </w:tcBorders>
            <w:shd w:val="clear" w:color="auto" w:fill="auto"/>
            <w:vAlign w:val="center"/>
          </w:tcPr>
          <w:p w14:paraId="0BE1955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1,071,416</w:t>
            </w:r>
          </w:p>
        </w:tc>
        <w:tc>
          <w:tcPr>
            <w:tcW w:w="894" w:type="dxa"/>
            <w:gridSpan w:val="2"/>
            <w:tcBorders>
              <w:top w:val="nil"/>
              <w:left w:val="nil"/>
              <w:bottom w:val="single" w:sz="4" w:space="0" w:color="000000"/>
              <w:right w:val="single" w:sz="8" w:space="0" w:color="000000"/>
            </w:tcBorders>
            <w:shd w:val="clear" w:color="auto" w:fill="auto"/>
            <w:vAlign w:val="center"/>
          </w:tcPr>
          <w:p w14:paraId="682A1D2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32ACCA51"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29DA4FE8"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w:t>
            </w:r>
          </w:p>
        </w:tc>
      </w:tr>
      <w:tr w:rsidR="00DC69E1" w:rsidRPr="00E266CD" w14:paraId="606E5331" w14:textId="77777777" w:rsidTr="00DC69E1">
        <w:trPr>
          <w:trHeight w:val="853"/>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03F7C1AF"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1.3.4</w:t>
            </w:r>
          </w:p>
        </w:tc>
        <w:tc>
          <w:tcPr>
            <w:tcW w:w="4109" w:type="dxa"/>
            <w:tcBorders>
              <w:top w:val="single" w:sz="4" w:space="0" w:color="000000"/>
              <w:left w:val="nil"/>
              <w:bottom w:val="single" w:sz="4" w:space="0" w:color="000000"/>
              <w:right w:val="nil"/>
            </w:tcBorders>
            <w:shd w:val="clear" w:color="auto" w:fill="DDEBF7"/>
          </w:tcPr>
          <w:p w14:paraId="52CDFE5C" w14:textId="41D0AF53"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1.3.4 Zhvillimi i kapaciteteve të stafit të MAS</w:t>
            </w:r>
            <w:r w:rsidR="00A46CD4">
              <w:rPr>
                <w:rFonts w:ascii="Garamond" w:eastAsia="Times New Roman" w:hAnsi="Garamond"/>
                <w:color w:val="000000"/>
                <w:sz w:val="10"/>
                <w:szCs w:val="10"/>
              </w:rPr>
              <w:t>-it</w:t>
            </w:r>
            <w:r w:rsidRPr="00E266CD">
              <w:rPr>
                <w:rFonts w:ascii="Garamond" w:eastAsia="Times New Roman" w:hAnsi="Garamond"/>
                <w:color w:val="000000"/>
                <w:sz w:val="10"/>
                <w:szCs w:val="10"/>
              </w:rPr>
              <w:t>, AKKSHI</w:t>
            </w:r>
            <w:r w:rsidR="00A46CD4">
              <w:rPr>
                <w:rFonts w:ascii="Garamond" w:eastAsia="Times New Roman" w:hAnsi="Garamond"/>
                <w:color w:val="000000"/>
                <w:sz w:val="10"/>
                <w:szCs w:val="10"/>
              </w:rPr>
              <w:t>-t</w:t>
            </w:r>
            <w:r w:rsidRPr="00E266CD">
              <w:rPr>
                <w:rFonts w:ascii="Garamond" w:eastAsia="Times New Roman" w:hAnsi="Garamond"/>
                <w:color w:val="000000"/>
                <w:sz w:val="10"/>
                <w:szCs w:val="10"/>
              </w:rPr>
              <w:t xml:space="preserve"> dhe instituteve të tjera kërkimore për mbledhjen, analizën dhe raportimin e standardizuar të statistikave për kërkimin shkencor sipas standardeve ndërkombëtare (Eurostat, OECD)</w:t>
            </w:r>
          </w:p>
        </w:tc>
        <w:tc>
          <w:tcPr>
            <w:tcW w:w="1267" w:type="dxa"/>
            <w:tcBorders>
              <w:top w:val="single" w:sz="4" w:space="0" w:color="000000"/>
              <w:left w:val="single" w:sz="8" w:space="0" w:color="000000"/>
              <w:bottom w:val="single" w:sz="8" w:space="0" w:color="000000"/>
              <w:right w:val="single" w:sz="8" w:space="0" w:color="000000"/>
            </w:tcBorders>
            <w:shd w:val="clear" w:color="auto" w:fill="auto"/>
            <w:vAlign w:val="center"/>
          </w:tcPr>
          <w:p w14:paraId="43A3FA92"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ASPA</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08324"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INSTAT, AKFAL, ML</w:t>
            </w:r>
          </w:p>
        </w:tc>
        <w:tc>
          <w:tcPr>
            <w:tcW w:w="593" w:type="dxa"/>
            <w:tcBorders>
              <w:top w:val="single" w:sz="4" w:space="0" w:color="000000"/>
              <w:left w:val="nil"/>
              <w:bottom w:val="single" w:sz="4" w:space="0" w:color="000000"/>
              <w:right w:val="nil"/>
            </w:tcBorders>
            <w:shd w:val="clear" w:color="auto" w:fill="FFFFFF"/>
          </w:tcPr>
          <w:p w14:paraId="4E43B639"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single" w:sz="4" w:space="0" w:color="000000"/>
              <w:left w:val="single" w:sz="4" w:space="0" w:color="000000"/>
              <w:bottom w:val="single" w:sz="4" w:space="0" w:color="000000"/>
              <w:right w:val="nil"/>
            </w:tcBorders>
            <w:shd w:val="clear" w:color="auto" w:fill="FFFFFF"/>
          </w:tcPr>
          <w:p w14:paraId="16B280C0"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590209A2"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7,675,200</w:t>
            </w:r>
          </w:p>
        </w:tc>
        <w:tc>
          <w:tcPr>
            <w:tcW w:w="93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3E387B6C"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4" w:space="0" w:color="000000"/>
              <w:left w:val="nil"/>
              <w:bottom w:val="single" w:sz="4" w:space="0" w:color="000000"/>
              <w:right w:val="single" w:sz="8" w:space="0" w:color="000000"/>
            </w:tcBorders>
            <w:shd w:val="clear" w:color="auto" w:fill="auto"/>
            <w:vAlign w:val="center"/>
          </w:tcPr>
          <w:p w14:paraId="17E3A379"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7,675,200</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13030624"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94"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760F5AD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461D8436"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7565E0CF"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-7,675,200</w:t>
            </w:r>
          </w:p>
        </w:tc>
      </w:tr>
      <w:tr w:rsidR="00DC69E1" w:rsidRPr="00E266CD" w14:paraId="6370C3CB" w14:textId="77777777" w:rsidTr="00DC69E1">
        <w:trPr>
          <w:trHeight w:val="637"/>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37A7185"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1.3.5</w:t>
            </w:r>
          </w:p>
        </w:tc>
        <w:tc>
          <w:tcPr>
            <w:tcW w:w="4109" w:type="dxa"/>
            <w:tcBorders>
              <w:top w:val="nil"/>
              <w:left w:val="nil"/>
              <w:bottom w:val="single" w:sz="4" w:space="0" w:color="000000"/>
              <w:right w:val="nil"/>
            </w:tcBorders>
            <w:shd w:val="clear" w:color="auto" w:fill="DDEBF7"/>
          </w:tcPr>
          <w:p w14:paraId="0B61B251" w14:textId="7A21233A"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1.3.5 Hartimi i treguesve të performancës mbi kërkimin shkencor</w:t>
            </w:r>
            <w:r w:rsidR="00A46CD4">
              <w:rPr>
                <w:rFonts w:ascii="Garamond" w:eastAsia="Times New Roman" w:hAnsi="Garamond"/>
                <w:color w:val="000000"/>
                <w:sz w:val="10"/>
                <w:szCs w:val="10"/>
              </w:rPr>
              <w:t>,</w:t>
            </w:r>
            <w:r w:rsidRPr="00E266CD">
              <w:rPr>
                <w:rFonts w:ascii="Garamond" w:eastAsia="Times New Roman" w:hAnsi="Garamond"/>
                <w:color w:val="000000"/>
                <w:sz w:val="10"/>
                <w:szCs w:val="10"/>
              </w:rPr>
              <w:t xml:space="preserve"> me qëllim krahasimin në nivel evropian dhe ndërkombëtar</w:t>
            </w:r>
          </w:p>
        </w:tc>
        <w:tc>
          <w:tcPr>
            <w:tcW w:w="1267" w:type="dxa"/>
            <w:tcBorders>
              <w:top w:val="nil"/>
              <w:left w:val="single" w:sz="8" w:space="0" w:color="000000"/>
              <w:bottom w:val="single" w:sz="8" w:space="0" w:color="000000"/>
              <w:right w:val="single" w:sz="8" w:space="0" w:color="000000"/>
            </w:tcBorders>
            <w:shd w:val="clear" w:color="auto" w:fill="auto"/>
            <w:vAlign w:val="center"/>
          </w:tcPr>
          <w:p w14:paraId="3E028D57" w14:textId="77777777" w:rsidR="00DC69E1" w:rsidRPr="00E266CD" w:rsidRDefault="00DC69E1" w:rsidP="00695B0D">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tcBorders>
              <w:top w:val="nil"/>
              <w:left w:val="single" w:sz="4" w:space="0" w:color="000000"/>
              <w:bottom w:val="single" w:sz="4" w:space="0" w:color="000000"/>
              <w:right w:val="single" w:sz="4" w:space="0" w:color="000000"/>
            </w:tcBorders>
            <w:shd w:val="clear" w:color="auto" w:fill="auto"/>
            <w:vAlign w:val="center"/>
          </w:tcPr>
          <w:p w14:paraId="02F51A20" w14:textId="77777777" w:rsidR="00DC69E1" w:rsidRPr="00E266CD" w:rsidRDefault="00DC69E1" w:rsidP="00695B0D">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MAS, IAL</w:t>
            </w:r>
          </w:p>
        </w:tc>
        <w:tc>
          <w:tcPr>
            <w:tcW w:w="593" w:type="dxa"/>
            <w:tcBorders>
              <w:top w:val="nil"/>
              <w:left w:val="nil"/>
              <w:bottom w:val="single" w:sz="4" w:space="0" w:color="000000"/>
              <w:right w:val="nil"/>
            </w:tcBorders>
            <w:shd w:val="clear" w:color="auto" w:fill="FFFFFF"/>
          </w:tcPr>
          <w:p w14:paraId="0FF7F719"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872" w:type="dxa"/>
            <w:tcBorders>
              <w:top w:val="nil"/>
              <w:left w:val="single" w:sz="4" w:space="0" w:color="000000"/>
              <w:bottom w:val="single" w:sz="4" w:space="0" w:color="000000"/>
              <w:right w:val="nil"/>
            </w:tcBorders>
            <w:shd w:val="clear" w:color="auto" w:fill="FFFFFF"/>
          </w:tcPr>
          <w:p w14:paraId="36CF39C6" w14:textId="77777777" w:rsidR="00DC69E1" w:rsidRPr="00E266CD" w:rsidRDefault="00DC69E1" w:rsidP="00695B0D">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46E83A8B"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3,339,434</w:t>
            </w:r>
          </w:p>
        </w:tc>
        <w:tc>
          <w:tcPr>
            <w:tcW w:w="936" w:type="dxa"/>
            <w:tcBorders>
              <w:top w:val="nil"/>
              <w:left w:val="single" w:sz="8" w:space="0" w:color="000000"/>
              <w:bottom w:val="single" w:sz="4" w:space="0" w:color="000000"/>
              <w:right w:val="single" w:sz="4" w:space="0" w:color="000000"/>
            </w:tcBorders>
            <w:shd w:val="clear" w:color="auto" w:fill="auto"/>
            <w:vAlign w:val="center"/>
          </w:tcPr>
          <w:p w14:paraId="561AC9A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5CB5E4E0"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3,339,434</w:t>
            </w:r>
          </w:p>
        </w:tc>
        <w:tc>
          <w:tcPr>
            <w:tcW w:w="720" w:type="dxa"/>
            <w:tcBorders>
              <w:top w:val="nil"/>
              <w:left w:val="nil"/>
              <w:bottom w:val="single" w:sz="4" w:space="0" w:color="000000"/>
              <w:right w:val="single" w:sz="4" w:space="0" w:color="000000"/>
            </w:tcBorders>
            <w:shd w:val="clear" w:color="auto" w:fill="auto"/>
            <w:vAlign w:val="center"/>
          </w:tcPr>
          <w:p w14:paraId="491A58D7"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683,279</w:t>
            </w:r>
          </w:p>
        </w:tc>
        <w:tc>
          <w:tcPr>
            <w:tcW w:w="894" w:type="dxa"/>
            <w:gridSpan w:val="2"/>
            <w:tcBorders>
              <w:top w:val="nil"/>
              <w:left w:val="single" w:sz="4" w:space="0" w:color="000000"/>
              <w:bottom w:val="single" w:sz="4" w:space="0" w:color="000000"/>
              <w:right w:val="single" w:sz="8" w:space="0" w:color="000000"/>
            </w:tcBorders>
            <w:shd w:val="clear" w:color="auto" w:fill="auto"/>
            <w:vAlign w:val="center"/>
          </w:tcPr>
          <w:p w14:paraId="12CF066D"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00" w:type="dxa"/>
            <w:tcBorders>
              <w:top w:val="single" w:sz="8" w:space="0" w:color="000000"/>
              <w:left w:val="nil"/>
              <w:bottom w:val="single" w:sz="4" w:space="0" w:color="000000"/>
              <w:right w:val="nil"/>
            </w:tcBorders>
            <w:vAlign w:val="center"/>
          </w:tcPr>
          <w:p w14:paraId="2B3640AA"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10" w:type="dxa"/>
            <w:tcBorders>
              <w:top w:val="single" w:sz="8" w:space="0" w:color="000000"/>
              <w:left w:val="nil"/>
              <w:bottom w:val="single" w:sz="4" w:space="0" w:color="000000"/>
              <w:right w:val="single" w:sz="8" w:space="0" w:color="000000"/>
            </w:tcBorders>
            <w:shd w:val="clear" w:color="auto" w:fill="auto"/>
            <w:vAlign w:val="center"/>
          </w:tcPr>
          <w:p w14:paraId="5B5B9505" w14:textId="77777777" w:rsidR="00DC69E1" w:rsidRPr="00E266CD" w:rsidRDefault="00DC69E1" w:rsidP="00695B0D">
            <w:pPr>
              <w:spacing w:after="0" w:line="240" w:lineRule="auto"/>
              <w:jc w:val="center"/>
              <w:rPr>
                <w:rFonts w:ascii="Garamond" w:hAnsi="Garamond"/>
                <w:color w:val="000000"/>
                <w:sz w:val="10"/>
                <w:szCs w:val="10"/>
              </w:rPr>
            </w:pPr>
            <w:r w:rsidRPr="00E266CD">
              <w:rPr>
                <w:rFonts w:ascii="Garamond" w:hAnsi="Garamond"/>
                <w:color w:val="000000"/>
                <w:sz w:val="10"/>
                <w:szCs w:val="10"/>
              </w:rPr>
              <w:t>-2,656,155</w:t>
            </w:r>
          </w:p>
        </w:tc>
      </w:tr>
      <w:tr w:rsidR="00DC69E1" w:rsidRPr="00E266CD" w14:paraId="1F3907B2" w14:textId="77777777" w:rsidTr="00DC69E1">
        <w:trPr>
          <w:trHeight w:val="240"/>
          <w:jc w:val="center"/>
        </w:trPr>
        <w:tc>
          <w:tcPr>
            <w:tcW w:w="698" w:type="dxa"/>
            <w:tcBorders>
              <w:top w:val="nil"/>
              <w:left w:val="single" w:sz="8" w:space="0" w:color="000000"/>
              <w:bottom w:val="nil"/>
              <w:right w:val="single" w:sz="4" w:space="0" w:color="000000"/>
            </w:tcBorders>
            <w:shd w:val="clear" w:color="auto" w:fill="D9D9D9"/>
            <w:vAlign w:val="center"/>
          </w:tcPr>
          <w:p w14:paraId="781440E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3C0B9971" w14:textId="36A709DB" w:rsidR="00DC69E1" w:rsidRPr="00E266CD" w:rsidRDefault="00DC69E1" w:rsidP="00695B0D">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A46CD4">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A46CD4">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A46CD4">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1.3</w:t>
            </w:r>
          </w:p>
        </w:tc>
        <w:tc>
          <w:tcPr>
            <w:tcW w:w="1267" w:type="dxa"/>
            <w:tcBorders>
              <w:top w:val="nil"/>
              <w:left w:val="nil"/>
              <w:bottom w:val="nil"/>
              <w:right w:val="single" w:sz="4" w:space="0" w:color="000000"/>
            </w:tcBorders>
            <w:shd w:val="clear" w:color="auto" w:fill="D9D9D9"/>
            <w:vAlign w:val="center"/>
          </w:tcPr>
          <w:p w14:paraId="240A59B2"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tcBorders>
              <w:top w:val="nil"/>
              <w:left w:val="nil"/>
              <w:bottom w:val="nil"/>
              <w:right w:val="single" w:sz="4" w:space="0" w:color="000000"/>
            </w:tcBorders>
            <w:shd w:val="clear" w:color="auto" w:fill="D9D9D9"/>
            <w:vAlign w:val="center"/>
          </w:tcPr>
          <w:p w14:paraId="3C1FCCBE"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2AFE6F0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7DF5A5B2"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single" w:sz="4" w:space="0" w:color="000000"/>
              <w:right w:val="single" w:sz="4" w:space="0" w:color="000000"/>
            </w:tcBorders>
            <w:shd w:val="clear" w:color="auto" w:fill="D9D9D9"/>
            <w:vAlign w:val="center"/>
          </w:tcPr>
          <w:p w14:paraId="53E2952C"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95,604,687</w:t>
            </w:r>
          </w:p>
        </w:tc>
        <w:tc>
          <w:tcPr>
            <w:tcW w:w="936" w:type="dxa"/>
            <w:tcBorders>
              <w:top w:val="nil"/>
              <w:left w:val="nil"/>
              <w:bottom w:val="single" w:sz="4" w:space="0" w:color="000000"/>
              <w:right w:val="single" w:sz="4" w:space="0" w:color="000000"/>
            </w:tcBorders>
            <w:shd w:val="clear" w:color="auto" w:fill="D9D9D9"/>
            <w:vAlign w:val="center"/>
          </w:tcPr>
          <w:p w14:paraId="3681AE66"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16,150,000</w:t>
            </w:r>
          </w:p>
        </w:tc>
        <w:tc>
          <w:tcPr>
            <w:tcW w:w="1082" w:type="dxa"/>
            <w:tcBorders>
              <w:top w:val="nil"/>
              <w:left w:val="nil"/>
              <w:bottom w:val="single" w:sz="4" w:space="0" w:color="000000"/>
              <w:right w:val="single" w:sz="4" w:space="0" w:color="000000"/>
            </w:tcBorders>
            <w:shd w:val="clear" w:color="auto" w:fill="D9D9D9"/>
            <w:vAlign w:val="center"/>
          </w:tcPr>
          <w:p w14:paraId="280C4ABC"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111,754,687</w:t>
            </w:r>
          </w:p>
        </w:tc>
        <w:tc>
          <w:tcPr>
            <w:tcW w:w="720" w:type="dxa"/>
            <w:tcBorders>
              <w:top w:val="nil"/>
              <w:left w:val="nil"/>
              <w:bottom w:val="single" w:sz="4" w:space="0" w:color="000000"/>
              <w:right w:val="single" w:sz="4" w:space="0" w:color="000000"/>
            </w:tcBorders>
            <w:shd w:val="clear" w:color="auto" w:fill="D9D9D9"/>
            <w:vAlign w:val="center"/>
          </w:tcPr>
          <w:p w14:paraId="7A9BD34D"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85,273,326</w:t>
            </w:r>
          </w:p>
        </w:tc>
        <w:tc>
          <w:tcPr>
            <w:tcW w:w="894" w:type="dxa"/>
            <w:gridSpan w:val="2"/>
            <w:tcBorders>
              <w:top w:val="nil"/>
              <w:left w:val="nil"/>
              <w:bottom w:val="single" w:sz="4" w:space="0" w:color="000000"/>
              <w:right w:val="single" w:sz="4" w:space="0" w:color="000000"/>
            </w:tcBorders>
            <w:shd w:val="clear" w:color="auto" w:fill="D9D9D9"/>
            <w:vAlign w:val="center"/>
          </w:tcPr>
          <w:p w14:paraId="47063C57"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1,750,000</w:t>
            </w:r>
          </w:p>
        </w:tc>
        <w:tc>
          <w:tcPr>
            <w:tcW w:w="900" w:type="dxa"/>
            <w:tcBorders>
              <w:top w:val="nil"/>
              <w:left w:val="nil"/>
              <w:bottom w:val="single" w:sz="4" w:space="0" w:color="000000"/>
              <w:right w:val="nil"/>
            </w:tcBorders>
            <w:shd w:val="clear" w:color="auto" w:fill="D9D9D9"/>
            <w:vAlign w:val="center"/>
          </w:tcPr>
          <w:p w14:paraId="5545A9C0"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910" w:type="dxa"/>
            <w:tcBorders>
              <w:top w:val="nil"/>
              <w:left w:val="nil"/>
              <w:bottom w:val="single" w:sz="4" w:space="0" w:color="000000"/>
              <w:right w:val="single" w:sz="4" w:space="0" w:color="000000"/>
            </w:tcBorders>
            <w:shd w:val="clear" w:color="auto" w:fill="D9D9D9"/>
            <w:vAlign w:val="center"/>
          </w:tcPr>
          <w:p w14:paraId="6C8E03EA"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-24,731,361</w:t>
            </w:r>
          </w:p>
        </w:tc>
      </w:tr>
      <w:tr w:rsidR="00DC69E1" w:rsidRPr="00E266CD" w14:paraId="3FC54CA1" w14:textId="77777777" w:rsidTr="00DC69E1">
        <w:trPr>
          <w:trHeight w:val="240"/>
          <w:jc w:val="center"/>
        </w:trPr>
        <w:tc>
          <w:tcPr>
            <w:tcW w:w="698" w:type="dxa"/>
            <w:tcBorders>
              <w:top w:val="nil"/>
              <w:left w:val="single" w:sz="8" w:space="0" w:color="000000"/>
              <w:bottom w:val="nil"/>
              <w:right w:val="single" w:sz="4" w:space="0" w:color="000000"/>
            </w:tcBorders>
            <w:shd w:val="clear" w:color="auto" w:fill="D9D9D9"/>
            <w:vAlign w:val="center"/>
          </w:tcPr>
          <w:p w14:paraId="69E8E97D"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27525899" w14:textId="56B95CF2" w:rsidR="00DC69E1" w:rsidRPr="00E266CD" w:rsidRDefault="00DC69E1" w:rsidP="00695B0D">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A46CD4">
              <w:rPr>
                <w:rFonts w:ascii="Garamond" w:eastAsia="Times New Roman" w:hAnsi="Garamond"/>
                <w:b/>
                <w:color w:val="FF0000"/>
                <w:sz w:val="10"/>
                <w:szCs w:val="10"/>
              </w:rPr>
              <w:t>ja</w:t>
            </w:r>
            <w:r w:rsidRPr="00E266CD">
              <w:rPr>
                <w:rFonts w:ascii="Garamond" w:eastAsia="Times New Roman" w:hAnsi="Garamond"/>
                <w:b/>
                <w:color w:val="FF0000"/>
                <w:sz w:val="10"/>
                <w:szCs w:val="10"/>
              </w:rPr>
              <w:t xml:space="preserve"> totale </w:t>
            </w:r>
            <w:r w:rsidR="00A46CD4">
              <w:rPr>
                <w:rFonts w:ascii="Garamond" w:eastAsia="Times New Roman" w:hAnsi="Garamond"/>
                <w:b/>
                <w:color w:val="FF0000"/>
                <w:sz w:val="10"/>
                <w:szCs w:val="10"/>
              </w:rPr>
              <w:t>e q</w:t>
            </w:r>
            <w:r w:rsidRPr="00E266CD">
              <w:rPr>
                <w:rFonts w:ascii="Garamond" w:eastAsia="Times New Roman" w:hAnsi="Garamond"/>
                <w:b/>
                <w:color w:val="FF0000"/>
                <w:sz w:val="10"/>
                <w:szCs w:val="10"/>
              </w:rPr>
              <w:t>ëllimi</w:t>
            </w:r>
            <w:r w:rsidR="00A46CD4">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w:t>
            </w:r>
            <w:r w:rsidR="00A46CD4">
              <w:rPr>
                <w:rFonts w:ascii="Garamond" w:eastAsia="Times New Roman" w:hAnsi="Garamond"/>
                <w:b/>
                <w:color w:val="FF0000"/>
                <w:sz w:val="10"/>
                <w:szCs w:val="10"/>
              </w:rPr>
              <w:t>të</w:t>
            </w:r>
            <w:r w:rsidRPr="00E266CD">
              <w:rPr>
                <w:rFonts w:ascii="Garamond" w:eastAsia="Times New Roman" w:hAnsi="Garamond"/>
                <w:b/>
                <w:color w:val="FF0000"/>
                <w:sz w:val="10"/>
                <w:szCs w:val="10"/>
              </w:rPr>
              <w:t xml:space="preserve"> </w:t>
            </w:r>
            <w:r w:rsidR="00A46CD4">
              <w:rPr>
                <w:rFonts w:ascii="Garamond" w:eastAsia="Times New Roman" w:hAnsi="Garamond"/>
                <w:b/>
                <w:color w:val="FF0000"/>
                <w:sz w:val="10"/>
                <w:szCs w:val="10"/>
              </w:rPr>
              <w:t>p</w:t>
            </w:r>
            <w:r w:rsidRPr="00E266CD">
              <w:rPr>
                <w:rFonts w:ascii="Garamond" w:eastAsia="Times New Roman" w:hAnsi="Garamond"/>
                <w:b/>
                <w:color w:val="FF0000"/>
                <w:sz w:val="10"/>
                <w:szCs w:val="10"/>
              </w:rPr>
              <w:t>olitikës I (objektiva specifik</w:t>
            </w:r>
            <w:r w:rsidR="00EB1BF5">
              <w:rPr>
                <w:rFonts w:ascii="Garamond" w:eastAsia="Times New Roman" w:hAnsi="Garamond"/>
                <w:b/>
                <w:color w:val="FF0000"/>
                <w:sz w:val="10"/>
                <w:szCs w:val="10"/>
              </w:rPr>
              <w:t>ë</w:t>
            </w:r>
            <w:r w:rsidRPr="00E266CD">
              <w:rPr>
                <w:rFonts w:ascii="Garamond" w:eastAsia="Times New Roman" w:hAnsi="Garamond"/>
                <w:b/>
                <w:color w:val="FF0000"/>
                <w:sz w:val="10"/>
                <w:szCs w:val="10"/>
              </w:rPr>
              <w:t xml:space="preserve"> 1.1+1.2+1.3</w:t>
            </w:r>
            <w:r w:rsidR="00A46CD4">
              <w:rPr>
                <w:rFonts w:ascii="Garamond" w:eastAsia="Times New Roman" w:hAnsi="Garamond"/>
                <w:b/>
                <w:color w:val="FF0000"/>
                <w:sz w:val="10"/>
                <w:szCs w:val="10"/>
              </w:rPr>
              <w:t>)</w:t>
            </w:r>
          </w:p>
        </w:tc>
        <w:tc>
          <w:tcPr>
            <w:tcW w:w="1267" w:type="dxa"/>
            <w:tcBorders>
              <w:top w:val="nil"/>
              <w:left w:val="nil"/>
              <w:bottom w:val="nil"/>
              <w:right w:val="single" w:sz="4" w:space="0" w:color="000000"/>
            </w:tcBorders>
            <w:shd w:val="clear" w:color="auto" w:fill="D9D9D9"/>
            <w:vAlign w:val="center"/>
          </w:tcPr>
          <w:p w14:paraId="1D1DA68C"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tcBorders>
              <w:top w:val="nil"/>
              <w:left w:val="nil"/>
              <w:bottom w:val="nil"/>
              <w:right w:val="single" w:sz="4" w:space="0" w:color="000000"/>
            </w:tcBorders>
            <w:shd w:val="clear" w:color="auto" w:fill="D9D9D9"/>
            <w:vAlign w:val="center"/>
          </w:tcPr>
          <w:p w14:paraId="158B0ED8"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12C540F9"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345A5564" w14:textId="77777777" w:rsidR="00DC69E1" w:rsidRPr="00E266CD" w:rsidRDefault="00DC69E1" w:rsidP="00695B0D">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single" w:sz="4" w:space="0" w:color="000000"/>
              <w:right w:val="single" w:sz="4" w:space="0" w:color="000000"/>
            </w:tcBorders>
            <w:shd w:val="clear" w:color="auto" w:fill="D9D9D9"/>
            <w:vAlign w:val="center"/>
          </w:tcPr>
          <w:p w14:paraId="088ABB5E"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5,056,243,658</w:t>
            </w:r>
          </w:p>
        </w:tc>
        <w:tc>
          <w:tcPr>
            <w:tcW w:w="936" w:type="dxa"/>
            <w:tcBorders>
              <w:top w:val="nil"/>
              <w:left w:val="nil"/>
              <w:bottom w:val="single" w:sz="4" w:space="0" w:color="000000"/>
              <w:right w:val="single" w:sz="4" w:space="0" w:color="000000"/>
            </w:tcBorders>
            <w:shd w:val="clear" w:color="auto" w:fill="D9D9D9"/>
            <w:vAlign w:val="center"/>
          </w:tcPr>
          <w:p w14:paraId="4D42B70D"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16,619,675,000</w:t>
            </w:r>
          </w:p>
        </w:tc>
        <w:tc>
          <w:tcPr>
            <w:tcW w:w="1082" w:type="dxa"/>
            <w:tcBorders>
              <w:top w:val="nil"/>
              <w:left w:val="nil"/>
              <w:bottom w:val="single" w:sz="4" w:space="0" w:color="000000"/>
              <w:right w:val="single" w:sz="4" w:space="0" w:color="000000"/>
            </w:tcBorders>
            <w:shd w:val="clear" w:color="auto" w:fill="D9D9D9"/>
            <w:vAlign w:val="center"/>
          </w:tcPr>
          <w:p w14:paraId="13754684"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21,675,918,658</w:t>
            </w:r>
          </w:p>
        </w:tc>
        <w:tc>
          <w:tcPr>
            <w:tcW w:w="720" w:type="dxa"/>
            <w:tcBorders>
              <w:top w:val="nil"/>
              <w:left w:val="nil"/>
              <w:bottom w:val="single" w:sz="4" w:space="0" w:color="000000"/>
              <w:right w:val="single" w:sz="4" w:space="0" w:color="000000"/>
            </w:tcBorders>
            <w:shd w:val="clear" w:color="auto" w:fill="D9D9D9"/>
            <w:vAlign w:val="center"/>
          </w:tcPr>
          <w:p w14:paraId="151EF2CC"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7,832,871,811</w:t>
            </w:r>
          </w:p>
        </w:tc>
        <w:tc>
          <w:tcPr>
            <w:tcW w:w="894" w:type="dxa"/>
            <w:gridSpan w:val="2"/>
            <w:tcBorders>
              <w:top w:val="nil"/>
              <w:left w:val="nil"/>
              <w:bottom w:val="single" w:sz="4" w:space="0" w:color="000000"/>
              <w:right w:val="single" w:sz="4" w:space="0" w:color="000000"/>
            </w:tcBorders>
            <w:shd w:val="clear" w:color="auto" w:fill="D9D9D9"/>
            <w:vAlign w:val="center"/>
          </w:tcPr>
          <w:p w14:paraId="5F554277"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2,867,650,000</w:t>
            </w:r>
          </w:p>
        </w:tc>
        <w:tc>
          <w:tcPr>
            <w:tcW w:w="900" w:type="dxa"/>
            <w:tcBorders>
              <w:top w:val="nil"/>
              <w:left w:val="nil"/>
              <w:bottom w:val="single" w:sz="4" w:space="0" w:color="000000"/>
              <w:right w:val="nil"/>
            </w:tcBorders>
            <w:shd w:val="clear" w:color="auto" w:fill="D9D9D9"/>
            <w:vAlign w:val="center"/>
          </w:tcPr>
          <w:p w14:paraId="64E3BE92"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5,940,000,000</w:t>
            </w:r>
          </w:p>
        </w:tc>
        <w:tc>
          <w:tcPr>
            <w:tcW w:w="910" w:type="dxa"/>
            <w:tcBorders>
              <w:top w:val="nil"/>
              <w:left w:val="nil"/>
              <w:bottom w:val="single" w:sz="4" w:space="0" w:color="000000"/>
              <w:right w:val="single" w:sz="4" w:space="0" w:color="000000"/>
            </w:tcBorders>
            <w:shd w:val="clear" w:color="auto" w:fill="D9D9D9"/>
            <w:vAlign w:val="center"/>
          </w:tcPr>
          <w:p w14:paraId="1012E419" w14:textId="77777777" w:rsidR="00DC69E1" w:rsidRPr="00E266CD" w:rsidRDefault="00DC69E1" w:rsidP="00695B0D">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-5,035,396,847</w:t>
            </w:r>
          </w:p>
        </w:tc>
      </w:tr>
    </w:tbl>
    <w:p w14:paraId="0F198326" w14:textId="77777777" w:rsidR="00DC69E1" w:rsidRPr="00E266CD" w:rsidRDefault="00DC69E1" w:rsidP="00175D90">
      <w:pPr>
        <w:pStyle w:val="TEKSTIIII"/>
      </w:pPr>
    </w:p>
    <w:p w14:paraId="60C9074B" w14:textId="77777777" w:rsidR="00DC69E1" w:rsidRPr="00E266CD" w:rsidRDefault="00DC69E1" w:rsidP="00175D90">
      <w:pPr>
        <w:pStyle w:val="TEKSTIIII"/>
      </w:pPr>
    </w:p>
    <w:p w14:paraId="1B29B4D2" w14:textId="77777777" w:rsidR="00DC69E1" w:rsidRPr="00E266CD" w:rsidRDefault="00DC69E1" w:rsidP="00175D90">
      <w:pPr>
        <w:pStyle w:val="TEKSTIIII"/>
      </w:pPr>
    </w:p>
    <w:p w14:paraId="2A0A9756" w14:textId="77777777" w:rsidR="00DC69E1" w:rsidRPr="00E266CD" w:rsidRDefault="00DC69E1" w:rsidP="00175D90">
      <w:pPr>
        <w:pStyle w:val="TEKSTIIII"/>
      </w:pPr>
    </w:p>
    <w:p w14:paraId="735C76CF" w14:textId="77777777" w:rsidR="00DC69E1" w:rsidRPr="00E266CD" w:rsidRDefault="00DC69E1" w:rsidP="00175D90">
      <w:pPr>
        <w:pStyle w:val="TEKSTIIII"/>
      </w:pPr>
    </w:p>
    <w:p w14:paraId="3D46E8B9" w14:textId="77777777" w:rsidR="00DC69E1" w:rsidRPr="00E266CD" w:rsidRDefault="00DC69E1" w:rsidP="00175D90">
      <w:pPr>
        <w:pStyle w:val="TEKSTIIII"/>
      </w:pPr>
    </w:p>
    <w:p w14:paraId="645ACF0E" w14:textId="77777777" w:rsidR="00DC69E1" w:rsidRPr="00E266CD" w:rsidRDefault="00DC69E1" w:rsidP="00175D90">
      <w:pPr>
        <w:pStyle w:val="TEKSTIIII"/>
      </w:pPr>
    </w:p>
    <w:p w14:paraId="0AC641BA" w14:textId="77777777" w:rsidR="00DC69E1" w:rsidRPr="00E266CD" w:rsidRDefault="00DC69E1" w:rsidP="00175D90">
      <w:pPr>
        <w:pStyle w:val="TEKSTIIII"/>
      </w:pPr>
    </w:p>
    <w:tbl>
      <w:tblPr>
        <w:tblStyle w:val="5"/>
        <w:tblW w:w="15730" w:type="dxa"/>
        <w:jc w:val="center"/>
        <w:tblLayout w:type="fixed"/>
        <w:tblLook w:val="0400" w:firstRow="0" w:lastRow="0" w:firstColumn="0" w:lastColumn="0" w:noHBand="0" w:noVBand="1"/>
      </w:tblPr>
      <w:tblGrid>
        <w:gridCol w:w="698"/>
        <w:gridCol w:w="4109"/>
        <w:gridCol w:w="436"/>
        <w:gridCol w:w="831"/>
        <w:gridCol w:w="1006"/>
        <w:gridCol w:w="538"/>
        <w:gridCol w:w="593"/>
        <w:gridCol w:w="872"/>
        <w:gridCol w:w="1196"/>
        <w:gridCol w:w="936"/>
        <w:gridCol w:w="1082"/>
        <w:gridCol w:w="876"/>
        <w:gridCol w:w="817"/>
        <w:gridCol w:w="851"/>
        <w:gridCol w:w="889"/>
      </w:tblGrid>
      <w:tr w:rsidR="00DC69E1" w:rsidRPr="00E266CD" w14:paraId="7F9C5C74" w14:textId="77777777" w:rsidTr="00697028">
        <w:trPr>
          <w:trHeight w:val="539"/>
          <w:jc w:val="center"/>
        </w:trPr>
        <w:tc>
          <w:tcPr>
            <w:tcW w:w="698" w:type="dxa"/>
            <w:tcBorders>
              <w:top w:val="single" w:sz="4" w:space="0" w:color="auto"/>
              <w:left w:val="single" w:sz="4" w:space="0" w:color="auto"/>
              <w:bottom w:val="single" w:sz="4" w:space="0" w:color="auto"/>
              <w:right w:val="single" w:sz="4" w:space="0" w:color="auto"/>
            </w:tcBorders>
          </w:tcPr>
          <w:p w14:paraId="72D436C9"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15032"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5246C264" w14:textId="5E8A5755"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20"/>
                <w:szCs w:val="10"/>
              </w:rPr>
              <w:t xml:space="preserve">Qëllimi i </w:t>
            </w:r>
            <w:r w:rsidR="00A46CD4">
              <w:rPr>
                <w:rFonts w:ascii="Garamond" w:eastAsia="Times New Roman" w:hAnsi="Garamond"/>
                <w:b/>
                <w:color w:val="FF0000"/>
                <w:sz w:val="20"/>
                <w:szCs w:val="10"/>
              </w:rPr>
              <w:t>p</w:t>
            </w:r>
            <w:r w:rsidRPr="00E266CD">
              <w:rPr>
                <w:rFonts w:ascii="Garamond" w:eastAsia="Times New Roman" w:hAnsi="Garamond"/>
                <w:b/>
                <w:color w:val="FF0000"/>
                <w:sz w:val="20"/>
                <w:szCs w:val="10"/>
              </w:rPr>
              <w:t>olitikës II: Krijimi i një mjedisi që lehtëson dhe inkurajon mekanizmat e ndërveprimit dhe transferimit të teknologjive për bashkëpunim midis komunitetit të kërkimit, ekonomisë,</w:t>
            </w:r>
            <w:r w:rsidR="007715D0" w:rsidRPr="00E266CD">
              <w:rPr>
                <w:rFonts w:ascii="Garamond" w:eastAsia="Times New Roman" w:hAnsi="Garamond"/>
                <w:b/>
                <w:color w:val="FF0000"/>
                <w:sz w:val="20"/>
                <w:szCs w:val="10"/>
              </w:rPr>
              <w:t xml:space="preserve"> </w:t>
            </w:r>
            <w:r w:rsidRPr="00E266CD">
              <w:rPr>
                <w:rFonts w:ascii="Garamond" w:eastAsia="Times New Roman" w:hAnsi="Garamond"/>
                <w:b/>
                <w:color w:val="FF0000"/>
                <w:sz w:val="20"/>
                <w:szCs w:val="10"/>
              </w:rPr>
              <w:t>inovacionit dhe institucioneve publike</w:t>
            </w:r>
          </w:p>
        </w:tc>
      </w:tr>
      <w:tr w:rsidR="00DC69E1" w:rsidRPr="00E266CD" w14:paraId="389D2EC5" w14:textId="77777777" w:rsidTr="00697028">
        <w:trPr>
          <w:trHeight w:val="331"/>
          <w:jc w:val="center"/>
        </w:trPr>
        <w:tc>
          <w:tcPr>
            <w:tcW w:w="698" w:type="dxa"/>
            <w:vMerge w:val="restart"/>
            <w:tcBorders>
              <w:top w:val="single" w:sz="4" w:space="0" w:color="auto"/>
              <w:left w:val="single" w:sz="8" w:space="0" w:color="000000"/>
              <w:bottom w:val="single" w:sz="8" w:space="0" w:color="000000"/>
              <w:right w:val="single" w:sz="4" w:space="0" w:color="000000"/>
            </w:tcBorders>
            <w:shd w:val="clear" w:color="auto" w:fill="auto"/>
            <w:vAlign w:val="center"/>
          </w:tcPr>
          <w:p w14:paraId="2C93BE1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Nr.</w:t>
            </w:r>
          </w:p>
        </w:tc>
        <w:tc>
          <w:tcPr>
            <w:tcW w:w="4109" w:type="dxa"/>
            <w:vMerge w:val="restart"/>
            <w:tcBorders>
              <w:top w:val="single" w:sz="4" w:space="0" w:color="auto"/>
              <w:left w:val="single" w:sz="4" w:space="0" w:color="000000"/>
              <w:bottom w:val="single" w:sz="8" w:space="0" w:color="000000"/>
              <w:right w:val="single" w:sz="4" w:space="0" w:color="000000"/>
            </w:tcBorders>
            <w:shd w:val="clear" w:color="auto" w:fill="auto"/>
            <w:vAlign w:val="center"/>
          </w:tcPr>
          <w:p w14:paraId="3AF013DB"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Titulli</w:t>
            </w:r>
          </w:p>
        </w:tc>
        <w:tc>
          <w:tcPr>
            <w:tcW w:w="2811" w:type="dxa"/>
            <w:gridSpan w:val="4"/>
            <w:tcBorders>
              <w:top w:val="single" w:sz="4" w:space="0" w:color="auto"/>
              <w:left w:val="nil"/>
              <w:bottom w:val="single" w:sz="4" w:space="0" w:color="000000"/>
              <w:right w:val="single" w:sz="4" w:space="0" w:color="000000"/>
            </w:tcBorders>
            <w:shd w:val="clear" w:color="auto" w:fill="auto"/>
            <w:vAlign w:val="center"/>
          </w:tcPr>
          <w:p w14:paraId="27368570" w14:textId="708E90C0"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BC4813" w:rsidRPr="00E266CD">
              <w:rPr>
                <w:rFonts w:ascii="Garamond" w:eastAsia="Times New Roman" w:hAnsi="Garamond"/>
                <w:b/>
                <w:color w:val="000000"/>
                <w:sz w:val="10"/>
                <w:szCs w:val="10"/>
              </w:rPr>
              <w:t>përgjegjës</w:t>
            </w:r>
          </w:p>
        </w:tc>
        <w:tc>
          <w:tcPr>
            <w:tcW w:w="1465" w:type="dxa"/>
            <w:gridSpan w:val="2"/>
            <w:tcBorders>
              <w:top w:val="single" w:sz="4" w:space="0" w:color="auto"/>
              <w:left w:val="nil"/>
              <w:bottom w:val="single" w:sz="4" w:space="0" w:color="000000"/>
              <w:right w:val="single" w:sz="8" w:space="0" w:color="000000"/>
            </w:tcBorders>
            <w:shd w:val="clear" w:color="auto" w:fill="auto"/>
            <w:vAlign w:val="center"/>
          </w:tcPr>
          <w:p w14:paraId="71A9DB19" w14:textId="10216105"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Periudha e </w:t>
            </w:r>
            <w:r w:rsidR="00BC4813" w:rsidRPr="00E266CD">
              <w:rPr>
                <w:rFonts w:ascii="Garamond" w:eastAsia="Times New Roman" w:hAnsi="Garamond"/>
                <w:b/>
                <w:color w:val="000000"/>
                <w:sz w:val="10"/>
                <w:szCs w:val="10"/>
              </w:rPr>
              <w:t>zbatimit</w:t>
            </w:r>
          </w:p>
        </w:tc>
        <w:tc>
          <w:tcPr>
            <w:tcW w:w="3214" w:type="dxa"/>
            <w:gridSpan w:val="3"/>
            <w:tcBorders>
              <w:top w:val="single" w:sz="4" w:space="0" w:color="auto"/>
              <w:left w:val="nil"/>
              <w:bottom w:val="single" w:sz="8" w:space="0" w:color="000000"/>
              <w:right w:val="single" w:sz="8" w:space="0" w:color="000000"/>
            </w:tcBorders>
            <w:shd w:val="clear" w:color="auto" w:fill="auto"/>
            <w:vAlign w:val="center"/>
          </w:tcPr>
          <w:p w14:paraId="1C473DE1" w14:textId="04F5F881"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Kosto</w:t>
            </w:r>
            <w:r w:rsidR="00A46CD4">
              <w:rPr>
                <w:rFonts w:ascii="Garamond" w:eastAsia="Times New Roman" w:hAnsi="Garamond"/>
                <w:b/>
                <w:color w:val="000000"/>
                <w:sz w:val="10"/>
                <w:szCs w:val="10"/>
              </w:rPr>
              <w:t>ja</w:t>
            </w:r>
            <w:r w:rsidRPr="00E266CD">
              <w:rPr>
                <w:rFonts w:ascii="Garamond" w:eastAsia="Times New Roman" w:hAnsi="Garamond"/>
                <w:b/>
                <w:color w:val="000000"/>
                <w:sz w:val="10"/>
                <w:szCs w:val="10"/>
              </w:rPr>
              <w:t xml:space="preserve"> indikative</w:t>
            </w:r>
          </w:p>
        </w:tc>
        <w:tc>
          <w:tcPr>
            <w:tcW w:w="1693" w:type="dxa"/>
            <w:gridSpan w:val="2"/>
            <w:tcBorders>
              <w:top w:val="single" w:sz="4" w:space="0" w:color="auto"/>
              <w:left w:val="single" w:sz="8" w:space="0" w:color="000000"/>
              <w:bottom w:val="single" w:sz="8" w:space="0" w:color="000000"/>
              <w:right w:val="single" w:sz="8" w:space="0" w:color="000000"/>
            </w:tcBorders>
          </w:tcPr>
          <w:p w14:paraId="741D9483"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1740" w:type="dxa"/>
            <w:gridSpan w:val="2"/>
            <w:tcBorders>
              <w:top w:val="single" w:sz="4" w:space="0" w:color="auto"/>
              <w:left w:val="single" w:sz="8" w:space="0" w:color="000000"/>
              <w:bottom w:val="single" w:sz="8" w:space="0" w:color="000000"/>
              <w:right w:val="single" w:sz="8" w:space="0" w:color="000000"/>
            </w:tcBorders>
            <w:shd w:val="clear" w:color="auto" w:fill="auto"/>
            <w:vAlign w:val="center"/>
          </w:tcPr>
          <w:p w14:paraId="2DD75323"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r>
      <w:tr w:rsidR="00DC69E1" w:rsidRPr="00E266CD" w14:paraId="0358B59C" w14:textId="77777777" w:rsidTr="00697028">
        <w:trPr>
          <w:trHeight w:val="439"/>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0118193B"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148CA1DC"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gridSpan w:val="2"/>
            <w:vMerge w:val="restart"/>
            <w:tcBorders>
              <w:top w:val="nil"/>
              <w:left w:val="single" w:sz="4" w:space="0" w:color="000000"/>
              <w:bottom w:val="single" w:sz="8" w:space="0" w:color="000000"/>
              <w:right w:val="single" w:sz="4" w:space="0" w:color="000000"/>
            </w:tcBorders>
            <w:shd w:val="clear" w:color="auto" w:fill="auto"/>
            <w:vAlign w:val="center"/>
          </w:tcPr>
          <w:p w14:paraId="722A3BF4"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Institucioni drejtues</w:t>
            </w:r>
          </w:p>
        </w:tc>
        <w:tc>
          <w:tcPr>
            <w:tcW w:w="1544" w:type="dxa"/>
            <w:gridSpan w:val="2"/>
            <w:vMerge w:val="restart"/>
            <w:tcBorders>
              <w:top w:val="nil"/>
              <w:left w:val="single" w:sz="4" w:space="0" w:color="000000"/>
              <w:bottom w:val="single" w:sz="8" w:space="0" w:color="000000"/>
              <w:right w:val="single" w:sz="4" w:space="0" w:color="000000"/>
            </w:tcBorders>
            <w:shd w:val="clear" w:color="auto" w:fill="auto"/>
            <w:vAlign w:val="center"/>
          </w:tcPr>
          <w:p w14:paraId="594AEC79" w14:textId="48881EDA"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BC4813" w:rsidRPr="00E266CD">
              <w:rPr>
                <w:rFonts w:ascii="Garamond" w:eastAsia="Times New Roman" w:hAnsi="Garamond"/>
                <w:b/>
                <w:color w:val="000000"/>
                <w:sz w:val="10"/>
                <w:szCs w:val="10"/>
              </w:rPr>
              <w:t>pjesëmarrëse</w:t>
            </w:r>
          </w:p>
        </w:tc>
        <w:tc>
          <w:tcPr>
            <w:tcW w:w="593" w:type="dxa"/>
            <w:vMerge w:val="restart"/>
            <w:tcBorders>
              <w:top w:val="nil"/>
              <w:left w:val="single" w:sz="4" w:space="0" w:color="000000"/>
              <w:bottom w:val="single" w:sz="8" w:space="0" w:color="000000"/>
              <w:right w:val="single" w:sz="4" w:space="0" w:color="000000"/>
            </w:tcBorders>
            <w:shd w:val="clear" w:color="auto" w:fill="auto"/>
            <w:vAlign w:val="center"/>
          </w:tcPr>
          <w:p w14:paraId="2A5EC4A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fillimit</w:t>
            </w:r>
          </w:p>
        </w:tc>
        <w:tc>
          <w:tcPr>
            <w:tcW w:w="872" w:type="dxa"/>
            <w:vMerge w:val="restart"/>
            <w:tcBorders>
              <w:top w:val="nil"/>
              <w:left w:val="single" w:sz="4" w:space="0" w:color="000000"/>
              <w:bottom w:val="single" w:sz="8" w:space="0" w:color="000000"/>
              <w:right w:val="single" w:sz="8" w:space="0" w:color="000000"/>
            </w:tcBorders>
            <w:shd w:val="clear" w:color="auto" w:fill="auto"/>
            <w:vAlign w:val="center"/>
          </w:tcPr>
          <w:p w14:paraId="10AC488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mbarimit</w:t>
            </w:r>
          </w:p>
        </w:tc>
        <w:tc>
          <w:tcPr>
            <w:tcW w:w="3214" w:type="dxa"/>
            <w:gridSpan w:val="3"/>
            <w:tcBorders>
              <w:top w:val="nil"/>
              <w:left w:val="single" w:sz="4" w:space="0" w:color="000000"/>
              <w:bottom w:val="single" w:sz="8" w:space="0" w:color="000000"/>
              <w:right w:val="single" w:sz="8" w:space="0" w:color="000000"/>
            </w:tcBorders>
            <w:vAlign w:val="center"/>
          </w:tcPr>
          <w:p w14:paraId="3C679D3E" w14:textId="77777777" w:rsidR="00DC69E1" w:rsidRPr="00E266CD" w:rsidRDefault="00DC69E1" w:rsidP="00DC69E1">
            <w:pPr>
              <w:spacing w:after="0" w:line="240" w:lineRule="auto"/>
              <w:rPr>
                <w:rFonts w:ascii="Garamond" w:eastAsia="Times New Roman" w:hAnsi="Garamond"/>
                <w:b/>
                <w:color w:val="000000"/>
                <w:sz w:val="10"/>
                <w:szCs w:val="10"/>
              </w:rPr>
            </w:pPr>
          </w:p>
        </w:tc>
        <w:tc>
          <w:tcPr>
            <w:tcW w:w="1693" w:type="dxa"/>
            <w:gridSpan w:val="2"/>
            <w:tcBorders>
              <w:top w:val="single" w:sz="8" w:space="0" w:color="000000"/>
              <w:left w:val="nil"/>
              <w:bottom w:val="single" w:sz="8" w:space="0" w:color="000000"/>
              <w:right w:val="nil"/>
            </w:tcBorders>
          </w:tcPr>
          <w:p w14:paraId="6E081575"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851" w:type="dxa"/>
            <w:tcBorders>
              <w:top w:val="single" w:sz="8" w:space="0" w:color="000000"/>
              <w:left w:val="nil"/>
              <w:bottom w:val="single" w:sz="8" w:space="0" w:color="000000"/>
              <w:right w:val="nil"/>
            </w:tcBorders>
            <w:shd w:val="clear" w:color="auto" w:fill="auto"/>
            <w:vAlign w:val="center"/>
          </w:tcPr>
          <w:p w14:paraId="472C23B6"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889" w:type="dxa"/>
            <w:tcBorders>
              <w:top w:val="single" w:sz="8" w:space="0" w:color="000000"/>
              <w:left w:val="single" w:sz="8" w:space="0" w:color="000000"/>
              <w:bottom w:val="single" w:sz="8" w:space="0" w:color="000000"/>
              <w:right w:val="single" w:sz="8" w:space="0" w:color="000000"/>
            </w:tcBorders>
            <w:vAlign w:val="center"/>
          </w:tcPr>
          <w:p w14:paraId="0362E0DA" w14:textId="77777777" w:rsidR="00DC69E1" w:rsidRPr="00E266CD" w:rsidRDefault="00DC69E1" w:rsidP="00DC69E1">
            <w:pPr>
              <w:spacing w:after="0" w:line="240" w:lineRule="auto"/>
              <w:rPr>
                <w:rFonts w:ascii="Garamond" w:eastAsia="Times New Roman" w:hAnsi="Garamond"/>
                <w:b/>
                <w:color w:val="000000"/>
                <w:sz w:val="10"/>
                <w:szCs w:val="10"/>
              </w:rPr>
            </w:pPr>
          </w:p>
        </w:tc>
      </w:tr>
      <w:tr w:rsidR="00DC69E1" w:rsidRPr="00E266CD" w14:paraId="397F7CD0" w14:textId="77777777" w:rsidTr="00A46CD4">
        <w:trPr>
          <w:trHeight w:val="331"/>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7D3BCDCD"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7A533126"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gridSpan w:val="2"/>
            <w:vMerge/>
            <w:tcBorders>
              <w:top w:val="nil"/>
              <w:left w:val="single" w:sz="4" w:space="0" w:color="000000"/>
              <w:bottom w:val="single" w:sz="8" w:space="0" w:color="000000"/>
              <w:right w:val="single" w:sz="4" w:space="0" w:color="000000"/>
            </w:tcBorders>
            <w:shd w:val="clear" w:color="auto" w:fill="auto"/>
            <w:vAlign w:val="center"/>
          </w:tcPr>
          <w:p w14:paraId="64916C6C"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544" w:type="dxa"/>
            <w:gridSpan w:val="2"/>
            <w:vMerge/>
            <w:tcBorders>
              <w:top w:val="nil"/>
              <w:left w:val="single" w:sz="4" w:space="0" w:color="000000"/>
              <w:bottom w:val="single" w:sz="8" w:space="0" w:color="000000"/>
              <w:right w:val="single" w:sz="4" w:space="0" w:color="000000"/>
            </w:tcBorders>
            <w:shd w:val="clear" w:color="auto" w:fill="auto"/>
            <w:vAlign w:val="center"/>
          </w:tcPr>
          <w:p w14:paraId="39F9618C"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593" w:type="dxa"/>
            <w:vMerge/>
            <w:tcBorders>
              <w:top w:val="nil"/>
              <w:left w:val="single" w:sz="4" w:space="0" w:color="000000"/>
              <w:bottom w:val="single" w:sz="8" w:space="0" w:color="000000"/>
              <w:right w:val="single" w:sz="4" w:space="0" w:color="000000"/>
            </w:tcBorders>
            <w:shd w:val="clear" w:color="auto" w:fill="auto"/>
            <w:vAlign w:val="center"/>
          </w:tcPr>
          <w:p w14:paraId="2F200A6F"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872" w:type="dxa"/>
            <w:vMerge/>
            <w:tcBorders>
              <w:top w:val="nil"/>
              <w:left w:val="single" w:sz="4" w:space="0" w:color="000000"/>
              <w:bottom w:val="single" w:sz="8" w:space="0" w:color="000000"/>
              <w:right w:val="single" w:sz="8" w:space="0" w:color="000000"/>
            </w:tcBorders>
            <w:shd w:val="clear" w:color="auto" w:fill="auto"/>
            <w:vAlign w:val="center"/>
          </w:tcPr>
          <w:p w14:paraId="7B3CFE3E"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196" w:type="dxa"/>
            <w:tcBorders>
              <w:top w:val="nil"/>
              <w:left w:val="nil"/>
              <w:bottom w:val="single" w:sz="8" w:space="0" w:color="000000"/>
              <w:right w:val="nil"/>
            </w:tcBorders>
            <w:shd w:val="clear" w:color="auto" w:fill="auto"/>
            <w:vAlign w:val="center"/>
          </w:tcPr>
          <w:p w14:paraId="6DF27A0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Korente</w:t>
            </w:r>
          </w:p>
        </w:tc>
        <w:tc>
          <w:tcPr>
            <w:tcW w:w="936" w:type="dxa"/>
            <w:tcBorders>
              <w:top w:val="nil"/>
              <w:left w:val="single" w:sz="8" w:space="0" w:color="000000"/>
              <w:bottom w:val="single" w:sz="8" w:space="0" w:color="000000"/>
              <w:right w:val="single" w:sz="8" w:space="0" w:color="000000"/>
            </w:tcBorders>
            <w:shd w:val="clear" w:color="auto" w:fill="auto"/>
            <w:vAlign w:val="center"/>
          </w:tcPr>
          <w:p w14:paraId="0A40086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Kapitale</w:t>
            </w:r>
          </w:p>
        </w:tc>
        <w:tc>
          <w:tcPr>
            <w:tcW w:w="1082" w:type="dxa"/>
            <w:tcBorders>
              <w:top w:val="nil"/>
              <w:left w:val="nil"/>
              <w:bottom w:val="single" w:sz="8" w:space="0" w:color="000000"/>
              <w:right w:val="single" w:sz="8" w:space="0" w:color="000000"/>
            </w:tcBorders>
            <w:shd w:val="clear" w:color="auto" w:fill="auto"/>
            <w:vAlign w:val="center"/>
          </w:tcPr>
          <w:p w14:paraId="55902C1E" w14:textId="6300545F"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Total </w:t>
            </w:r>
            <w:r w:rsidR="00BC4813" w:rsidRPr="00E266CD">
              <w:rPr>
                <w:rFonts w:ascii="Garamond" w:eastAsia="Times New Roman" w:hAnsi="Garamond"/>
                <w:b/>
                <w:color w:val="000000"/>
                <w:sz w:val="10"/>
                <w:szCs w:val="10"/>
              </w:rPr>
              <w:t>k</w:t>
            </w:r>
            <w:r w:rsidRPr="00E266CD">
              <w:rPr>
                <w:rFonts w:ascii="Garamond" w:eastAsia="Times New Roman" w:hAnsi="Garamond"/>
                <w:b/>
                <w:color w:val="000000"/>
                <w:sz w:val="10"/>
                <w:szCs w:val="10"/>
              </w:rPr>
              <w:t>osto</w:t>
            </w:r>
          </w:p>
        </w:tc>
        <w:tc>
          <w:tcPr>
            <w:tcW w:w="876" w:type="dxa"/>
            <w:tcBorders>
              <w:top w:val="nil"/>
              <w:left w:val="nil"/>
              <w:bottom w:val="single" w:sz="8" w:space="0" w:color="000000"/>
              <w:right w:val="single" w:sz="8" w:space="0" w:color="000000"/>
            </w:tcBorders>
            <w:shd w:val="clear" w:color="auto" w:fill="auto"/>
            <w:vAlign w:val="center"/>
          </w:tcPr>
          <w:p w14:paraId="16F951AB"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 BSH</w:t>
            </w:r>
          </w:p>
        </w:tc>
        <w:tc>
          <w:tcPr>
            <w:tcW w:w="817" w:type="dxa"/>
            <w:tcBorders>
              <w:top w:val="nil"/>
              <w:left w:val="nil"/>
              <w:bottom w:val="single" w:sz="8" w:space="0" w:color="000000"/>
              <w:right w:val="nil"/>
            </w:tcBorders>
            <w:vAlign w:val="center"/>
          </w:tcPr>
          <w:p w14:paraId="75BECDA2" w14:textId="77777777" w:rsidR="00DC69E1" w:rsidRPr="00E266CD" w:rsidRDefault="00DC69E1" w:rsidP="00A46CD4">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 FH</w:t>
            </w:r>
          </w:p>
        </w:tc>
        <w:tc>
          <w:tcPr>
            <w:tcW w:w="851" w:type="dxa"/>
            <w:tcBorders>
              <w:top w:val="nil"/>
              <w:left w:val="nil"/>
              <w:bottom w:val="single" w:sz="8" w:space="0" w:color="000000"/>
              <w:right w:val="single" w:sz="8" w:space="0" w:color="000000"/>
            </w:tcBorders>
            <w:shd w:val="clear" w:color="auto" w:fill="auto"/>
            <w:vAlign w:val="center"/>
          </w:tcPr>
          <w:p w14:paraId="33E3A8C1" w14:textId="7472FF3A" w:rsidR="00DC69E1" w:rsidRPr="00E266CD" w:rsidRDefault="00DC69E1" w:rsidP="00A46CD4">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Të tjerë</w:t>
            </w:r>
            <w:r w:rsidR="007715D0" w:rsidRPr="00E266CD">
              <w:rPr>
                <w:rFonts w:ascii="Garamond" w:hAnsi="Garamond"/>
                <w:b/>
                <w:bCs/>
                <w:color w:val="000000"/>
                <w:sz w:val="10"/>
                <w:szCs w:val="10"/>
              </w:rPr>
              <w:t xml:space="preserve"> </w:t>
            </w:r>
            <w:r w:rsidRPr="00E266CD">
              <w:rPr>
                <w:rFonts w:ascii="Garamond" w:hAnsi="Garamond"/>
                <w:b/>
                <w:bCs/>
                <w:color w:val="000000"/>
                <w:sz w:val="10"/>
                <w:szCs w:val="10"/>
              </w:rPr>
              <w:t>(buxheti i institucioneve</w:t>
            </w:r>
          </w:p>
          <w:p w14:paraId="3FCDB2FA" w14:textId="77777777" w:rsidR="00DC69E1" w:rsidRPr="00E266CD" w:rsidRDefault="00DC69E1" w:rsidP="00A46CD4">
            <w:pPr>
              <w:spacing w:after="0" w:line="240" w:lineRule="auto"/>
              <w:jc w:val="center"/>
              <w:rPr>
                <w:rFonts w:ascii="Garamond" w:eastAsia="Times New Roman" w:hAnsi="Garamond"/>
                <w:b/>
                <w:color w:val="000000"/>
                <w:sz w:val="10"/>
                <w:szCs w:val="10"/>
              </w:rPr>
            </w:pPr>
          </w:p>
        </w:tc>
        <w:tc>
          <w:tcPr>
            <w:tcW w:w="889" w:type="dxa"/>
            <w:tcBorders>
              <w:top w:val="nil"/>
              <w:left w:val="nil"/>
              <w:bottom w:val="single" w:sz="8" w:space="0" w:color="000000"/>
              <w:right w:val="single" w:sz="8" w:space="0" w:color="000000"/>
            </w:tcBorders>
            <w:shd w:val="clear" w:color="auto" w:fill="auto"/>
            <w:vAlign w:val="center"/>
          </w:tcPr>
          <w:p w14:paraId="515809DE" w14:textId="232CCA50"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Hendeku </w:t>
            </w:r>
            <w:r w:rsidR="00BC4813" w:rsidRPr="00E266CD">
              <w:rPr>
                <w:rFonts w:ascii="Garamond" w:eastAsia="Times New Roman" w:hAnsi="Garamond"/>
                <w:b/>
                <w:color w:val="000000"/>
                <w:sz w:val="10"/>
                <w:szCs w:val="10"/>
              </w:rPr>
              <w:t>financiar </w:t>
            </w:r>
          </w:p>
        </w:tc>
      </w:tr>
      <w:tr w:rsidR="00DC69E1" w:rsidRPr="00E266CD" w14:paraId="01E5D37E" w14:textId="77777777" w:rsidTr="00697028">
        <w:trPr>
          <w:trHeight w:val="425"/>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6AE4185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w:t>
            </w:r>
          </w:p>
        </w:tc>
        <w:tc>
          <w:tcPr>
            <w:tcW w:w="4109" w:type="dxa"/>
            <w:tcBorders>
              <w:top w:val="single" w:sz="4" w:space="0" w:color="000000"/>
              <w:left w:val="nil"/>
              <w:bottom w:val="single" w:sz="4" w:space="0" w:color="000000"/>
              <w:right w:val="single" w:sz="4" w:space="0" w:color="000000"/>
            </w:tcBorders>
            <w:shd w:val="clear" w:color="auto" w:fill="FCE4D6"/>
          </w:tcPr>
          <w:p w14:paraId="4B87C210" w14:textId="016B6A03"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Objektivi </w:t>
            </w:r>
            <w:r w:rsidR="00657978">
              <w:rPr>
                <w:rFonts w:ascii="Garamond" w:eastAsia="Times New Roman" w:hAnsi="Garamond"/>
                <w:color w:val="000000"/>
                <w:sz w:val="10"/>
                <w:szCs w:val="10"/>
              </w:rPr>
              <w:t>s</w:t>
            </w:r>
            <w:r w:rsidRPr="00E266CD">
              <w:rPr>
                <w:rFonts w:ascii="Garamond" w:eastAsia="Times New Roman" w:hAnsi="Garamond"/>
                <w:color w:val="000000"/>
                <w:sz w:val="10"/>
                <w:szCs w:val="10"/>
              </w:rPr>
              <w:t xml:space="preserve">pecifik 1: Rritja e bashkëpunimit ndërmjet </w:t>
            </w:r>
            <w:r w:rsidR="00657978" w:rsidRPr="00E266CD">
              <w:rPr>
                <w:rFonts w:ascii="Garamond" w:eastAsia="Times New Roman" w:hAnsi="Garamond"/>
                <w:color w:val="000000"/>
                <w:sz w:val="10"/>
                <w:szCs w:val="10"/>
              </w:rPr>
              <w:t xml:space="preserve">institucioneve të arsimit të lartë, </w:t>
            </w:r>
            <w:r w:rsidRPr="00E266CD">
              <w:rPr>
                <w:rFonts w:ascii="Garamond" w:eastAsia="Times New Roman" w:hAnsi="Garamond"/>
                <w:color w:val="000000"/>
                <w:sz w:val="10"/>
                <w:szCs w:val="10"/>
              </w:rPr>
              <w:t>institucioneve të pushtetit qendror dhe pushtetit vendor, sektorit të biznesit dhe shoqërisë civile</w:t>
            </w:r>
            <w:r w:rsidR="00657978">
              <w:rPr>
                <w:rFonts w:ascii="Garamond" w:eastAsia="Times New Roman" w:hAnsi="Garamond"/>
                <w:color w:val="000000"/>
                <w:sz w:val="10"/>
                <w:szCs w:val="10"/>
              </w:rPr>
              <w:t>,</w:t>
            </w:r>
            <w:r w:rsidRPr="00E266CD">
              <w:rPr>
                <w:rFonts w:ascii="Garamond" w:eastAsia="Times New Roman" w:hAnsi="Garamond"/>
                <w:color w:val="000000"/>
                <w:sz w:val="10"/>
                <w:szCs w:val="10"/>
              </w:rPr>
              <w:t xml:space="preserve"> nëpërmjet zgjerimit të kërkimit dhe zhvillimit të projekteve të përbashkëta (</w:t>
            </w:r>
            <w:r w:rsidRPr="00E266CD">
              <w:rPr>
                <w:rFonts w:ascii="Garamond" w:eastAsia="Times New Roman" w:hAnsi="Garamond"/>
                <w:i/>
                <w:color w:val="000000"/>
                <w:sz w:val="10"/>
                <w:szCs w:val="10"/>
              </w:rPr>
              <w:t>Quadruple Helix</w:t>
            </w:r>
            <w:r w:rsidRPr="00E266CD">
              <w:rPr>
                <w:rFonts w:ascii="Garamond" w:eastAsia="Times New Roman" w:hAnsi="Garamond"/>
                <w:color w:val="000000"/>
                <w:sz w:val="10"/>
                <w:szCs w:val="10"/>
              </w:rPr>
              <w:t xml:space="preserve"> </w:t>
            </w:r>
            <w:r w:rsidRPr="00E266CD">
              <w:rPr>
                <w:rFonts w:ascii="Garamond" w:eastAsia="Times New Roman" w:hAnsi="Garamond"/>
                <w:i/>
                <w:color w:val="000000"/>
                <w:sz w:val="10"/>
                <w:szCs w:val="10"/>
              </w:rPr>
              <w:t>Model</w:t>
            </w:r>
            <w:r w:rsidRPr="00E266CD">
              <w:rPr>
                <w:rFonts w:ascii="Garamond" w:eastAsia="Times New Roman" w:hAnsi="Garamond"/>
                <w:color w:val="000000"/>
                <w:sz w:val="10"/>
                <w:szCs w:val="10"/>
              </w:rPr>
              <w:t>)</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FCE4D6"/>
          </w:tcPr>
          <w:p w14:paraId="322CB9A7"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MAS, MFE, AKKSHI, </w:t>
            </w:r>
          </w:p>
        </w:tc>
        <w:tc>
          <w:tcPr>
            <w:tcW w:w="1544" w:type="dxa"/>
            <w:gridSpan w:val="2"/>
            <w:tcBorders>
              <w:top w:val="single" w:sz="4" w:space="0" w:color="000000"/>
              <w:left w:val="nil"/>
              <w:bottom w:val="single" w:sz="4" w:space="0" w:color="000000"/>
              <w:right w:val="single" w:sz="4" w:space="0" w:color="000000"/>
            </w:tcBorders>
            <w:shd w:val="clear" w:color="auto" w:fill="FCE4D6"/>
          </w:tcPr>
          <w:p w14:paraId="78DB0D56"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MAS, AIDA, IAL, ML, NJQV, AKSHI, AKKSHI</w:t>
            </w:r>
          </w:p>
        </w:tc>
        <w:tc>
          <w:tcPr>
            <w:tcW w:w="593" w:type="dxa"/>
            <w:tcBorders>
              <w:top w:val="single" w:sz="4" w:space="0" w:color="000000"/>
              <w:left w:val="nil"/>
              <w:bottom w:val="single" w:sz="4" w:space="0" w:color="000000"/>
              <w:right w:val="single" w:sz="4" w:space="0" w:color="000000"/>
            </w:tcBorders>
            <w:shd w:val="clear" w:color="auto" w:fill="FCE4D6"/>
          </w:tcPr>
          <w:p w14:paraId="069B9C00"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nil"/>
              <w:bottom w:val="single" w:sz="4" w:space="0" w:color="000000"/>
              <w:right w:val="single" w:sz="4" w:space="0" w:color="000000"/>
            </w:tcBorders>
            <w:shd w:val="clear" w:color="auto" w:fill="FCE4D6"/>
          </w:tcPr>
          <w:p w14:paraId="1ABC53F0"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nil"/>
              <w:right w:val="single" w:sz="4" w:space="0" w:color="000000"/>
            </w:tcBorders>
            <w:shd w:val="clear" w:color="auto" w:fill="FCE4D6"/>
          </w:tcPr>
          <w:p w14:paraId="45ECF0E9"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936" w:type="dxa"/>
            <w:tcBorders>
              <w:top w:val="single" w:sz="4" w:space="0" w:color="000000"/>
              <w:left w:val="single" w:sz="4" w:space="0" w:color="000000"/>
              <w:bottom w:val="nil"/>
              <w:right w:val="single" w:sz="4" w:space="0" w:color="000000"/>
            </w:tcBorders>
            <w:shd w:val="clear" w:color="auto" w:fill="FCE4D6"/>
          </w:tcPr>
          <w:p w14:paraId="2DE2E281"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1082" w:type="dxa"/>
            <w:tcBorders>
              <w:top w:val="single" w:sz="4" w:space="0" w:color="000000"/>
              <w:left w:val="single" w:sz="4" w:space="0" w:color="000000"/>
              <w:bottom w:val="nil"/>
              <w:right w:val="single" w:sz="4" w:space="0" w:color="000000"/>
            </w:tcBorders>
            <w:shd w:val="clear" w:color="auto" w:fill="FCE4D6"/>
          </w:tcPr>
          <w:p w14:paraId="741829C1"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76" w:type="dxa"/>
            <w:tcBorders>
              <w:top w:val="single" w:sz="4" w:space="0" w:color="000000"/>
              <w:left w:val="single" w:sz="4" w:space="0" w:color="000000"/>
              <w:bottom w:val="nil"/>
              <w:right w:val="single" w:sz="4" w:space="0" w:color="000000"/>
            </w:tcBorders>
            <w:shd w:val="clear" w:color="auto" w:fill="FCE4D6"/>
          </w:tcPr>
          <w:p w14:paraId="5E06C879"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17" w:type="dxa"/>
            <w:tcBorders>
              <w:top w:val="single" w:sz="4" w:space="0" w:color="000000"/>
              <w:left w:val="single" w:sz="4" w:space="0" w:color="000000"/>
              <w:bottom w:val="single" w:sz="4" w:space="0" w:color="000000"/>
              <w:right w:val="single" w:sz="4" w:space="0" w:color="000000"/>
            </w:tcBorders>
            <w:shd w:val="clear" w:color="auto" w:fill="FCE4D6"/>
          </w:tcPr>
          <w:p w14:paraId="4545B16F" w14:textId="77777777" w:rsidR="00DC69E1" w:rsidRPr="00E266CD" w:rsidRDefault="00DC69E1" w:rsidP="00DC69E1">
            <w:pPr>
              <w:spacing w:after="0" w:line="240" w:lineRule="auto"/>
              <w:rPr>
                <w:rFonts w:ascii="Garamond" w:eastAsia="Times New Roman" w:hAnsi="Garamond"/>
                <w:color w:val="000000"/>
                <w:sz w:val="10"/>
                <w:szCs w:val="10"/>
              </w:rPr>
            </w:pPr>
          </w:p>
        </w:tc>
        <w:tc>
          <w:tcPr>
            <w:tcW w:w="851" w:type="dxa"/>
            <w:tcBorders>
              <w:top w:val="single" w:sz="4" w:space="0" w:color="000000"/>
              <w:left w:val="single" w:sz="4" w:space="0" w:color="000000"/>
              <w:bottom w:val="single" w:sz="4" w:space="0" w:color="000000"/>
              <w:right w:val="single" w:sz="4" w:space="0" w:color="000000"/>
            </w:tcBorders>
            <w:shd w:val="clear" w:color="auto" w:fill="FCE4D6"/>
          </w:tcPr>
          <w:p w14:paraId="1DB4C33F"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89" w:type="dxa"/>
            <w:tcBorders>
              <w:top w:val="single" w:sz="4" w:space="0" w:color="000000"/>
              <w:left w:val="single" w:sz="4" w:space="0" w:color="000000"/>
              <w:bottom w:val="nil"/>
              <w:right w:val="single" w:sz="4" w:space="0" w:color="000000"/>
            </w:tcBorders>
            <w:shd w:val="clear" w:color="auto" w:fill="FCE4D6"/>
          </w:tcPr>
          <w:p w14:paraId="3AB30C26"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r>
      <w:tr w:rsidR="00DC69E1" w:rsidRPr="00E266CD" w14:paraId="4AB1A85F" w14:textId="77777777" w:rsidTr="00697028">
        <w:trPr>
          <w:trHeight w:val="61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68EF396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2.1.1</w:t>
            </w:r>
          </w:p>
        </w:tc>
        <w:tc>
          <w:tcPr>
            <w:tcW w:w="4109" w:type="dxa"/>
            <w:tcBorders>
              <w:top w:val="single" w:sz="4" w:space="0" w:color="000000"/>
              <w:left w:val="nil"/>
              <w:bottom w:val="single" w:sz="4" w:space="0" w:color="000000"/>
              <w:right w:val="nil"/>
            </w:tcBorders>
            <w:shd w:val="clear" w:color="auto" w:fill="DDEBF7"/>
          </w:tcPr>
          <w:p w14:paraId="3C79F9D7"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2.1.1 Krijimi i skemave novatore për bashkëfinancimin e programeve të kërkimit shkencor që forcojnë bashkëpunimin me sektorin e biznesit për zgjidhjen e sfidave aktuale shoqërore</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2E727A48"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MFE </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78C9F97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AIDA, Ministri i Shtetit për Mbrojtjen e Sipërmarrjes</w:t>
            </w:r>
          </w:p>
        </w:tc>
        <w:tc>
          <w:tcPr>
            <w:tcW w:w="593" w:type="dxa"/>
            <w:tcBorders>
              <w:top w:val="nil"/>
              <w:left w:val="nil"/>
              <w:bottom w:val="single" w:sz="4" w:space="0" w:color="000000"/>
              <w:right w:val="nil"/>
            </w:tcBorders>
            <w:shd w:val="clear" w:color="auto" w:fill="FFFFFF"/>
          </w:tcPr>
          <w:p w14:paraId="7773435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1BEBFC10"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4731AAF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57794FB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1,776,000,000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63F465A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1,776,000,000</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31ED157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1,076,000,000</w:t>
            </w:r>
          </w:p>
        </w:tc>
        <w:tc>
          <w:tcPr>
            <w:tcW w:w="817" w:type="dxa"/>
            <w:tcBorders>
              <w:top w:val="single" w:sz="4" w:space="0" w:color="000000"/>
              <w:left w:val="single" w:sz="4" w:space="0" w:color="000000"/>
              <w:bottom w:val="single" w:sz="4" w:space="0" w:color="000000"/>
              <w:right w:val="single" w:sz="4" w:space="0" w:color="000000"/>
            </w:tcBorders>
            <w:vAlign w:val="center"/>
          </w:tcPr>
          <w:p w14:paraId="6F5CF62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single" w:sz="4" w:space="0" w:color="000000"/>
              <w:left w:val="single" w:sz="4" w:space="0" w:color="000000"/>
              <w:bottom w:val="single" w:sz="4" w:space="0" w:color="000000"/>
              <w:right w:val="single" w:sz="8" w:space="0" w:color="000000"/>
            </w:tcBorders>
            <w:shd w:val="clear" w:color="auto" w:fill="auto"/>
            <w:vAlign w:val="center"/>
          </w:tcPr>
          <w:p w14:paraId="5C5C2F6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5793585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-700,000,000</w:t>
            </w:r>
          </w:p>
        </w:tc>
      </w:tr>
      <w:tr w:rsidR="00DC69E1" w:rsidRPr="00E266CD" w14:paraId="1EC57A65" w14:textId="77777777" w:rsidTr="00697028">
        <w:trPr>
          <w:trHeight w:val="43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C95346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2.1.2</w:t>
            </w:r>
          </w:p>
        </w:tc>
        <w:tc>
          <w:tcPr>
            <w:tcW w:w="4109" w:type="dxa"/>
            <w:tcBorders>
              <w:top w:val="nil"/>
              <w:left w:val="nil"/>
              <w:bottom w:val="single" w:sz="4" w:space="0" w:color="000000"/>
              <w:right w:val="nil"/>
            </w:tcBorders>
            <w:shd w:val="clear" w:color="auto" w:fill="DDEBF7"/>
          </w:tcPr>
          <w:p w14:paraId="23074E59"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2.1.2 Informimi dhe njohja e të gjitha grupeve të interesit me mekanizmat dhe instrumentet e financimit </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6A556F64"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AKKSHI </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6A9F3EF8"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MFE, MAS, AIDA, IAL</w:t>
            </w:r>
          </w:p>
        </w:tc>
        <w:tc>
          <w:tcPr>
            <w:tcW w:w="593" w:type="dxa"/>
            <w:tcBorders>
              <w:top w:val="nil"/>
              <w:left w:val="nil"/>
              <w:bottom w:val="single" w:sz="4" w:space="0" w:color="000000"/>
              <w:right w:val="nil"/>
            </w:tcBorders>
            <w:shd w:val="clear" w:color="auto" w:fill="FFFFFF"/>
          </w:tcPr>
          <w:p w14:paraId="7A3FA2A8"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764FFCD1"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75A2CC7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8,639,852</w:t>
            </w:r>
          </w:p>
        </w:tc>
        <w:tc>
          <w:tcPr>
            <w:tcW w:w="936" w:type="dxa"/>
            <w:tcBorders>
              <w:top w:val="nil"/>
              <w:left w:val="nil"/>
              <w:bottom w:val="single" w:sz="4" w:space="0" w:color="000000"/>
              <w:right w:val="single" w:sz="4" w:space="0" w:color="000000"/>
            </w:tcBorders>
            <w:shd w:val="clear" w:color="auto" w:fill="auto"/>
            <w:vAlign w:val="center"/>
          </w:tcPr>
          <w:p w14:paraId="018A084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76B938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8,639,852</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6507B42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5,503,908</w:t>
            </w:r>
          </w:p>
        </w:tc>
        <w:tc>
          <w:tcPr>
            <w:tcW w:w="817" w:type="dxa"/>
            <w:tcBorders>
              <w:top w:val="nil"/>
              <w:left w:val="single" w:sz="4" w:space="0" w:color="000000"/>
              <w:bottom w:val="single" w:sz="4" w:space="0" w:color="000000"/>
              <w:right w:val="single" w:sz="4" w:space="0" w:color="000000"/>
            </w:tcBorders>
            <w:vAlign w:val="center"/>
          </w:tcPr>
          <w:p w14:paraId="7397292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09128B6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277A6D7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-3,135,944</w:t>
            </w:r>
          </w:p>
        </w:tc>
      </w:tr>
      <w:tr w:rsidR="00DC69E1" w:rsidRPr="00E266CD" w14:paraId="4494CF1B" w14:textId="77777777" w:rsidTr="00697028">
        <w:trPr>
          <w:trHeight w:val="43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8F52F3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2.1.3</w:t>
            </w:r>
          </w:p>
        </w:tc>
        <w:tc>
          <w:tcPr>
            <w:tcW w:w="4109" w:type="dxa"/>
            <w:tcBorders>
              <w:top w:val="nil"/>
              <w:left w:val="nil"/>
              <w:bottom w:val="single" w:sz="4" w:space="0" w:color="000000"/>
              <w:right w:val="nil"/>
            </w:tcBorders>
            <w:shd w:val="clear" w:color="auto" w:fill="DDEBF7"/>
          </w:tcPr>
          <w:p w14:paraId="1120FF24" w14:textId="7AB64608"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2.1.3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Promovimi i modeleve të kërkimit shkencor në pjesëmarrjen e projekteve të përbashkëta (</w:t>
            </w:r>
            <w:r w:rsidRPr="00E266CD">
              <w:rPr>
                <w:rFonts w:ascii="Garamond" w:eastAsia="Times New Roman" w:hAnsi="Garamond"/>
                <w:i/>
                <w:color w:val="000000"/>
                <w:sz w:val="10"/>
                <w:szCs w:val="10"/>
              </w:rPr>
              <w:t>Quadruple Helix model</w:t>
            </w:r>
            <w:r w:rsidRPr="00E266CD">
              <w:rPr>
                <w:rFonts w:ascii="Garamond" w:eastAsia="Times New Roman" w:hAnsi="Garamond"/>
                <w:color w:val="000000"/>
                <w:sz w:val="10"/>
                <w:szCs w:val="10"/>
              </w:rPr>
              <w:t>)</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39E8B75C"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AKKSHI </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2FCF0F8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ML</w:t>
            </w:r>
          </w:p>
        </w:tc>
        <w:tc>
          <w:tcPr>
            <w:tcW w:w="593" w:type="dxa"/>
            <w:tcBorders>
              <w:top w:val="nil"/>
              <w:left w:val="nil"/>
              <w:bottom w:val="single" w:sz="4" w:space="0" w:color="000000"/>
              <w:right w:val="nil"/>
            </w:tcBorders>
            <w:shd w:val="clear" w:color="auto" w:fill="FFFFFF"/>
          </w:tcPr>
          <w:p w14:paraId="35927B7D"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4F984A05"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205C72F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7,960,190</w:t>
            </w:r>
          </w:p>
        </w:tc>
        <w:tc>
          <w:tcPr>
            <w:tcW w:w="936" w:type="dxa"/>
            <w:tcBorders>
              <w:top w:val="nil"/>
              <w:left w:val="nil"/>
              <w:bottom w:val="single" w:sz="4" w:space="0" w:color="000000"/>
              <w:right w:val="single" w:sz="4" w:space="0" w:color="000000"/>
            </w:tcBorders>
            <w:shd w:val="clear" w:color="auto" w:fill="auto"/>
            <w:vAlign w:val="center"/>
          </w:tcPr>
          <w:p w14:paraId="15B33CB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182CB07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7,960,190</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057A8E5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2,081,376</w:t>
            </w:r>
          </w:p>
        </w:tc>
        <w:tc>
          <w:tcPr>
            <w:tcW w:w="817" w:type="dxa"/>
            <w:tcBorders>
              <w:top w:val="nil"/>
              <w:left w:val="single" w:sz="4" w:space="0" w:color="000000"/>
              <w:bottom w:val="single" w:sz="4" w:space="0" w:color="000000"/>
              <w:right w:val="single" w:sz="4" w:space="0" w:color="000000"/>
            </w:tcBorders>
            <w:vAlign w:val="center"/>
          </w:tcPr>
          <w:p w14:paraId="49B4440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23A37E6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523489B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-5,878,814</w:t>
            </w:r>
          </w:p>
        </w:tc>
      </w:tr>
      <w:tr w:rsidR="00DC69E1" w:rsidRPr="00E266CD" w14:paraId="43EB1EB2" w14:textId="77777777" w:rsidTr="00697028">
        <w:trPr>
          <w:trHeight w:val="25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BDA2889"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2.1.4</w:t>
            </w:r>
          </w:p>
        </w:tc>
        <w:tc>
          <w:tcPr>
            <w:tcW w:w="4109" w:type="dxa"/>
            <w:tcBorders>
              <w:top w:val="nil"/>
              <w:left w:val="nil"/>
              <w:bottom w:val="single" w:sz="4" w:space="0" w:color="000000"/>
              <w:right w:val="nil"/>
            </w:tcBorders>
            <w:shd w:val="clear" w:color="auto" w:fill="DDEBF7"/>
          </w:tcPr>
          <w:p w14:paraId="1B51CE90" w14:textId="3DA9ABC0"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2.1.4</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Hartimi i udhëzuesve (që përfshijnë protokollet dhe procedurat) për projekte të përbashkëta</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2C6E2608"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18B5D1D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nil"/>
              <w:left w:val="nil"/>
              <w:bottom w:val="single" w:sz="4" w:space="0" w:color="000000"/>
              <w:right w:val="nil"/>
            </w:tcBorders>
            <w:shd w:val="clear" w:color="auto" w:fill="FFFFFF"/>
          </w:tcPr>
          <w:p w14:paraId="123F9274"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2BE216DA"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1B93713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1,680,000</w:t>
            </w:r>
          </w:p>
        </w:tc>
        <w:tc>
          <w:tcPr>
            <w:tcW w:w="936" w:type="dxa"/>
            <w:tcBorders>
              <w:top w:val="nil"/>
              <w:left w:val="nil"/>
              <w:bottom w:val="single" w:sz="4" w:space="0" w:color="000000"/>
              <w:right w:val="single" w:sz="4" w:space="0" w:color="000000"/>
            </w:tcBorders>
            <w:shd w:val="clear" w:color="auto" w:fill="auto"/>
            <w:vAlign w:val="center"/>
          </w:tcPr>
          <w:p w14:paraId="026AA0B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4FA4A1F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1,680,000</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79E6428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17" w:type="dxa"/>
            <w:tcBorders>
              <w:top w:val="nil"/>
              <w:left w:val="single" w:sz="4" w:space="0" w:color="000000"/>
              <w:bottom w:val="single" w:sz="4" w:space="0" w:color="000000"/>
              <w:right w:val="single" w:sz="4" w:space="0" w:color="000000"/>
            </w:tcBorders>
            <w:vAlign w:val="center"/>
          </w:tcPr>
          <w:p w14:paraId="1192C53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46A524E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48857BC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-1,680,000</w:t>
            </w:r>
          </w:p>
        </w:tc>
      </w:tr>
      <w:tr w:rsidR="00DC69E1" w:rsidRPr="00E266CD" w14:paraId="19524FF6" w14:textId="77777777" w:rsidTr="00697028">
        <w:trPr>
          <w:trHeight w:val="52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2E05677C"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2.1.5</w:t>
            </w:r>
          </w:p>
        </w:tc>
        <w:tc>
          <w:tcPr>
            <w:tcW w:w="4109" w:type="dxa"/>
            <w:tcBorders>
              <w:top w:val="nil"/>
              <w:left w:val="nil"/>
              <w:bottom w:val="single" w:sz="4" w:space="0" w:color="000000"/>
              <w:right w:val="nil"/>
            </w:tcBorders>
            <w:shd w:val="clear" w:color="auto" w:fill="DDEBF7"/>
          </w:tcPr>
          <w:p w14:paraId="205FCB34" w14:textId="70A06EE9"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2.1.5 Forcimi i kapaciteteve të IAL</w:t>
            </w:r>
            <w:r w:rsidR="00657978">
              <w:rPr>
                <w:rFonts w:ascii="Garamond" w:eastAsia="Times New Roman" w:hAnsi="Garamond"/>
                <w:color w:val="000000"/>
                <w:sz w:val="10"/>
                <w:szCs w:val="10"/>
              </w:rPr>
              <w:t>-ve</w:t>
            </w:r>
            <w:r w:rsidRPr="00E266CD">
              <w:rPr>
                <w:rFonts w:ascii="Garamond" w:eastAsia="Times New Roman" w:hAnsi="Garamond"/>
                <w:color w:val="000000"/>
                <w:sz w:val="10"/>
                <w:szCs w:val="10"/>
              </w:rPr>
              <w:t>, përfaqësuesve të biznesit, institucioneve qendrore dhe vendore për hartimin e projekteve të përbashkëta</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1603447D"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AKKSHI </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1667248A"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IAL, AIDA, ML, NJQV, AKSHI</w:t>
            </w:r>
          </w:p>
        </w:tc>
        <w:tc>
          <w:tcPr>
            <w:tcW w:w="593" w:type="dxa"/>
            <w:tcBorders>
              <w:top w:val="nil"/>
              <w:left w:val="nil"/>
              <w:bottom w:val="single" w:sz="4" w:space="0" w:color="000000"/>
              <w:right w:val="nil"/>
            </w:tcBorders>
            <w:shd w:val="clear" w:color="auto" w:fill="FFFFFF"/>
          </w:tcPr>
          <w:p w14:paraId="0DF16D4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872" w:type="dxa"/>
            <w:tcBorders>
              <w:top w:val="nil"/>
              <w:left w:val="single" w:sz="4" w:space="0" w:color="000000"/>
              <w:bottom w:val="single" w:sz="4" w:space="0" w:color="000000"/>
              <w:right w:val="nil"/>
            </w:tcBorders>
            <w:shd w:val="clear" w:color="auto" w:fill="FFFFFF"/>
          </w:tcPr>
          <w:p w14:paraId="01FAA1B4"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071A268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13,082,924</w:t>
            </w:r>
          </w:p>
        </w:tc>
        <w:tc>
          <w:tcPr>
            <w:tcW w:w="936" w:type="dxa"/>
            <w:tcBorders>
              <w:top w:val="nil"/>
              <w:left w:val="nil"/>
              <w:bottom w:val="single" w:sz="4" w:space="0" w:color="000000"/>
              <w:right w:val="single" w:sz="4" w:space="0" w:color="000000"/>
            </w:tcBorders>
            <w:shd w:val="clear" w:color="auto" w:fill="auto"/>
            <w:vAlign w:val="center"/>
          </w:tcPr>
          <w:p w14:paraId="1143A12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6A89CC1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13,082,924</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4367802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185,291</w:t>
            </w:r>
          </w:p>
        </w:tc>
        <w:tc>
          <w:tcPr>
            <w:tcW w:w="817" w:type="dxa"/>
            <w:tcBorders>
              <w:top w:val="nil"/>
              <w:left w:val="single" w:sz="4" w:space="0" w:color="000000"/>
              <w:bottom w:val="single" w:sz="4" w:space="0" w:color="000000"/>
              <w:right w:val="single" w:sz="4" w:space="0" w:color="000000"/>
            </w:tcBorders>
            <w:vAlign w:val="center"/>
          </w:tcPr>
          <w:p w14:paraId="74AB7E8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7222DE2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3EB0A26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-12,897,633</w:t>
            </w:r>
          </w:p>
        </w:tc>
      </w:tr>
      <w:tr w:rsidR="00DC69E1" w:rsidRPr="00E266CD" w14:paraId="6F796670" w14:textId="77777777" w:rsidTr="00697028">
        <w:trPr>
          <w:trHeight w:val="583"/>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05D2595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2.1.6</w:t>
            </w:r>
          </w:p>
        </w:tc>
        <w:tc>
          <w:tcPr>
            <w:tcW w:w="4109" w:type="dxa"/>
            <w:tcBorders>
              <w:top w:val="single" w:sz="4" w:space="0" w:color="000000"/>
              <w:left w:val="nil"/>
              <w:bottom w:val="single" w:sz="4" w:space="0" w:color="000000"/>
              <w:right w:val="nil"/>
            </w:tcBorders>
            <w:shd w:val="clear" w:color="auto" w:fill="DDEBF7"/>
          </w:tcPr>
          <w:p w14:paraId="71BA8205" w14:textId="66EB5433"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2.1.6</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Fuqizimi i kapaciteteve të</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strukturave të vlerësimit të projekteve të kërkimit shkencor me qëllim përfaqësimin e biznesit në këto struktura</w:t>
            </w:r>
          </w:p>
        </w:tc>
        <w:tc>
          <w:tcPr>
            <w:tcW w:w="1267" w:type="dxa"/>
            <w:gridSpan w:val="2"/>
            <w:tcBorders>
              <w:top w:val="single" w:sz="4" w:space="0" w:color="000000"/>
              <w:left w:val="single" w:sz="8" w:space="0" w:color="000000"/>
              <w:bottom w:val="single" w:sz="8" w:space="0" w:color="000000"/>
              <w:right w:val="single" w:sz="8" w:space="0" w:color="000000"/>
            </w:tcBorders>
            <w:shd w:val="clear" w:color="auto" w:fill="auto"/>
            <w:vAlign w:val="center"/>
          </w:tcPr>
          <w:p w14:paraId="1B1B0017"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DF390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AKKSHI</w:t>
            </w:r>
          </w:p>
        </w:tc>
        <w:tc>
          <w:tcPr>
            <w:tcW w:w="593" w:type="dxa"/>
            <w:tcBorders>
              <w:top w:val="single" w:sz="4" w:space="0" w:color="000000"/>
              <w:left w:val="nil"/>
              <w:bottom w:val="single" w:sz="4" w:space="0" w:color="000000"/>
              <w:right w:val="nil"/>
            </w:tcBorders>
            <w:shd w:val="clear" w:color="auto" w:fill="FFFFFF"/>
          </w:tcPr>
          <w:p w14:paraId="0F9B0CF2"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872" w:type="dxa"/>
            <w:tcBorders>
              <w:top w:val="single" w:sz="4" w:space="0" w:color="000000"/>
              <w:left w:val="single" w:sz="4" w:space="0" w:color="000000"/>
              <w:bottom w:val="single" w:sz="4" w:space="0" w:color="000000"/>
              <w:right w:val="nil"/>
            </w:tcBorders>
            <w:shd w:val="clear" w:color="auto" w:fill="FFFFFF"/>
          </w:tcPr>
          <w:p w14:paraId="4A4C6645"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6FFC546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2,974,462</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3E3F16D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155BEFB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2,974,462</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0308803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382,462</w:t>
            </w:r>
          </w:p>
        </w:tc>
        <w:tc>
          <w:tcPr>
            <w:tcW w:w="817" w:type="dxa"/>
            <w:tcBorders>
              <w:top w:val="single" w:sz="4" w:space="0" w:color="000000"/>
              <w:left w:val="single" w:sz="4" w:space="0" w:color="000000"/>
              <w:bottom w:val="single" w:sz="4" w:space="0" w:color="000000"/>
              <w:right w:val="single" w:sz="4" w:space="0" w:color="000000"/>
            </w:tcBorders>
            <w:vAlign w:val="center"/>
          </w:tcPr>
          <w:p w14:paraId="782ADEE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FB5E42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1FFE07A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-2,592,000</w:t>
            </w:r>
          </w:p>
        </w:tc>
      </w:tr>
      <w:tr w:rsidR="00DC69E1" w:rsidRPr="00E266CD" w14:paraId="387466EB" w14:textId="77777777" w:rsidTr="00697028">
        <w:trPr>
          <w:trHeight w:val="538"/>
          <w:jc w:val="center"/>
        </w:trPr>
        <w:tc>
          <w:tcPr>
            <w:tcW w:w="698" w:type="dxa"/>
            <w:tcBorders>
              <w:top w:val="nil"/>
              <w:left w:val="single" w:sz="8" w:space="0" w:color="000000"/>
              <w:bottom w:val="nil"/>
              <w:right w:val="single" w:sz="4" w:space="0" w:color="000000"/>
            </w:tcBorders>
            <w:shd w:val="clear" w:color="auto" w:fill="D9D9D9"/>
            <w:vAlign w:val="center"/>
          </w:tcPr>
          <w:p w14:paraId="1F5BDAC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21E533DA" w14:textId="2FC8FF62"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657978">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657978">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2.1</w:t>
            </w:r>
          </w:p>
        </w:tc>
        <w:tc>
          <w:tcPr>
            <w:tcW w:w="1267" w:type="dxa"/>
            <w:gridSpan w:val="2"/>
            <w:tcBorders>
              <w:top w:val="nil"/>
              <w:left w:val="nil"/>
              <w:bottom w:val="nil"/>
              <w:right w:val="single" w:sz="4" w:space="0" w:color="000000"/>
            </w:tcBorders>
            <w:shd w:val="clear" w:color="auto" w:fill="D9D9D9"/>
            <w:vAlign w:val="center"/>
          </w:tcPr>
          <w:p w14:paraId="7102FC1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gridSpan w:val="2"/>
            <w:tcBorders>
              <w:top w:val="nil"/>
              <w:left w:val="nil"/>
              <w:bottom w:val="nil"/>
              <w:right w:val="single" w:sz="4" w:space="0" w:color="000000"/>
            </w:tcBorders>
            <w:shd w:val="clear" w:color="auto" w:fill="D9D9D9"/>
            <w:vAlign w:val="center"/>
          </w:tcPr>
          <w:p w14:paraId="1A8D427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383C8A4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0592A47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65BBF95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34,337,428</w:t>
            </w:r>
          </w:p>
        </w:tc>
        <w:tc>
          <w:tcPr>
            <w:tcW w:w="936" w:type="dxa"/>
            <w:tcBorders>
              <w:top w:val="nil"/>
              <w:left w:val="nil"/>
              <w:bottom w:val="nil"/>
              <w:right w:val="single" w:sz="4" w:space="0" w:color="000000"/>
            </w:tcBorders>
            <w:shd w:val="clear" w:color="auto" w:fill="D9D9D9"/>
            <w:vAlign w:val="center"/>
          </w:tcPr>
          <w:p w14:paraId="77595A7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1,776,000,000</w:t>
            </w:r>
          </w:p>
        </w:tc>
        <w:tc>
          <w:tcPr>
            <w:tcW w:w="1082" w:type="dxa"/>
            <w:tcBorders>
              <w:top w:val="nil"/>
              <w:left w:val="nil"/>
              <w:bottom w:val="nil"/>
              <w:right w:val="single" w:sz="4" w:space="0" w:color="000000"/>
            </w:tcBorders>
            <w:shd w:val="clear" w:color="auto" w:fill="D9D9D9"/>
            <w:vAlign w:val="center"/>
          </w:tcPr>
          <w:p w14:paraId="39F07B98"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1,810,337,428</w:t>
            </w:r>
          </w:p>
        </w:tc>
        <w:tc>
          <w:tcPr>
            <w:tcW w:w="876" w:type="dxa"/>
            <w:tcBorders>
              <w:top w:val="nil"/>
              <w:left w:val="nil"/>
              <w:bottom w:val="nil"/>
              <w:right w:val="single" w:sz="4" w:space="0" w:color="000000"/>
            </w:tcBorders>
            <w:shd w:val="clear" w:color="auto" w:fill="D9D9D9"/>
            <w:vAlign w:val="center"/>
          </w:tcPr>
          <w:p w14:paraId="59C25381"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1,084,153,037</w:t>
            </w:r>
          </w:p>
        </w:tc>
        <w:tc>
          <w:tcPr>
            <w:tcW w:w="817" w:type="dxa"/>
            <w:tcBorders>
              <w:top w:val="nil"/>
              <w:left w:val="nil"/>
              <w:bottom w:val="nil"/>
              <w:right w:val="nil"/>
            </w:tcBorders>
            <w:shd w:val="clear" w:color="auto" w:fill="D9D9D9"/>
            <w:vAlign w:val="center"/>
          </w:tcPr>
          <w:p w14:paraId="0F0A5B2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51" w:type="dxa"/>
            <w:tcBorders>
              <w:top w:val="nil"/>
              <w:left w:val="nil"/>
              <w:bottom w:val="nil"/>
              <w:right w:val="single" w:sz="4" w:space="0" w:color="000000"/>
            </w:tcBorders>
            <w:shd w:val="clear" w:color="auto" w:fill="D9D9D9"/>
            <w:vAlign w:val="center"/>
          </w:tcPr>
          <w:p w14:paraId="1B5882A0"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nil"/>
              <w:right w:val="single" w:sz="4" w:space="0" w:color="000000"/>
            </w:tcBorders>
            <w:shd w:val="clear" w:color="auto" w:fill="D9D9D9"/>
            <w:vAlign w:val="center"/>
          </w:tcPr>
          <w:p w14:paraId="2D97ED39"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-726,184,391</w:t>
            </w:r>
          </w:p>
        </w:tc>
      </w:tr>
      <w:tr w:rsidR="00DC69E1" w:rsidRPr="00E266CD" w14:paraId="75467AC3" w14:textId="77777777" w:rsidTr="00697028">
        <w:trPr>
          <w:trHeight w:val="610"/>
          <w:jc w:val="center"/>
        </w:trPr>
        <w:tc>
          <w:tcPr>
            <w:tcW w:w="698" w:type="dxa"/>
            <w:tcBorders>
              <w:top w:val="single" w:sz="8" w:space="0" w:color="000000"/>
              <w:left w:val="single" w:sz="8" w:space="0" w:color="000000"/>
              <w:bottom w:val="single" w:sz="4" w:space="0" w:color="000000"/>
              <w:right w:val="single" w:sz="4" w:space="0" w:color="000000"/>
            </w:tcBorders>
            <w:shd w:val="clear" w:color="auto" w:fill="auto"/>
            <w:vAlign w:val="center"/>
          </w:tcPr>
          <w:p w14:paraId="649D1C9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w:t>
            </w:r>
          </w:p>
        </w:tc>
        <w:tc>
          <w:tcPr>
            <w:tcW w:w="4109" w:type="dxa"/>
            <w:tcBorders>
              <w:top w:val="single" w:sz="4" w:space="0" w:color="000000"/>
              <w:left w:val="nil"/>
              <w:bottom w:val="single" w:sz="4" w:space="0" w:color="000000"/>
              <w:right w:val="single" w:sz="4" w:space="0" w:color="000000"/>
            </w:tcBorders>
            <w:shd w:val="clear" w:color="auto" w:fill="FCE4D6"/>
          </w:tcPr>
          <w:p w14:paraId="7A5E90D0" w14:textId="7E1D475E"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2.2 Objektivi </w:t>
            </w:r>
            <w:r w:rsidR="00657978">
              <w:rPr>
                <w:rFonts w:ascii="Garamond" w:eastAsia="Times New Roman" w:hAnsi="Garamond"/>
                <w:color w:val="000000"/>
                <w:sz w:val="10"/>
                <w:szCs w:val="10"/>
              </w:rPr>
              <w:t>s</w:t>
            </w:r>
            <w:r w:rsidRPr="00E266CD">
              <w:rPr>
                <w:rFonts w:ascii="Garamond" w:eastAsia="Times New Roman" w:hAnsi="Garamond"/>
                <w:color w:val="000000"/>
                <w:sz w:val="10"/>
                <w:szCs w:val="10"/>
              </w:rPr>
              <w:t>pecifik 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Përmirësimi i mekanizmave dhe rritja e mbështetjes së transferimit ndërkombëtar të teknologjisë (TNT)</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18E6721A"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DPPI, AKKSHI, MFE</w:t>
            </w:r>
          </w:p>
        </w:tc>
        <w:tc>
          <w:tcPr>
            <w:tcW w:w="1544" w:type="dxa"/>
            <w:gridSpan w:val="2"/>
            <w:tcBorders>
              <w:top w:val="single" w:sz="4" w:space="0" w:color="000000"/>
              <w:left w:val="nil"/>
              <w:bottom w:val="single" w:sz="4" w:space="0" w:color="000000"/>
              <w:right w:val="single" w:sz="4" w:space="0" w:color="000000"/>
            </w:tcBorders>
            <w:shd w:val="clear" w:color="auto" w:fill="FCE4D6"/>
            <w:vAlign w:val="center"/>
          </w:tcPr>
          <w:p w14:paraId="5BB410B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IAL ML, AKKSHI</w:t>
            </w:r>
          </w:p>
        </w:tc>
        <w:tc>
          <w:tcPr>
            <w:tcW w:w="593" w:type="dxa"/>
            <w:tcBorders>
              <w:top w:val="single" w:sz="4" w:space="0" w:color="000000"/>
              <w:left w:val="nil"/>
              <w:bottom w:val="single" w:sz="4" w:space="0" w:color="000000"/>
              <w:right w:val="single" w:sz="4" w:space="0" w:color="000000"/>
            </w:tcBorders>
            <w:shd w:val="clear" w:color="auto" w:fill="FCE4D6"/>
            <w:vAlign w:val="center"/>
          </w:tcPr>
          <w:p w14:paraId="25F1D19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nil"/>
              <w:bottom w:val="single" w:sz="4" w:space="0" w:color="000000"/>
              <w:right w:val="single" w:sz="4" w:space="0" w:color="000000"/>
            </w:tcBorders>
            <w:shd w:val="clear" w:color="auto" w:fill="FCE4D6"/>
            <w:vAlign w:val="center"/>
          </w:tcPr>
          <w:p w14:paraId="4903300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single" w:sz="4" w:space="0" w:color="000000"/>
              <w:right w:val="single" w:sz="4" w:space="0" w:color="000000"/>
            </w:tcBorders>
            <w:shd w:val="clear" w:color="auto" w:fill="FCE4D6"/>
            <w:vAlign w:val="center"/>
          </w:tcPr>
          <w:p w14:paraId="1A574F85" w14:textId="77777777" w:rsidR="00DC69E1" w:rsidRPr="00E266CD" w:rsidRDefault="00DC69E1" w:rsidP="00DC69E1">
            <w:pPr>
              <w:spacing w:after="0" w:line="240" w:lineRule="auto"/>
              <w:jc w:val="center"/>
              <w:rPr>
                <w:rFonts w:ascii="Garamond" w:hAnsi="Garamond"/>
                <w:b/>
                <w:bCs/>
                <w:color w:val="FF0000"/>
                <w:sz w:val="10"/>
                <w:szCs w:val="10"/>
              </w:rPr>
            </w:pPr>
          </w:p>
        </w:tc>
        <w:tc>
          <w:tcPr>
            <w:tcW w:w="936" w:type="dxa"/>
            <w:tcBorders>
              <w:top w:val="single" w:sz="4" w:space="0" w:color="000000"/>
              <w:left w:val="nil"/>
              <w:bottom w:val="single" w:sz="4" w:space="0" w:color="000000"/>
              <w:right w:val="single" w:sz="4" w:space="0" w:color="000000"/>
            </w:tcBorders>
            <w:shd w:val="clear" w:color="auto" w:fill="FCE4D6"/>
            <w:vAlign w:val="center"/>
          </w:tcPr>
          <w:p w14:paraId="22927144" w14:textId="77777777" w:rsidR="00DC69E1" w:rsidRPr="00E266CD" w:rsidRDefault="00DC69E1" w:rsidP="00DC69E1">
            <w:pPr>
              <w:spacing w:after="0" w:line="240" w:lineRule="auto"/>
              <w:jc w:val="center"/>
              <w:rPr>
                <w:rFonts w:ascii="Garamond" w:hAnsi="Garamond"/>
                <w:b/>
                <w:bCs/>
                <w:color w:val="FF0000"/>
                <w:sz w:val="10"/>
                <w:szCs w:val="10"/>
              </w:rPr>
            </w:pPr>
          </w:p>
        </w:tc>
        <w:tc>
          <w:tcPr>
            <w:tcW w:w="1082" w:type="dxa"/>
            <w:tcBorders>
              <w:top w:val="single" w:sz="4" w:space="0" w:color="000000"/>
              <w:left w:val="nil"/>
              <w:bottom w:val="single" w:sz="4" w:space="0" w:color="000000"/>
              <w:right w:val="single" w:sz="4" w:space="0" w:color="000000"/>
            </w:tcBorders>
            <w:shd w:val="clear" w:color="auto" w:fill="FCE4D6"/>
            <w:vAlign w:val="center"/>
          </w:tcPr>
          <w:p w14:paraId="67101046" w14:textId="77777777" w:rsidR="00DC69E1" w:rsidRPr="00E266CD" w:rsidRDefault="00DC69E1" w:rsidP="00DC69E1">
            <w:pPr>
              <w:spacing w:after="0" w:line="240" w:lineRule="auto"/>
              <w:jc w:val="center"/>
              <w:rPr>
                <w:rFonts w:ascii="Garamond" w:hAnsi="Garamond"/>
                <w:b/>
                <w:bCs/>
                <w:color w:val="FF0000"/>
                <w:sz w:val="10"/>
                <w:szCs w:val="10"/>
              </w:rPr>
            </w:pPr>
          </w:p>
        </w:tc>
        <w:tc>
          <w:tcPr>
            <w:tcW w:w="876" w:type="dxa"/>
            <w:tcBorders>
              <w:top w:val="single" w:sz="4" w:space="0" w:color="000000"/>
              <w:left w:val="nil"/>
              <w:bottom w:val="single" w:sz="4" w:space="0" w:color="000000"/>
              <w:right w:val="single" w:sz="4" w:space="0" w:color="000000"/>
            </w:tcBorders>
            <w:shd w:val="clear" w:color="auto" w:fill="FCE4D6"/>
          </w:tcPr>
          <w:p w14:paraId="6E4D2DB6"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17" w:type="dxa"/>
            <w:tcBorders>
              <w:top w:val="single" w:sz="4" w:space="0" w:color="000000"/>
              <w:left w:val="nil"/>
              <w:bottom w:val="single" w:sz="4" w:space="0" w:color="000000"/>
              <w:right w:val="nil"/>
            </w:tcBorders>
            <w:shd w:val="clear" w:color="auto" w:fill="FCE4D6"/>
          </w:tcPr>
          <w:p w14:paraId="21DF889E"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51" w:type="dxa"/>
            <w:tcBorders>
              <w:top w:val="single" w:sz="4" w:space="0" w:color="000000"/>
              <w:left w:val="nil"/>
              <w:bottom w:val="single" w:sz="4" w:space="0" w:color="000000"/>
              <w:right w:val="single" w:sz="4" w:space="0" w:color="000000"/>
            </w:tcBorders>
            <w:shd w:val="clear" w:color="auto" w:fill="FCE4D6"/>
          </w:tcPr>
          <w:p w14:paraId="1788E5A6"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89" w:type="dxa"/>
            <w:tcBorders>
              <w:top w:val="single" w:sz="4" w:space="0" w:color="000000"/>
              <w:left w:val="nil"/>
              <w:bottom w:val="single" w:sz="4" w:space="0" w:color="000000"/>
              <w:right w:val="single" w:sz="4" w:space="0" w:color="000000"/>
            </w:tcBorders>
            <w:shd w:val="clear" w:color="auto" w:fill="FCE4D6"/>
          </w:tcPr>
          <w:p w14:paraId="79DED962"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r>
      <w:tr w:rsidR="00DC69E1" w:rsidRPr="00E266CD" w14:paraId="004A3889" w14:textId="77777777" w:rsidTr="00697028">
        <w:trPr>
          <w:trHeight w:val="457"/>
          <w:jc w:val="center"/>
        </w:trPr>
        <w:tc>
          <w:tcPr>
            <w:tcW w:w="698" w:type="dxa"/>
            <w:tcBorders>
              <w:top w:val="nil"/>
              <w:left w:val="single" w:sz="8" w:space="0" w:color="000000"/>
              <w:bottom w:val="single" w:sz="4" w:space="0" w:color="000000"/>
              <w:right w:val="single" w:sz="4" w:space="0" w:color="000000"/>
            </w:tcBorders>
            <w:shd w:val="clear" w:color="auto" w:fill="auto"/>
            <w:vAlign w:val="bottom"/>
          </w:tcPr>
          <w:p w14:paraId="2BE075E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2.2.1</w:t>
            </w:r>
          </w:p>
        </w:tc>
        <w:tc>
          <w:tcPr>
            <w:tcW w:w="4109" w:type="dxa"/>
            <w:tcBorders>
              <w:top w:val="single" w:sz="4" w:space="0" w:color="000000"/>
              <w:left w:val="nil"/>
              <w:bottom w:val="single" w:sz="4" w:space="0" w:color="000000"/>
              <w:right w:val="nil"/>
            </w:tcBorders>
            <w:shd w:val="clear" w:color="auto" w:fill="DDEBF7"/>
          </w:tcPr>
          <w:p w14:paraId="5D185B36"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2.2.1 Plotësimi i bazës ligjore të nevojshme për transferimin ndërkombëtar të teknologjive (TNT)</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0A701238"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DPPI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08779B87"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MFE, ML, AKKSHI</w:t>
            </w:r>
          </w:p>
        </w:tc>
        <w:tc>
          <w:tcPr>
            <w:tcW w:w="593" w:type="dxa"/>
            <w:tcBorders>
              <w:top w:val="nil"/>
              <w:left w:val="nil"/>
              <w:bottom w:val="single" w:sz="4" w:space="0" w:color="000000"/>
              <w:right w:val="nil"/>
            </w:tcBorders>
            <w:shd w:val="clear" w:color="auto" w:fill="FFFFFF"/>
            <w:vAlign w:val="center"/>
          </w:tcPr>
          <w:p w14:paraId="6F9651D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w:t>
            </w:r>
            <w:r w:rsidRPr="00E266CD">
              <w:rPr>
                <w:rFonts w:ascii="Garamond" w:eastAsia="Times New Roman" w:hAnsi="Garamond"/>
                <w:sz w:val="10"/>
                <w:szCs w:val="10"/>
              </w:rPr>
              <w:t>3</w:t>
            </w:r>
          </w:p>
        </w:tc>
        <w:tc>
          <w:tcPr>
            <w:tcW w:w="872" w:type="dxa"/>
            <w:tcBorders>
              <w:top w:val="nil"/>
              <w:left w:val="single" w:sz="4" w:space="0" w:color="000000"/>
              <w:bottom w:val="single" w:sz="4" w:space="0" w:color="000000"/>
              <w:right w:val="nil"/>
            </w:tcBorders>
            <w:shd w:val="clear" w:color="auto" w:fill="FFFFFF"/>
            <w:vAlign w:val="center"/>
          </w:tcPr>
          <w:p w14:paraId="74CDE5F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19FB23B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34,812,246</w:t>
            </w:r>
          </w:p>
        </w:tc>
        <w:tc>
          <w:tcPr>
            <w:tcW w:w="936" w:type="dxa"/>
            <w:tcBorders>
              <w:top w:val="nil"/>
              <w:left w:val="nil"/>
              <w:bottom w:val="single" w:sz="4" w:space="0" w:color="000000"/>
              <w:right w:val="single" w:sz="4" w:space="0" w:color="000000"/>
            </w:tcBorders>
            <w:shd w:val="clear" w:color="auto" w:fill="auto"/>
            <w:vAlign w:val="center"/>
          </w:tcPr>
          <w:p w14:paraId="52971E1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0A6A520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34,812,246</w:t>
            </w:r>
          </w:p>
        </w:tc>
        <w:tc>
          <w:tcPr>
            <w:tcW w:w="876" w:type="dxa"/>
            <w:tcBorders>
              <w:top w:val="single" w:sz="8" w:space="0" w:color="000000"/>
              <w:left w:val="single" w:sz="4" w:space="0" w:color="000000"/>
              <w:bottom w:val="single" w:sz="4" w:space="0" w:color="000000"/>
              <w:right w:val="nil"/>
            </w:tcBorders>
            <w:shd w:val="clear" w:color="auto" w:fill="auto"/>
            <w:vAlign w:val="center"/>
          </w:tcPr>
          <w:p w14:paraId="2BDA22E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33,577,444</w:t>
            </w:r>
          </w:p>
        </w:tc>
        <w:tc>
          <w:tcPr>
            <w:tcW w:w="817" w:type="dxa"/>
            <w:tcBorders>
              <w:top w:val="nil"/>
              <w:left w:val="single" w:sz="4" w:space="0" w:color="000000"/>
              <w:bottom w:val="single" w:sz="4" w:space="0" w:color="000000"/>
              <w:right w:val="single" w:sz="4" w:space="0" w:color="000000"/>
            </w:tcBorders>
            <w:vAlign w:val="center"/>
          </w:tcPr>
          <w:p w14:paraId="6A78ABA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325E6CC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6B7EF35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-1,234,802</w:t>
            </w:r>
          </w:p>
        </w:tc>
      </w:tr>
      <w:tr w:rsidR="00DC69E1" w:rsidRPr="00E266CD" w14:paraId="699B802C" w14:textId="77777777" w:rsidTr="00697028">
        <w:trPr>
          <w:trHeight w:val="583"/>
          <w:jc w:val="center"/>
        </w:trPr>
        <w:tc>
          <w:tcPr>
            <w:tcW w:w="698" w:type="dxa"/>
            <w:tcBorders>
              <w:top w:val="nil"/>
              <w:left w:val="single" w:sz="8" w:space="0" w:color="000000"/>
              <w:bottom w:val="single" w:sz="4" w:space="0" w:color="000000"/>
              <w:right w:val="single" w:sz="4" w:space="0" w:color="000000"/>
            </w:tcBorders>
            <w:shd w:val="clear" w:color="auto" w:fill="auto"/>
            <w:vAlign w:val="bottom"/>
          </w:tcPr>
          <w:p w14:paraId="3A6790D9"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2.2.2</w:t>
            </w:r>
          </w:p>
        </w:tc>
        <w:tc>
          <w:tcPr>
            <w:tcW w:w="4109" w:type="dxa"/>
            <w:tcBorders>
              <w:top w:val="nil"/>
              <w:left w:val="nil"/>
              <w:bottom w:val="single" w:sz="4" w:space="0" w:color="000000"/>
              <w:right w:val="nil"/>
            </w:tcBorders>
            <w:shd w:val="clear" w:color="auto" w:fill="DDEBF7"/>
          </w:tcPr>
          <w:p w14:paraId="322CADB3" w14:textId="39A6E128"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2.2.2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 xml:space="preserve">Fuqizimi i kapaciteteve të IAL-ve për transferimin ndërkombëtar të teknologjisë </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77107E38"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4EC7348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MFE, MAS, MBZHR, IAL MSHMS</w:t>
            </w:r>
          </w:p>
        </w:tc>
        <w:tc>
          <w:tcPr>
            <w:tcW w:w="593" w:type="dxa"/>
            <w:tcBorders>
              <w:top w:val="nil"/>
              <w:left w:val="nil"/>
              <w:bottom w:val="single" w:sz="4" w:space="0" w:color="000000"/>
              <w:right w:val="nil"/>
            </w:tcBorders>
            <w:shd w:val="clear" w:color="auto" w:fill="FFFFFF"/>
            <w:vAlign w:val="center"/>
          </w:tcPr>
          <w:p w14:paraId="4B365D5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872" w:type="dxa"/>
            <w:tcBorders>
              <w:top w:val="nil"/>
              <w:left w:val="single" w:sz="4" w:space="0" w:color="000000"/>
              <w:bottom w:val="single" w:sz="4" w:space="0" w:color="000000"/>
              <w:right w:val="nil"/>
            </w:tcBorders>
            <w:shd w:val="clear" w:color="auto" w:fill="FFFFFF"/>
            <w:vAlign w:val="center"/>
          </w:tcPr>
          <w:p w14:paraId="7FA7544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51581B4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3,390,803</w:t>
            </w:r>
          </w:p>
        </w:tc>
        <w:tc>
          <w:tcPr>
            <w:tcW w:w="936" w:type="dxa"/>
            <w:tcBorders>
              <w:top w:val="nil"/>
              <w:left w:val="nil"/>
              <w:bottom w:val="single" w:sz="4" w:space="0" w:color="000000"/>
              <w:right w:val="single" w:sz="4" w:space="0" w:color="000000"/>
            </w:tcBorders>
            <w:shd w:val="clear" w:color="auto" w:fill="auto"/>
            <w:vAlign w:val="center"/>
          </w:tcPr>
          <w:p w14:paraId="3C1C432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348CB0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3,390,803</w:t>
            </w:r>
          </w:p>
        </w:tc>
        <w:tc>
          <w:tcPr>
            <w:tcW w:w="876" w:type="dxa"/>
            <w:tcBorders>
              <w:top w:val="single" w:sz="8" w:space="0" w:color="000000"/>
              <w:left w:val="single" w:sz="4" w:space="0" w:color="000000"/>
              <w:bottom w:val="single" w:sz="4" w:space="0" w:color="000000"/>
              <w:right w:val="nil"/>
            </w:tcBorders>
            <w:shd w:val="clear" w:color="auto" w:fill="auto"/>
            <w:vAlign w:val="center"/>
          </w:tcPr>
          <w:p w14:paraId="3AA22E5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1,149,202</w:t>
            </w:r>
          </w:p>
        </w:tc>
        <w:tc>
          <w:tcPr>
            <w:tcW w:w="817" w:type="dxa"/>
            <w:tcBorders>
              <w:top w:val="nil"/>
              <w:left w:val="single" w:sz="4" w:space="0" w:color="000000"/>
              <w:bottom w:val="single" w:sz="4" w:space="0" w:color="000000"/>
              <w:right w:val="single" w:sz="4" w:space="0" w:color="000000"/>
            </w:tcBorders>
            <w:vAlign w:val="center"/>
          </w:tcPr>
          <w:p w14:paraId="7AD905D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72C2E0F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393CB93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-2,241,601</w:t>
            </w:r>
          </w:p>
        </w:tc>
      </w:tr>
      <w:tr w:rsidR="00DC69E1" w:rsidRPr="00E266CD" w14:paraId="59CD8060" w14:textId="77777777" w:rsidTr="00697028">
        <w:trPr>
          <w:trHeight w:val="430"/>
          <w:jc w:val="center"/>
        </w:trPr>
        <w:tc>
          <w:tcPr>
            <w:tcW w:w="698" w:type="dxa"/>
            <w:tcBorders>
              <w:top w:val="nil"/>
              <w:left w:val="single" w:sz="8" w:space="0" w:color="000000"/>
              <w:bottom w:val="single" w:sz="4" w:space="0" w:color="000000"/>
              <w:right w:val="single" w:sz="4" w:space="0" w:color="000000"/>
            </w:tcBorders>
            <w:shd w:val="clear" w:color="auto" w:fill="auto"/>
            <w:vAlign w:val="bottom"/>
          </w:tcPr>
          <w:p w14:paraId="0D91137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2.2.3</w:t>
            </w:r>
          </w:p>
        </w:tc>
        <w:tc>
          <w:tcPr>
            <w:tcW w:w="4109" w:type="dxa"/>
            <w:tcBorders>
              <w:top w:val="nil"/>
              <w:left w:val="nil"/>
              <w:bottom w:val="single" w:sz="4" w:space="0" w:color="000000"/>
              <w:right w:val="nil"/>
            </w:tcBorders>
            <w:shd w:val="clear" w:color="auto" w:fill="DDEBF7"/>
          </w:tcPr>
          <w:p w14:paraId="11A4A343"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2.2.3 Zhvillimi i infrastrukturave të reja që mundësojnë transferimin ndërkombëtar të teknologjive</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7417EB7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MFE</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54B077C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MBZHR, IAL MSHMS</w:t>
            </w:r>
          </w:p>
        </w:tc>
        <w:tc>
          <w:tcPr>
            <w:tcW w:w="593" w:type="dxa"/>
            <w:tcBorders>
              <w:top w:val="nil"/>
              <w:left w:val="nil"/>
              <w:bottom w:val="single" w:sz="4" w:space="0" w:color="000000"/>
              <w:right w:val="nil"/>
            </w:tcBorders>
            <w:shd w:val="clear" w:color="auto" w:fill="FFFFFF"/>
            <w:vAlign w:val="center"/>
          </w:tcPr>
          <w:p w14:paraId="10EF5DB7"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vAlign w:val="center"/>
          </w:tcPr>
          <w:p w14:paraId="49EB023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57C0851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25,084,665</w:t>
            </w:r>
          </w:p>
        </w:tc>
        <w:tc>
          <w:tcPr>
            <w:tcW w:w="936" w:type="dxa"/>
            <w:tcBorders>
              <w:top w:val="nil"/>
              <w:left w:val="nil"/>
              <w:bottom w:val="single" w:sz="4" w:space="0" w:color="000000"/>
              <w:right w:val="single" w:sz="4" w:space="0" w:color="000000"/>
            </w:tcBorders>
            <w:shd w:val="clear" w:color="auto" w:fill="auto"/>
            <w:vAlign w:val="center"/>
          </w:tcPr>
          <w:p w14:paraId="0FBEBB6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29,894,200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327C4B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54,978,865</w:t>
            </w:r>
          </w:p>
        </w:tc>
        <w:tc>
          <w:tcPr>
            <w:tcW w:w="876" w:type="dxa"/>
            <w:tcBorders>
              <w:top w:val="single" w:sz="8" w:space="0" w:color="000000"/>
              <w:left w:val="single" w:sz="4" w:space="0" w:color="000000"/>
              <w:bottom w:val="single" w:sz="4" w:space="0" w:color="000000"/>
              <w:right w:val="nil"/>
            </w:tcBorders>
            <w:shd w:val="clear" w:color="auto" w:fill="auto"/>
            <w:vAlign w:val="center"/>
          </w:tcPr>
          <w:p w14:paraId="47B2951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17" w:type="dxa"/>
            <w:tcBorders>
              <w:top w:val="nil"/>
              <w:left w:val="single" w:sz="4" w:space="0" w:color="000000"/>
              <w:bottom w:val="single" w:sz="4" w:space="0" w:color="000000"/>
              <w:right w:val="single" w:sz="4" w:space="0" w:color="000000"/>
            </w:tcBorders>
            <w:vAlign w:val="center"/>
          </w:tcPr>
          <w:p w14:paraId="290D9F4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29,342,200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0AA4CC3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6F3B879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-25,636,665</w:t>
            </w:r>
          </w:p>
        </w:tc>
      </w:tr>
      <w:tr w:rsidR="00DC69E1" w:rsidRPr="00E266CD" w14:paraId="38C5687D" w14:textId="77777777" w:rsidTr="00697028">
        <w:trPr>
          <w:trHeight w:val="763"/>
          <w:jc w:val="center"/>
        </w:trPr>
        <w:tc>
          <w:tcPr>
            <w:tcW w:w="698" w:type="dxa"/>
            <w:tcBorders>
              <w:top w:val="nil"/>
              <w:left w:val="single" w:sz="8" w:space="0" w:color="000000"/>
              <w:bottom w:val="single" w:sz="4" w:space="0" w:color="000000"/>
              <w:right w:val="single" w:sz="4" w:space="0" w:color="000000"/>
            </w:tcBorders>
            <w:shd w:val="clear" w:color="auto" w:fill="auto"/>
            <w:vAlign w:val="bottom"/>
          </w:tcPr>
          <w:p w14:paraId="3BC2B88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2.2.4</w:t>
            </w:r>
          </w:p>
        </w:tc>
        <w:tc>
          <w:tcPr>
            <w:tcW w:w="4109" w:type="dxa"/>
            <w:tcBorders>
              <w:top w:val="nil"/>
              <w:left w:val="nil"/>
              <w:bottom w:val="single" w:sz="4" w:space="0" w:color="000000"/>
              <w:right w:val="nil"/>
            </w:tcBorders>
            <w:shd w:val="clear" w:color="auto" w:fill="DDEBF7"/>
          </w:tcPr>
          <w:p w14:paraId="382D9165" w14:textId="03882D24"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2.2.4</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Promovimi i programeve ndërkombëtare që mbështesin transferimin e teknologjisë dhe njohja e të gjith</w:t>
            </w:r>
            <w:r w:rsidR="00657978">
              <w:rPr>
                <w:rFonts w:ascii="Garamond" w:eastAsia="Times New Roman" w:hAnsi="Garamond"/>
                <w:color w:val="000000"/>
                <w:sz w:val="10"/>
                <w:szCs w:val="10"/>
              </w:rPr>
              <w:t>a</w:t>
            </w:r>
            <w:r w:rsidRPr="00E266CD">
              <w:rPr>
                <w:rFonts w:ascii="Garamond" w:eastAsia="Times New Roman" w:hAnsi="Garamond"/>
                <w:color w:val="000000"/>
                <w:sz w:val="10"/>
                <w:szCs w:val="10"/>
              </w:rPr>
              <w:t xml:space="preserve"> grupeve të interesit me mekanizmat, instrumentet e financimit/mbështetjes së transferimit ndërkombëtar të teknologjisë</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472FA9AE"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0A8D57D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IAL, ML</w:t>
            </w:r>
          </w:p>
        </w:tc>
        <w:tc>
          <w:tcPr>
            <w:tcW w:w="593" w:type="dxa"/>
            <w:tcBorders>
              <w:top w:val="nil"/>
              <w:left w:val="nil"/>
              <w:bottom w:val="single" w:sz="4" w:space="0" w:color="000000"/>
              <w:right w:val="nil"/>
            </w:tcBorders>
            <w:shd w:val="clear" w:color="auto" w:fill="FFFFFF"/>
            <w:vAlign w:val="center"/>
          </w:tcPr>
          <w:p w14:paraId="6B6EE46F"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vAlign w:val="center"/>
          </w:tcPr>
          <w:p w14:paraId="183E6BAA"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2DB51D9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3,803,101</w:t>
            </w:r>
          </w:p>
        </w:tc>
        <w:tc>
          <w:tcPr>
            <w:tcW w:w="936" w:type="dxa"/>
            <w:tcBorders>
              <w:top w:val="nil"/>
              <w:left w:val="nil"/>
              <w:bottom w:val="single" w:sz="4" w:space="0" w:color="000000"/>
              <w:right w:val="single" w:sz="4" w:space="0" w:color="000000"/>
            </w:tcBorders>
            <w:shd w:val="clear" w:color="auto" w:fill="auto"/>
            <w:vAlign w:val="center"/>
          </w:tcPr>
          <w:p w14:paraId="183E0D7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1F976A9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3,803,101</w:t>
            </w:r>
          </w:p>
        </w:tc>
        <w:tc>
          <w:tcPr>
            <w:tcW w:w="876" w:type="dxa"/>
            <w:tcBorders>
              <w:top w:val="single" w:sz="8" w:space="0" w:color="000000"/>
              <w:left w:val="single" w:sz="4" w:space="0" w:color="000000"/>
              <w:bottom w:val="single" w:sz="4" w:space="0" w:color="000000"/>
              <w:right w:val="nil"/>
            </w:tcBorders>
            <w:shd w:val="clear" w:color="auto" w:fill="auto"/>
            <w:vAlign w:val="center"/>
          </w:tcPr>
          <w:p w14:paraId="0EE207D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464,100</w:t>
            </w:r>
          </w:p>
        </w:tc>
        <w:tc>
          <w:tcPr>
            <w:tcW w:w="817" w:type="dxa"/>
            <w:tcBorders>
              <w:top w:val="nil"/>
              <w:left w:val="single" w:sz="4" w:space="0" w:color="000000"/>
              <w:bottom w:val="single" w:sz="4" w:space="0" w:color="000000"/>
              <w:right w:val="single" w:sz="4" w:space="0" w:color="000000"/>
            </w:tcBorders>
            <w:vAlign w:val="center"/>
          </w:tcPr>
          <w:p w14:paraId="10529D4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4C68FAD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726C1DF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-3,339,001</w:t>
            </w:r>
          </w:p>
        </w:tc>
      </w:tr>
      <w:tr w:rsidR="00DC69E1" w:rsidRPr="00E266CD" w14:paraId="638708E0" w14:textId="77777777" w:rsidTr="00697028">
        <w:trPr>
          <w:trHeight w:val="466"/>
          <w:jc w:val="center"/>
        </w:trPr>
        <w:tc>
          <w:tcPr>
            <w:tcW w:w="698" w:type="dxa"/>
            <w:tcBorders>
              <w:top w:val="nil"/>
              <w:left w:val="single" w:sz="8" w:space="0" w:color="000000"/>
              <w:bottom w:val="single" w:sz="4" w:space="0" w:color="000000"/>
              <w:right w:val="single" w:sz="4" w:space="0" w:color="000000"/>
            </w:tcBorders>
            <w:shd w:val="clear" w:color="auto" w:fill="auto"/>
            <w:vAlign w:val="bottom"/>
          </w:tcPr>
          <w:p w14:paraId="0846574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2.2.5</w:t>
            </w:r>
          </w:p>
        </w:tc>
        <w:tc>
          <w:tcPr>
            <w:tcW w:w="4109" w:type="dxa"/>
            <w:tcBorders>
              <w:top w:val="nil"/>
              <w:left w:val="nil"/>
              <w:bottom w:val="single" w:sz="4" w:space="0" w:color="000000"/>
              <w:right w:val="nil"/>
            </w:tcBorders>
            <w:shd w:val="clear" w:color="auto" w:fill="DDEBF7"/>
          </w:tcPr>
          <w:p w14:paraId="0D8E3C45"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2.2.5 Hartimi i udhëzuesve (që përfshijnë protokollet dhe procedurat) për hartimin e projekteve të përbashkëta</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24AAECDF"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4C4DFDA1"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nil"/>
              <w:left w:val="nil"/>
              <w:bottom w:val="single" w:sz="4" w:space="0" w:color="000000"/>
              <w:right w:val="nil"/>
            </w:tcBorders>
            <w:shd w:val="clear" w:color="auto" w:fill="FFFFFF"/>
            <w:vAlign w:val="center"/>
          </w:tcPr>
          <w:p w14:paraId="6707E26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vAlign w:val="center"/>
          </w:tcPr>
          <w:p w14:paraId="348660BE"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223A172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1,320,000</w:t>
            </w:r>
          </w:p>
        </w:tc>
        <w:tc>
          <w:tcPr>
            <w:tcW w:w="936" w:type="dxa"/>
            <w:tcBorders>
              <w:top w:val="nil"/>
              <w:left w:val="nil"/>
              <w:bottom w:val="single" w:sz="4" w:space="0" w:color="000000"/>
              <w:right w:val="single" w:sz="4" w:space="0" w:color="000000"/>
            </w:tcBorders>
            <w:shd w:val="clear" w:color="auto" w:fill="auto"/>
            <w:vAlign w:val="center"/>
          </w:tcPr>
          <w:p w14:paraId="299689C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0F3199D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1,320,000</w:t>
            </w:r>
          </w:p>
        </w:tc>
        <w:tc>
          <w:tcPr>
            <w:tcW w:w="876" w:type="dxa"/>
            <w:tcBorders>
              <w:top w:val="single" w:sz="8" w:space="0" w:color="000000"/>
              <w:left w:val="single" w:sz="4" w:space="0" w:color="000000"/>
              <w:bottom w:val="single" w:sz="4" w:space="0" w:color="000000"/>
              <w:right w:val="nil"/>
            </w:tcBorders>
            <w:shd w:val="clear" w:color="auto" w:fill="auto"/>
            <w:vAlign w:val="center"/>
          </w:tcPr>
          <w:p w14:paraId="7CE7F6E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17" w:type="dxa"/>
            <w:tcBorders>
              <w:top w:val="nil"/>
              <w:left w:val="single" w:sz="4" w:space="0" w:color="000000"/>
              <w:bottom w:val="single" w:sz="4" w:space="0" w:color="000000"/>
              <w:right w:val="single" w:sz="4" w:space="0" w:color="000000"/>
            </w:tcBorders>
            <w:vAlign w:val="center"/>
          </w:tcPr>
          <w:p w14:paraId="69F7799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5600A44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71ABB68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-1,320,000</w:t>
            </w:r>
          </w:p>
        </w:tc>
      </w:tr>
      <w:tr w:rsidR="00DC69E1" w:rsidRPr="00E266CD" w14:paraId="3A9C39A5" w14:textId="77777777" w:rsidTr="00697028">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4E6C687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2FF191ED" w14:textId="66C964F6"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657978">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657978">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2.2</w:t>
            </w:r>
          </w:p>
        </w:tc>
        <w:tc>
          <w:tcPr>
            <w:tcW w:w="1267" w:type="dxa"/>
            <w:gridSpan w:val="2"/>
            <w:tcBorders>
              <w:top w:val="nil"/>
              <w:left w:val="nil"/>
              <w:bottom w:val="nil"/>
              <w:right w:val="single" w:sz="4" w:space="0" w:color="000000"/>
            </w:tcBorders>
            <w:shd w:val="clear" w:color="auto" w:fill="D9D9D9"/>
            <w:vAlign w:val="center"/>
          </w:tcPr>
          <w:p w14:paraId="6177F701"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gridSpan w:val="2"/>
            <w:tcBorders>
              <w:top w:val="nil"/>
              <w:left w:val="nil"/>
              <w:bottom w:val="nil"/>
              <w:right w:val="single" w:sz="4" w:space="0" w:color="000000"/>
            </w:tcBorders>
            <w:shd w:val="clear" w:color="auto" w:fill="D9D9D9"/>
            <w:vAlign w:val="center"/>
          </w:tcPr>
          <w:p w14:paraId="524BCD4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410E4C6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5C959C5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729C047B"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68,410,816</w:t>
            </w:r>
          </w:p>
        </w:tc>
        <w:tc>
          <w:tcPr>
            <w:tcW w:w="936" w:type="dxa"/>
            <w:tcBorders>
              <w:top w:val="nil"/>
              <w:left w:val="nil"/>
              <w:bottom w:val="nil"/>
              <w:right w:val="single" w:sz="4" w:space="0" w:color="000000"/>
            </w:tcBorders>
            <w:shd w:val="clear" w:color="auto" w:fill="D9D9D9"/>
            <w:vAlign w:val="center"/>
          </w:tcPr>
          <w:p w14:paraId="6664D014"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29,894,200</w:t>
            </w:r>
          </w:p>
        </w:tc>
        <w:tc>
          <w:tcPr>
            <w:tcW w:w="1082" w:type="dxa"/>
            <w:tcBorders>
              <w:top w:val="nil"/>
              <w:left w:val="nil"/>
              <w:bottom w:val="nil"/>
              <w:right w:val="single" w:sz="4" w:space="0" w:color="000000"/>
            </w:tcBorders>
            <w:shd w:val="clear" w:color="auto" w:fill="D9D9D9"/>
            <w:vAlign w:val="center"/>
          </w:tcPr>
          <w:p w14:paraId="448F7099"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98,305,016</w:t>
            </w:r>
          </w:p>
        </w:tc>
        <w:tc>
          <w:tcPr>
            <w:tcW w:w="876" w:type="dxa"/>
            <w:tcBorders>
              <w:top w:val="nil"/>
              <w:left w:val="nil"/>
              <w:bottom w:val="nil"/>
              <w:right w:val="single" w:sz="4" w:space="0" w:color="000000"/>
            </w:tcBorders>
            <w:shd w:val="clear" w:color="auto" w:fill="D9D9D9"/>
            <w:vAlign w:val="center"/>
          </w:tcPr>
          <w:p w14:paraId="4DDF758C"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35,190,746</w:t>
            </w:r>
          </w:p>
        </w:tc>
        <w:tc>
          <w:tcPr>
            <w:tcW w:w="817" w:type="dxa"/>
            <w:tcBorders>
              <w:top w:val="nil"/>
              <w:left w:val="nil"/>
              <w:bottom w:val="nil"/>
              <w:right w:val="nil"/>
            </w:tcBorders>
            <w:shd w:val="clear" w:color="auto" w:fill="D9D9D9"/>
            <w:vAlign w:val="center"/>
          </w:tcPr>
          <w:p w14:paraId="10AD5F24"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29,342,200</w:t>
            </w:r>
          </w:p>
        </w:tc>
        <w:tc>
          <w:tcPr>
            <w:tcW w:w="851" w:type="dxa"/>
            <w:tcBorders>
              <w:top w:val="nil"/>
              <w:left w:val="nil"/>
              <w:bottom w:val="nil"/>
              <w:right w:val="single" w:sz="4" w:space="0" w:color="000000"/>
            </w:tcBorders>
            <w:shd w:val="clear" w:color="auto" w:fill="D9D9D9"/>
            <w:vAlign w:val="center"/>
          </w:tcPr>
          <w:p w14:paraId="6627B56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nil"/>
              <w:right w:val="single" w:sz="4" w:space="0" w:color="000000"/>
            </w:tcBorders>
            <w:shd w:val="clear" w:color="auto" w:fill="D9D9D9"/>
            <w:vAlign w:val="center"/>
          </w:tcPr>
          <w:p w14:paraId="1C671BA5"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-33,772,070</w:t>
            </w:r>
          </w:p>
        </w:tc>
      </w:tr>
      <w:tr w:rsidR="00DC69E1" w:rsidRPr="00E266CD" w14:paraId="550E320E" w14:textId="77777777" w:rsidTr="00697028">
        <w:trPr>
          <w:trHeight w:val="421"/>
          <w:jc w:val="center"/>
        </w:trPr>
        <w:tc>
          <w:tcPr>
            <w:tcW w:w="698" w:type="dxa"/>
            <w:tcBorders>
              <w:top w:val="single" w:sz="8" w:space="0" w:color="000000"/>
              <w:left w:val="single" w:sz="8" w:space="0" w:color="000000"/>
              <w:bottom w:val="single" w:sz="4" w:space="0" w:color="000000"/>
              <w:right w:val="single" w:sz="4" w:space="0" w:color="000000"/>
            </w:tcBorders>
            <w:shd w:val="clear" w:color="auto" w:fill="auto"/>
            <w:vAlign w:val="center"/>
          </w:tcPr>
          <w:p w14:paraId="165C4B5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2.3</w:t>
            </w:r>
          </w:p>
        </w:tc>
        <w:tc>
          <w:tcPr>
            <w:tcW w:w="4109" w:type="dxa"/>
            <w:tcBorders>
              <w:top w:val="single" w:sz="4" w:space="0" w:color="000000"/>
              <w:left w:val="nil"/>
              <w:bottom w:val="single" w:sz="4" w:space="0" w:color="000000"/>
              <w:right w:val="single" w:sz="4" w:space="0" w:color="000000"/>
            </w:tcBorders>
            <w:shd w:val="clear" w:color="auto" w:fill="FCE4D6"/>
          </w:tcPr>
          <w:p w14:paraId="6DC2ADEE" w14:textId="32032A23"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2.3 Objektivi </w:t>
            </w:r>
            <w:r w:rsidR="00657978">
              <w:rPr>
                <w:rFonts w:ascii="Garamond" w:eastAsia="Times New Roman" w:hAnsi="Garamond"/>
                <w:color w:val="000000"/>
                <w:sz w:val="10"/>
                <w:szCs w:val="10"/>
              </w:rPr>
              <w:t>s</w:t>
            </w:r>
            <w:r w:rsidRPr="00E266CD">
              <w:rPr>
                <w:rFonts w:ascii="Garamond" w:eastAsia="Times New Roman" w:hAnsi="Garamond"/>
                <w:color w:val="000000"/>
                <w:sz w:val="10"/>
                <w:szCs w:val="10"/>
              </w:rPr>
              <w:t>pecifik 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Rritja e rolit të shkencës dhe inovacionit në zhvillimin teknologjik</w:t>
            </w:r>
          </w:p>
        </w:tc>
        <w:tc>
          <w:tcPr>
            <w:tcW w:w="1267" w:type="dxa"/>
            <w:gridSpan w:val="2"/>
            <w:tcBorders>
              <w:top w:val="single" w:sz="4" w:space="0" w:color="000000"/>
              <w:left w:val="single" w:sz="4" w:space="0" w:color="000000"/>
              <w:bottom w:val="nil"/>
              <w:right w:val="single" w:sz="4" w:space="0" w:color="000000"/>
            </w:tcBorders>
            <w:shd w:val="clear" w:color="auto" w:fill="FCE4D6"/>
          </w:tcPr>
          <w:p w14:paraId="60976A30"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 AKFAL , MFE</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FCE4D6"/>
          </w:tcPr>
          <w:p w14:paraId="2BD18E7A" w14:textId="45E587B8"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MAS,</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DPPI, IAL ML AKSHI</w:t>
            </w:r>
          </w:p>
        </w:tc>
        <w:tc>
          <w:tcPr>
            <w:tcW w:w="593" w:type="dxa"/>
            <w:tcBorders>
              <w:top w:val="single" w:sz="4" w:space="0" w:color="000000"/>
              <w:left w:val="single" w:sz="4" w:space="0" w:color="000000"/>
              <w:bottom w:val="single" w:sz="4" w:space="0" w:color="000000"/>
              <w:right w:val="single" w:sz="4" w:space="0" w:color="000000"/>
            </w:tcBorders>
            <w:shd w:val="clear" w:color="auto" w:fill="FCE4D6"/>
          </w:tcPr>
          <w:p w14:paraId="2153AC66"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single" w:sz="4" w:space="0" w:color="000000"/>
            </w:tcBorders>
            <w:shd w:val="clear" w:color="auto" w:fill="FCE4D6"/>
          </w:tcPr>
          <w:p w14:paraId="220982DF"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single" w:sz="4" w:space="0" w:color="000000"/>
              <w:bottom w:val="nil"/>
              <w:right w:val="single" w:sz="4" w:space="0" w:color="000000"/>
            </w:tcBorders>
            <w:shd w:val="clear" w:color="auto" w:fill="FCE4D6"/>
            <w:vAlign w:val="center"/>
          </w:tcPr>
          <w:p w14:paraId="61EE793B" w14:textId="77777777" w:rsidR="00DC69E1" w:rsidRPr="00E266CD" w:rsidRDefault="00DC69E1" w:rsidP="00DC69E1">
            <w:pPr>
              <w:spacing w:after="0" w:line="240" w:lineRule="auto"/>
              <w:jc w:val="center"/>
              <w:rPr>
                <w:rFonts w:ascii="Garamond" w:hAnsi="Garamond"/>
                <w:b/>
                <w:bCs/>
                <w:color w:val="FF0000"/>
                <w:sz w:val="10"/>
                <w:szCs w:val="10"/>
              </w:rPr>
            </w:pPr>
          </w:p>
        </w:tc>
        <w:tc>
          <w:tcPr>
            <w:tcW w:w="936" w:type="dxa"/>
            <w:tcBorders>
              <w:top w:val="single" w:sz="4" w:space="0" w:color="000000"/>
              <w:left w:val="single" w:sz="4" w:space="0" w:color="000000"/>
              <w:bottom w:val="nil"/>
              <w:right w:val="single" w:sz="4" w:space="0" w:color="000000"/>
            </w:tcBorders>
            <w:shd w:val="clear" w:color="auto" w:fill="FCE4D6"/>
            <w:vAlign w:val="center"/>
          </w:tcPr>
          <w:p w14:paraId="14ADAC92" w14:textId="77777777" w:rsidR="00DC69E1" w:rsidRPr="00E266CD" w:rsidRDefault="00DC69E1" w:rsidP="00DC69E1">
            <w:pPr>
              <w:spacing w:after="0" w:line="240" w:lineRule="auto"/>
              <w:jc w:val="center"/>
              <w:rPr>
                <w:rFonts w:ascii="Garamond" w:hAnsi="Garamond"/>
                <w:b/>
                <w:bCs/>
                <w:color w:val="FF0000"/>
                <w:sz w:val="10"/>
                <w:szCs w:val="10"/>
              </w:rPr>
            </w:pPr>
          </w:p>
        </w:tc>
        <w:tc>
          <w:tcPr>
            <w:tcW w:w="1082" w:type="dxa"/>
            <w:tcBorders>
              <w:top w:val="single" w:sz="4" w:space="0" w:color="000000"/>
              <w:left w:val="single" w:sz="4" w:space="0" w:color="000000"/>
              <w:bottom w:val="nil"/>
              <w:right w:val="single" w:sz="4" w:space="0" w:color="000000"/>
            </w:tcBorders>
            <w:shd w:val="clear" w:color="auto" w:fill="FCE4D6"/>
            <w:vAlign w:val="center"/>
          </w:tcPr>
          <w:p w14:paraId="65C2123C" w14:textId="77777777" w:rsidR="00DC69E1" w:rsidRPr="00E266CD" w:rsidRDefault="00DC69E1" w:rsidP="00DC69E1">
            <w:pPr>
              <w:spacing w:after="0" w:line="240" w:lineRule="auto"/>
              <w:jc w:val="center"/>
              <w:rPr>
                <w:rFonts w:ascii="Garamond" w:hAnsi="Garamond"/>
                <w:b/>
                <w:bCs/>
                <w:color w:val="FF0000"/>
                <w:sz w:val="10"/>
                <w:szCs w:val="10"/>
              </w:rPr>
            </w:pPr>
          </w:p>
        </w:tc>
        <w:tc>
          <w:tcPr>
            <w:tcW w:w="876" w:type="dxa"/>
            <w:tcBorders>
              <w:top w:val="single" w:sz="4" w:space="0" w:color="000000"/>
              <w:left w:val="single" w:sz="4" w:space="0" w:color="000000"/>
              <w:bottom w:val="nil"/>
              <w:right w:val="single" w:sz="4" w:space="0" w:color="000000"/>
            </w:tcBorders>
            <w:shd w:val="clear" w:color="auto" w:fill="FCE4D6"/>
          </w:tcPr>
          <w:p w14:paraId="614286A6"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17" w:type="dxa"/>
            <w:tcBorders>
              <w:top w:val="single" w:sz="4" w:space="0" w:color="000000"/>
              <w:left w:val="single" w:sz="4" w:space="0" w:color="000000"/>
              <w:bottom w:val="single" w:sz="4" w:space="0" w:color="000000"/>
              <w:right w:val="single" w:sz="4" w:space="0" w:color="000000"/>
            </w:tcBorders>
            <w:shd w:val="clear" w:color="auto" w:fill="FCE4D6"/>
          </w:tcPr>
          <w:p w14:paraId="50347C00"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FCE4D6"/>
          </w:tcPr>
          <w:p w14:paraId="0885E2D8"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89" w:type="dxa"/>
            <w:tcBorders>
              <w:top w:val="single" w:sz="4" w:space="0" w:color="000000"/>
              <w:left w:val="single" w:sz="4" w:space="0" w:color="000000"/>
              <w:bottom w:val="nil"/>
              <w:right w:val="single" w:sz="4" w:space="0" w:color="000000"/>
            </w:tcBorders>
            <w:shd w:val="clear" w:color="auto" w:fill="FCE4D6"/>
          </w:tcPr>
          <w:p w14:paraId="135C3FF4"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r>
      <w:tr w:rsidR="00DC69E1" w:rsidRPr="00E266CD" w14:paraId="10631B3C" w14:textId="77777777" w:rsidTr="00697028">
        <w:trPr>
          <w:trHeight w:val="556"/>
          <w:jc w:val="center"/>
        </w:trPr>
        <w:tc>
          <w:tcPr>
            <w:tcW w:w="698" w:type="dxa"/>
            <w:tcBorders>
              <w:top w:val="nil"/>
              <w:left w:val="single" w:sz="8" w:space="0" w:color="000000"/>
              <w:bottom w:val="nil"/>
              <w:right w:val="single" w:sz="4" w:space="0" w:color="000000"/>
            </w:tcBorders>
            <w:shd w:val="clear" w:color="auto" w:fill="auto"/>
            <w:vAlign w:val="center"/>
          </w:tcPr>
          <w:p w14:paraId="1CA328B1"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2.3.1</w:t>
            </w:r>
          </w:p>
        </w:tc>
        <w:tc>
          <w:tcPr>
            <w:tcW w:w="4109" w:type="dxa"/>
            <w:tcBorders>
              <w:top w:val="single" w:sz="4" w:space="0" w:color="000000"/>
              <w:left w:val="nil"/>
              <w:bottom w:val="single" w:sz="4" w:space="0" w:color="000000"/>
              <w:right w:val="nil"/>
            </w:tcBorders>
            <w:shd w:val="clear" w:color="auto" w:fill="DDEBF7"/>
          </w:tcPr>
          <w:p w14:paraId="3A5CCD77" w14:textId="110D87E6"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2.3.1</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Hartimi i një udhëzuesi (</w:t>
            </w:r>
            <w:r w:rsidRPr="00E266CD">
              <w:rPr>
                <w:rFonts w:ascii="Garamond" w:eastAsia="Times New Roman" w:hAnsi="Garamond"/>
                <w:i/>
                <w:color w:val="000000"/>
                <w:sz w:val="10"/>
                <w:szCs w:val="10"/>
              </w:rPr>
              <w:t>guideline</w:t>
            </w:r>
            <w:r w:rsidRPr="00E266CD">
              <w:rPr>
                <w:rFonts w:ascii="Garamond" w:eastAsia="Times New Roman" w:hAnsi="Garamond"/>
                <w:color w:val="000000"/>
                <w:sz w:val="10"/>
                <w:szCs w:val="10"/>
              </w:rPr>
              <w:t>) për lëvrimin e granteve për financimin e programeve kombëtare të kërkim</w:t>
            </w:r>
            <w:r w:rsidR="00657978">
              <w:rPr>
                <w:rFonts w:ascii="Garamond" w:eastAsia="Times New Roman" w:hAnsi="Garamond"/>
                <w:color w:val="000000"/>
                <w:sz w:val="10"/>
                <w:szCs w:val="10"/>
              </w:rPr>
              <w:t>-</w:t>
            </w:r>
            <w:r w:rsidRPr="00E266CD">
              <w:rPr>
                <w:rFonts w:ascii="Garamond" w:eastAsia="Times New Roman" w:hAnsi="Garamond"/>
                <w:color w:val="000000"/>
                <w:sz w:val="10"/>
                <w:szCs w:val="10"/>
              </w:rPr>
              <w:t>zhvillimit dhe inovacionit</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15432CCB"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AKFAL</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1A241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single" w:sz="4" w:space="0" w:color="000000"/>
              <w:left w:val="nil"/>
              <w:bottom w:val="single" w:sz="4" w:space="0" w:color="000000"/>
              <w:right w:val="nil"/>
            </w:tcBorders>
            <w:shd w:val="clear" w:color="auto" w:fill="FFFFFF"/>
          </w:tcPr>
          <w:p w14:paraId="7EE65C1D"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single" w:sz="4" w:space="0" w:color="000000"/>
              <w:left w:val="single" w:sz="4" w:space="0" w:color="000000"/>
              <w:bottom w:val="single" w:sz="4" w:space="0" w:color="000000"/>
              <w:right w:val="nil"/>
            </w:tcBorders>
            <w:shd w:val="clear" w:color="auto" w:fill="FFFFFF"/>
          </w:tcPr>
          <w:p w14:paraId="6668D0B9"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5E1C43B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1,067,294</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7D5E9CA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31AC45A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1,067,294</w:t>
            </w:r>
          </w:p>
        </w:tc>
        <w:tc>
          <w:tcPr>
            <w:tcW w:w="876" w:type="dxa"/>
            <w:tcBorders>
              <w:top w:val="single" w:sz="8" w:space="0" w:color="000000"/>
              <w:left w:val="nil"/>
              <w:bottom w:val="single" w:sz="4" w:space="0" w:color="000000"/>
              <w:right w:val="nil"/>
            </w:tcBorders>
            <w:shd w:val="clear" w:color="auto" w:fill="auto"/>
            <w:vAlign w:val="center"/>
          </w:tcPr>
          <w:p w14:paraId="38F7E35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1,067,294</w:t>
            </w:r>
          </w:p>
        </w:tc>
        <w:tc>
          <w:tcPr>
            <w:tcW w:w="817" w:type="dxa"/>
            <w:tcBorders>
              <w:top w:val="single" w:sz="4" w:space="0" w:color="000000"/>
              <w:left w:val="nil"/>
              <w:bottom w:val="single" w:sz="4" w:space="0" w:color="000000"/>
              <w:right w:val="nil"/>
            </w:tcBorders>
            <w:vAlign w:val="center"/>
          </w:tcPr>
          <w:p w14:paraId="18D86C4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single" w:sz="4" w:space="0" w:color="000000"/>
              <w:left w:val="nil"/>
              <w:bottom w:val="single" w:sz="4" w:space="0" w:color="000000"/>
              <w:right w:val="single" w:sz="8" w:space="0" w:color="000000"/>
            </w:tcBorders>
            <w:shd w:val="clear" w:color="auto" w:fill="auto"/>
            <w:vAlign w:val="center"/>
          </w:tcPr>
          <w:p w14:paraId="41BD943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20EBC7F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6B8CD63B" w14:textId="77777777" w:rsidTr="00697028">
        <w:trPr>
          <w:trHeight w:val="529"/>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451891BB"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2.3.2</w:t>
            </w:r>
          </w:p>
        </w:tc>
        <w:tc>
          <w:tcPr>
            <w:tcW w:w="4109" w:type="dxa"/>
            <w:tcBorders>
              <w:top w:val="nil"/>
              <w:left w:val="nil"/>
              <w:bottom w:val="single" w:sz="4" w:space="0" w:color="000000"/>
              <w:right w:val="nil"/>
            </w:tcBorders>
            <w:shd w:val="clear" w:color="auto" w:fill="DDEBF7"/>
          </w:tcPr>
          <w:p w14:paraId="5A9B90F8" w14:textId="08589F65"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2.3.2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Promovimi i projekteve shkencore me ndikim në inovacion dhe zhvillimin teknologjik</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1D15525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56056C36"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DPPI, IAL, - ML</w:t>
            </w:r>
          </w:p>
        </w:tc>
        <w:tc>
          <w:tcPr>
            <w:tcW w:w="593" w:type="dxa"/>
            <w:tcBorders>
              <w:top w:val="nil"/>
              <w:left w:val="nil"/>
              <w:bottom w:val="single" w:sz="4" w:space="0" w:color="000000"/>
              <w:right w:val="nil"/>
            </w:tcBorders>
            <w:shd w:val="clear" w:color="auto" w:fill="FFFFFF"/>
          </w:tcPr>
          <w:p w14:paraId="291536D3"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2DE50303"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45B1531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3,155,616</w:t>
            </w:r>
          </w:p>
        </w:tc>
        <w:tc>
          <w:tcPr>
            <w:tcW w:w="936" w:type="dxa"/>
            <w:tcBorders>
              <w:top w:val="nil"/>
              <w:left w:val="nil"/>
              <w:bottom w:val="single" w:sz="4" w:space="0" w:color="000000"/>
              <w:right w:val="single" w:sz="4" w:space="0" w:color="000000"/>
            </w:tcBorders>
            <w:shd w:val="clear" w:color="auto" w:fill="auto"/>
            <w:vAlign w:val="center"/>
          </w:tcPr>
          <w:p w14:paraId="3ECCB03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361,364,126</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4D91A75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364,519,742</w:t>
            </w:r>
          </w:p>
        </w:tc>
        <w:tc>
          <w:tcPr>
            <w:tcW w:w="876" w:type="dxa"/>
            <w:tcBorders>
              <w:top w:val="single" w:sz="8" w:space="0" w:color="000000"/>
              <w:left w:val="nil"/>
              <w:bottom w:val="single" w:sz="4" w:space="0" w:color="000000"/>
              <w:right w:val="nil"/>
            </w:tcBorders>
            <w:shd w:val="clear" w:color="auto" w:fill="auto"/>
            <w:vAlign w:val="center"/>
          </w:tcPr>
          <w:p w14:paraId="67CDA1A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362,205,290</w:t>
            </w:r>
          </w:p>
        </w:tc>
        <w:tc>
          <w:tcPr>
            <w:tcW w:w="817" w:type="dxa"/>
            <w:tcBorders>
              <w:top w:val="nil"/>
              <w:left w:val="nil"/>
              <w:bottom w:val="single" w:sz="4" w:space="0" w:color="000000"/>
              <w:right w:val="nil"/>
            </w:tcBorders>
            <w:vAlign w:val="center"/>
          </w:tcPr>
          <w:p w14:paraId="56BE5BF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nil"/>
              <w:bottom w:val="single" w:sz="4" w:space="0" w:color="000000"/>
              <w:right w:val="single" w:sz="8" w:space="0" w:color="000000"/>
            </w:tcBorders>
            <w:shd w:val="clear" w:color="auto" w:fill="auto"/>
            <w:vAlign w:val="center"/>
          </w:tcPr>
          <w:p w14:paraId="5FDB726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00C047B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-2,314,452</w:t>
            </w:r>
          </w:p>
        </w:tc>
      </w:tr>
      <w:tr w:rsidR="00DC69E1" w:rsidRPr="00E266CD" w14:paraId="0070A754" w14:textId="77777777" w:rsidTr="00697028">
        <w:trPr>
          <w:trHeight w:val="829"/>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15037499"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2.3.3</w:t>
            </w:r>
          </w:p>
        </w:tc>
        <w:tc>
          <w:tcPr>
            <w:tcW w:w="4109" w:type="dxa"/>
            <w:tcBorders>
              <w:top w:val="nil"/>
              <w:left w:val="nil"/>
              <w:bottom w:val="single" w:sz="4" w:space="0" w:color="000000"/>
              <w:right w:val="nil"/>
            </w:tcBorders>
            <w:shd w:val="clear" w:color="auto" w:fill="DDEBF7"/>
          </w:tcPr>
          <w:p w14:paraId="409CC475" w14:textId="4F233D86"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2.3.3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Vlerësim i nevojave për zhvillimet teknologji/inovacion</w:t>
            </w:r>
            <w:r w:rsidR="00657978">
              <w:rPr>
                <w:rFonts w:ascii="Garamond" w:eastAsia="Times New Roman" w:hAnsi="Garamond"/>
                <w:color w:val="000000"/>
                <w:sz w:val="10"/>
                <w:szCs w:val="10"/>
              </w:rPr>
              <w:t>,</w:t>
            </w:r>
            <w:r w:rsidRPr="00E266CD">
              <w:rPr>
                <w:rFonts w:ascii="Garamond" w:eastAsia="Times New Roman" w:hAnsi="Garamond"/>
                <w:color w:val="000000"/>
                <w:sz w:val="10"/>
                <w:szCs w:val="10"/>
              </w:rPr>
              <w:t xml:space="preserve"> me qëllim orientimin e projekteve kombëtare</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5929A328"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2D650987" w14:textId="339DE4C4"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DPPI, IAL, - MAS,</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AKSHI, ML</w:t>
            </w:r>
          </w:p>
        </w:tc>
        <w:tc>
          <w:tcPr>
            <w:tcW w:w="593" w:type="dxa"/>
            <w:tcBorders>
              <w:top w:val="nil"/>
              <w:left w:val="nil"/>
              <w:bottom w:val="single" w:sz="4" w:space="0" w:color="000000"/>
              <w:right w:val="nil"/>
            </w:tcBorders>
            <w:shd w:val="clear" w:color="auto" w:fill="FFFFFF"/>
          </w:tcPr>
          <w:p w14:paraId="182B4B46"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tcPr>
          <w:p w14:paraId="4FF37DFE"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4B3550A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2,689,194</w:t>
            </w:r>
          </w:p>
        </w:tc>
        <w:tc>
          <w:tcPr>
            <w:tcW w:w="936" w:type="dxa"/>
            <w:tcBorders>
              <w:top w:val="nil"/>
              <w:left w:val="nil"/>
              <w:bottom w:val="single" w:sz="4" w:space="0" w:color="000000"/>
              <w:right w:val="single" w:sz="4" w:space="0" w:color="000000"/>
            </w:tcBorders>
            <w:shd w:val="clear" w:color="auto" w:fill="auto"/>
            <w:vAlign w:val="center"/>
          </w:tcPr>
          <w:p w14:paraId="5763757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1D9E914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2,689,194</w:t>
            </w:r>
          </w:p>
        </w:tc>
        <w:tc>
          <w:tcPr>
            <w:tcW w:w="876" w:type="dxa"/>
            <w:tcBorders>
              <w:top w:val="single" w:sz="8" w:space="0" w:color="000000"/>
              <w:left w:val="nil"/>
              <w:bottom w:val="single" w:sz="4" w:space="0" w:color="000000"/>
              <w:right w:val="nil"/>
            </w:tcBorders>
            <w:shd w:val="clear" w:color="auto" w:fill="auto"/>
            <w:vAlign w:val="center"/>
          </w:tcPr>
          <w:p w14:paraId="67372C7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17" w:type="dxa"/>
            <w:tcBorders>
              <w:top w:val="nil"/>
              <w:left w:val="nil"/>
              <w:bottom w:val="single" w:sz="4" w:space="0" w:color="000000"/>
              <w:right w:val="nil"/>
            </w:tcBorders>
            <w:vAlign w:val="center"/>
          </w:tcPr>
          <w:p w14:paraId="4AB2113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nil"/>
              <w:bottom w:val="single" w:sz="4" w:space="0" w:color="000000"/>
              <w:right w:val="single" w:sz="8" w:space="0" w:color="000000"/>
            </w:tcBorders>
            <w:shd w:val="clear" w:color="auto" w:fill="auto"/>
            <w:vAlign w:val="center"/>
          </w:tcPr>
          <w:p w14:paraId="2C4A92F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43F3F0F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-2,689,194</w:t>
            </w:r>
          </w:p>
        </w:tc>
      </w:tr>
      <w:tr w:rsidR="00DC69E1" w:rsidRPr="00E266CD" w14:paraId="05491B70" w14:textId="77777777" w:rsidTr="00697028">
        <w:trPr>
          <w:trHeight w:val="439"/>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7CCFE25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2.3.4</w:t>
            </w:r>
          </w:p>
        </w:tc>
        <w:tc>
          <w:tcPr>
            <w:tcW w:w="4109" w:type="dxa"/>
            <w:tcBorders>
              <w:top w:val="nil"/>
              <w:left w:val="nil"/>
              <w:bottom w:val="single" w:sz="4" w:space="0" w:color="000000"/>
              <w:right w:val="nil"/>
            </w:tcBorders>
            <w:shd w:val="clear" w:color="auto" w:fill="DDEBF7"/>
          </w:tcPr>
          <w:p w14:paraId="4E2AC626" w14:textId="02D73E3A"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2.3.4 Hartimi i projekteve për krijimin e qendrave rajonale të teknologjisë dhe inovacionit</w:t>
            </w:r>
            <w:r w:rsidR="00657978">
              <w:rPr>
                <w:rFonts w:ascii="Garamond" w:eastAsia="Times New Roman" w:hAnsi="Garamond"/>
                <w:color w:val="000000"/>
                <w:sz w:val="10"/>
                <w:szCs w:val="10"/>
              </w:rPr>
              <w:t>,</w:t>
            </w:r>
            <w:r w:rsidRPr="00E266CD">
              <w:rPr>
                <w:rFonts w:ascii="Garamond" w:eastAsia="Times New Roman" w:hAnsi="Garamond"/>
                <w:color w:val="000000"/>
                <w:sz w:val="10"/>
                <w:szCs w:val="10"/>
              </w:rPr>
              <w:t xml:space="preserve"> me qëllim mbështetjen e zhvillimit teknologjik</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5A007B24"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MFE,</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5F80FE06"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IAL, ML, MIE, AKSHI</w:t>
            </w:r>
          </w:p>
        </w:tc>
        <w:tc>
          <w:tcPr>
            <w:tcW w:w="593" w:type="dxa"/>
            <w:tcBorders>
              <w:top w:val="nil"/>
              <w:left w:val="nil"/>
              <w:bottom w:val="single" w:sz="4" w:space="0" w:color="000000"/>
              <w:right w:val="nil"/>
            </w:tcBorders>
            <w:shd w:val="clear" w:color="auto" w:fill="FFFFFF"/>
          </w:tcPr>
          <w:p w14:paraId="729E263C"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2026</w:t>
            </w:r>
          </w:p>
        </w:tc>
        <w:tc>
          <w:tcPr>
            <w:tcW w:w="872" w:type="dxa"/>
            <w:tcBorders>
              <w:top w:val="nil"/>
              <w:left w:val="single" w:sz="4" w:space="0" w:color="000000"/>
              <w:bottom w:val="single" w:sz="4" w:space="0" w:color="000000"/>
              <w:right w:val="nil"/>
            </w:tcBorders>
            <w:shd w:val="clear" w:color="auto" w:fill="FFFFFF"/>
          </w:tcPr>
          <w:p w14:paraId="382DC7E1"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4F59D4C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29,027,274</w:t>
            </w:r>
          </w:p>
        </w:tc>
        <w:tc>
          <w:tcPr>
            <w:tcW w:w="936" w:type="dxa"/>
            <w:tcBorders>
              <w:top w:val="nil"/>
              <w:left w:val="nil"/>
              <w:bottom w:val="single" w:sz="4" w:space="0" w:color="000000"/>
              <w:right w:val="single" w:sz="4" w:space="0" w:color="000000"/>
            </w:tcBorders>
            <w:shd w:val="clear" w:color="auto" w:fill="auto"/>
            <w:vAlign w:val="center"/>
          </w:tcPr>
          <w:p w14:paraId="4444F8E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50CFC7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29,027,274</w:t>
            </w:r>
          </w:p>
        </w:tc>
        <w:tc>
          <w:tcPr>
            <w:tcW w:w="876" w:type="dxa"/>
            <w:tcBorders>
              <w:top w:val="single" w:sz="8" w:space="0" w:color="000000"/>
              <w:left w:val="nil"/>
              <w:bottom w:val="single" w:sz="4" w:space="0" w:color="000000"/>
              <w:right w:val="nil"/>
            </w:tcBorders>
            <w:shd w:val="clear" w:color="auto" w:fill="auto"/>
            <w:vAlign w:val="center"/>
          </w:tcPr>
          <w:p w14:paraId="7E3D956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28,307,274</w:t>
            </w:r>
          </w:p>
        </w:tc>
        <w:tc>
          <w:tcPr>
            <w:tcW w:w="817" w:type="dxa"/>
            <w:tcBorders>
              <w:top w:val="nil"/>
              <w:left w:val="nil"/>
              <w:bottom w:val="single" w:sz="4" w:space="0" w:color="000000"/>
              <w:right w:val="nil"/>
            </w:tcBorders>
            <w:vAlign w:val="center"/>
          </w:tcPr>
          <w:p w14:paraId="1B99712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nil"/>
              <w:bottom w:val="single" w:sz="4" w:space="0" w:color="000000"/>
              <w:right w:val="single" w:sz="8" w:space="0" w:color="000000"/>
            </w:tcBorders>
            <w:shd w:val="clear" w:color="auto" w:fill="auto"/>
            <w:vAlign w:val="center"/>
          </w:tcPr>
          <w:p w14:paraId="6896ABD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774AA28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-720,000</w:t>
            </w:r>
          </w:p>
        </w:tc>
      </w:tr>
      <w:tr w:rsidR="00DC69E1" w:rsidRPr="00E266CD" w14:paraId="53774515" w14:textId="77777777" w:rsidTr="00697028">
        <w:trPr>
          <w:trHeight w:val="268"/>
          <w:jc w:val="center"/>
        </w:trPr>
        <w:tc>
          <w:tcPr>
            <w:tcW w:w="698" w:type="dxa"/>
            <w:tcBorders>
              <w:top w:val="single" w:sz="4" w:space="0" w:color="000000"/>
              <w:left w:val="single" w:sz="8" w:space="0" w:color="000000"/>
              <w:bottom w:val="single" w:sz="4" w:space="0" w:color="000000"/>
              <w:right w:val="single" w:sz="4" w:space="0" w:color="000000"/>
            </w:tcBorders>
            <w:shd w:val="clear" w:color="auto" w:fill="D9D9D9"/>
            <w:vAlign w:val="center"/>
          </w:tcPr>
          <w:p w14:paraId="60AE52C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single" w:sz="4" w:space="0" w:color="000000"/>
              <w:right w:val="single" w:sz="4" w:space="0" w:color="000000"/>
            </w:tcBorders>
            <w:shd w:val="clear" w:color="auto" w:fill="D9D9D9"/>
            <w:vAlign w:val="center"/>
          </w:tcPr>
          <w:p w14:paraId="1AAB8EBE" w14:textId="6B34BFA7"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657978">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657978">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2.3</w:t>
            </w:r>
          </w:p>
        </w:tc>
        <w:tc>
          <w:tcPr>
            <w:tcW w:w="1267" w:type="dxa"/>
            <w:gridSpan w:val="2"/>
            <w:tcBorders>
              <w:top w:val="nil"/>
              <w:left w:val="nil"/>
              <w:bottom w:val="single" w:sz="4" w:space="0" w:color="000000"/>
              <w:right w:val="single" w:sz="4" w:space="0" w:color="000000"/>
            </w:tcBorders>
            <w:shd w:val="clear" w:color="auto" w:fill="D9D9D9"/>
            <w:vAlign w:val="center"/>
          </w:tcPr>
          <w:p w14:paraId="428FC3B3"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gridSpan w:val="2"/>
            <w:tcBorders>
              <w:top w:val="nil"/>
              <w:left w:val="nil"/>
              <w:bottom w:val="single" w:sz="4" w:space="0" w:color="000000"/>
              <w:right w:val="single" w:sz="4" w:space="0" w:color="000000"/>
            </w:tcBorders>
            <w:shd w:val="clear" w:color="auto" w:fill="D9D9D9"/>
            <w:vAlign w:val="center"/>
          </w:tcPr>
          <w:p w14:paraId="2053781B"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single" w:sz="4" w:space="0" w:color="000000"/>
              <w:right w:val="single" w:sz="4" w:space="0" w:color="000000"/>
            </w:tcBorders>
            <w:shd w:val="clear" w:color="auto" w:fill="D9D9D9"/>
            <w:vAlign w:val="center"/>
          </w:tcPr>
          <w:p w14:paraId="3D3361A0"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single" w:sz="4" w:space="0" w:color="000000"/>
              <w:right w:val="single" w:sz="4" w:space="0" w:color="000000"/>
            </w:tcBorders>
            <w:shd w:val="clear" w:color="auto" w:fill="D9D9D9"/>
            <w:vAlign w:val="center"/>
          </w:tcPr>
          <w:p w14:paraId="77350B5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single" w:sz="4" w:space="0" w:color="000000"/>
              <w:right w:val="single" w:sz="4" w:space="0" w:color="000000"/>
            </w:tcBorders>
            <w:shd w:val="clear" w:color="auto" w:fill="D9D9D9"/>
            <w:vAlign w:val="center"/>
          </w:tcPr>
          <w:p w14:paraId="49010F1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35,939,379</w:t>
            </w:r>
          </w:p>
        </w:tc>
        <w:tc>
          <w:tcPr>
            <w:tcW w:w="936" w:type="dxa"/>
            <w:tcBorders>
              <w:top w:val="nil"/>
              <w:left w:val="nil"/>
              <w:bottom w:val="single" w:sz="4" w:space="0" w:color="000000"/>
              <w:right w:val="single" w:sz="4" w:space="0" w:color="000000"/>
            </w:tcBorders>
            <w:shd w:val="clear" w:color="auto" w:fill="D9D9D9"/>
            <w:vAlign w:val="center"/>
          </w:tcPr>
          <w:p w14:paraId="48AD3415"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361,364,126</w:t>
            </w:r>
          </w:p>
        </w:tc>
        <w:tc>
          <w:tcPr>
            <w:tcW w:w="1082" w:type="dxa"/>
            <w:tcBorders>
              <w:top w:val="nil"/>
              <w:left w:val="nil"/>
              <w:bottom w:val="single" w:sz="4" w:space="0" w:color="000000"/>
              <w:right w:val="single" w:sz="4" w:space="0" w:color="000000"/>
            </w:tcBorders>
            <w:shd w:val="clear" w:color="auto" w:fill="D9D9D9"/>
            <w:vAlign w:val="center"/>
          </w:tcPr>
          <w:p w14:paraId="37B3E91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397,303,505</w:t>
            </w:r>
          </w:p>
        </w:tc>
        <w:tc>
          <w:tcPr>
            <w:tcW w:w="876" w:type="dxa"/>
            <w:tcBorders>
              <w:top w:val="nil"/>
              <w:left w:val="nil"/>
              <w:bottom w:val="single" w:sz="4" w:space="0" w:color="000000"/>
              <w:right w:val="single" w:sz="4" w:space="0" w:color="000000"/>
            </w:tcBorders>
            <w:shd w:val="clear" w:color="auto" w:fill="D9D9D9"/>
            <w:vAlign w:val="center"/>
          </w:tcPr>
          <w:p w14:paraId="0C01DA92"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391,579,858</w:t>
            </w:r>
          </w:p>
        </w:tc>
        <w:tc>
          <w:tcPr>
            <w:tcW w:w="817" w:type="dxa"/>
            <w:tcBorders>
              <w:top w:val="nil"/>
              <w:left w:val="nil"/>
              <w:bottom w:val="single" w:sz="4" w:space="0" w:color="000000"/>
              <w:right w:val="nil"/>
            </w:tcBorders>
            <w:shd w:val="clear" w:color="auto" w:fill="D9D9D9"/>
            <w:vAlign w:val="center"/>
          </w:tcPr>
          <w:p w14:paraId="3E2AC3E5"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51" w:type="dxa"/>
            <w:tcBorders>
              <w:top w:val="nil"/>
              <w:left w:val="nil"/>
              <w:bottom w:val="single" w:sz="4" w:space="0" w:color="000000"/>
              <w:right w:val="single" w:sz="4" w:space="0" w:color="000000"/>
            </w:tcBorders>
            <w:shd w:val="clear" w:color="auto" w:fill="D9D9D9"/>
            <w:vAlign w:val="center"/>
          </w:tcPr>
          <w:p w14:paraId="09A9EC28"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single" w:sz="4" w:space="0" w:color="000000"/>
              <w:right w:val="single" w:sz="4" w:space="0" w:color="000000"/>
            </w:tcBorders>
            <w:shd w:val="clear" w:color="auto" w:fill="D9D9D9"/>
            <w:vAlign w:val="center"/>
          </w:tcPr>
          <w:p w14:paraId="56D5645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-5,723,647</w:t>
            </w:r>
          </w:p>
        </w:tc>
      </w:tr>
      <w:tr w:rsidR="00DC69E1" w:rsidRPr="00E266CD" w14:paraId="1ACAEB88" w14:textId="77777777" w:rsidTr="00697028">
        <w:trPr>
          <w:trHeight w:val="376"/>
          <w:jc w:val="center"/>
        </w:trPr>
        <w:tc>
          <w:tcPr>
            <w:tcW w:w="698" w:type="dxa"/>
            <w:tcBorders>
              <w:top w:val="single" w:sz="4" w:space="0" w:color="000000"/>
              <w:left w:val="single" w:sz="4" w:space="0" w:color="000000"/>
              <w:bottom w:val="nil"/>
              <w:right w:val="single" w:sz="4" w:space="0" w:color="000000"/>
            </w:tcBorders>
            <w:shd w:val="clear" w:color="auto" w:fill="FCE4D6"/>
          </w:tcPr>
          <w:p w14:paraId="21A20A8D"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2.4</w:t>
            </w:r>
          </w:p>
        </w:tc>
        <w:tc>
          <w:tcPr>
            <w:tcW w:w="4109" w:type="dxa"/>
            <w:tcBorders>
              <w:top w:val="single" w:sz="4" w:space="0" w:color="000000"/>
              <w:left w:val="single" w:sz="4" w:space="0" w:color="000000"/>
              <w:bottom w:val="single" w:sz="4" w:space="0" w:color="000000"/>
              <w:right w:val="single" w:sz="4" w:space="0" w:color="000000"/>
            </w:tcBorders>
            <w:shd w:val="clear" w:color="auto" w:fill="FCE4D6"/>
          </w:tcPr>
          <w:p w14:paraId="607B877B" w14:textId="3A890AC2"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2.4 Objektivi </w:t>
            </w:r>
            <w:r w:rsidR="00657978">
              <w:rPr>
                <w:rFonts w:ascii="Garamond" w:eastAsia="Times New Roman" w:hAnsi="Garamond"/>
                <w:color w:val="000000"/>
                <w:sz w:val="10"/>
                <w:szCs w:val="10"/>
              </w:rPr>
              <w:t>s</w:t>
            </w:r>
            <w:r w:rsidRPr="00E266CD">
              <w:rPr>
                <w:rFonts w:ascii="Garamond" w:eastAsia="Times New Roman" w:hAnsi="Garamond"/>
                <w:color w:val="000000"/>
                <w:sz w:val="10"/>
                <w:szCs w:val="10"/>
              </w:rPr>
              <w:t>pecifik 4: Fuqizimi dhe rritja e kapaciteteve të qendrave të transferimit të teknologjisë për të avancuar njohuritë në një fushë të caktuar ose për të zhvilluar më tej teknologjinë</w:t>
            </w:r>
          </w:p>
        </w:tc>
        <w:tc>
          <w:tcPr>
            <w:tcW w:w="1267" w:type="dxa"/>
            <w:gridSpan w:val="2"/>
            <w:tcBorders>
              <w:top w:val="single" w:sz="4" w:space="0" w:color="000000"/>
              <w:left w:val="single" w:sz="4" w:space="0" w:color="000000"/>
              <w:bottom w:val="nil"/>
              <w:right w:val="single" w:sz="4" w:space="0" w:color="000000"/>
            </w:tcBorders>
            <w:shd w:val="clear" w:color="auto" w:fill="FCE4D6"/>
          </w:tcPr>
          <w:p w14:paraId="7E0965BA"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MBZHR, AKKSHI, ML</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FCE4D6"/>
          </w:tcPr>
          <w:p w14:paraId="49908DED"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MAS, DPPI, IAL, institute kërkimore, ML, QTT</w:t>
            </w:r>
          </w:p>
        </w:tc>
        <w:tc>
          <w:tcPr>
            <w:tcW w:w="593" w:type="dxa"/>
            <w:tcBorders>
              <w:top w:val="single" w:sz="4" w:space="0" w:color="000000"/>
              <w:left w:val="single" w:sz="4" w:space="0" w:color="000000"/>
              <w:bottom w:val="single" w:sz="4" w:space="0" w:color="000000"/>
              <w:right w:val="single" w:sz="4" w:space="0" w:color="000000"/>
            </w:tcBorders>
            <w:shd w:val="clear" w:color="auto" w:fill="FCE4D6"/>
          </w:tcPr>
          <w:p w14:paraId="49A19297"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single" w:sz="4" w:space="0" w:color="000000"/>
            </w:tcBorders>
            <w:shd w:val="clear" w:color="auto" w:fill="FCE4D6"/>
          </w:tcPr>
          <w:p w14:paraId="56818E5C"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single" w:sz="4" w:space="0" w:color="000000"/>
              <w:bottom w:val="nil"/>
              <w:right w:val="single" w:sz="4" w:space="0" w:color="000000"/>
            </w:tcBorders>
            <w:shd w:val="clear" w:color="auto" w:fill="FCE4D6"/>
          </w:tcPr>
          <w:p w14:paraId="433F41A7"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936" w:type="dxa"/>
            <w:tcBorders>
              <w:top w:val="single" w:sz="4" w:space="0" w:color="000000"/>
              <w:left w:val="single" w:sz="4" w:space="0" w:color="000000"/>
              <w:bottom w:val="nil"/>
              <w:right w:val="single" w:sz="4" w:space="0" w:color="000000"/>
            </w:tcBorders>
            <w:shd w:val="clear" w:color="auto" w:fill="FCE4D6"/>
          </w:tcPr>
          <w:p w14:paraId="6CC68286"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1082" w:type="dxa"/>
            <w:tcBorders>
              <w:top w:val="single" w:sz="4" w:space="0" w:color="000000"/>
              <w:left w:val="single" w:sz="4" w:space="0" w:color="000000"/>
              <w:bottom w:val="nil"/>
              <w:right w:val="single" w:sz="4" w:space="0" w:color="000000"/>
            </w:tcBorders>
            <w:shd w:val="clear" w:color="auto" w:fill="FCE4D6"/>
          </w:tcPr>
          <w:p w14:paraId="168A4D3D"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76" w:type="dxa"/>
            <w:tcBorders>
              <w:top w:val="single" w:sz="4" w:space="0" w:color="000000"/>
              <w:left w:val="single" w:sz="4" w:space="0" w:color="000000"/>
              <w:bottom w:val="nil"/>
              <w:right w:val="single" w:sz="4" w:space="0" w:color="000000"/>
            </w:tcBorders>
            <w:shd w:val="clear" w:color="auto" w:fill="FCE4D6"/>
          </w:tcPr>
          <w:p w14:paraId="52C1C8B1"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17" w:type="dxa"/>
            <w:tcBorders>
              <w:top w:val="single" w:sz="4" w:space="0" w:color="000000"/>
              <w:left w:val="single" w:sz="4" w:space="0" w:color="000000"/>
              <w:bottom w:val="single" w:sz="4" w:space="0" w:color="000000"/>
              <w:right w:val="single" w:sz="4" w:space="0" w:color="000000"/>
            </w:tcBorders>
            <w:shd w:val="clear" w:color="auto" w:fill="FCE4D6"/>
          </w:tcPr>
          <w:p w14:paraId="6F3D1C98"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51" w:type="dxa"/>
            <w:tcBorders>
              <w:top w:val="single" w:sz="4" w:space="0" w:color="000000"/>
              <w:left w:val="single" w:sz="4" w:space="0" w:color="000000"/>
              <w:bottom w:val="single" w:sz="4" w:space="0" w:color="000000"/>
              <w:right w:val="single" w:sz="4" w:space="0" w:color="000000"/>
            </w:tcBorders>
            <w:shd w:val="clear" w:color="auto" w:fill="FCE4D6"/>
          </w:tcPr>
          <w:p w14:paraId="167EDB72"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89" w:type="dxa"/>
            <w:tcBorders>
              <w:top w:val="single" w:sz="4" w:space="0" w:color="000000"/>
              <w:left w:val="single" w:sz="4" w:space="0" w:color="000000"/>
              <w:bottom w:val="nil"/>
              <w:right w:val="single" w:sz="4" w:space="0" w:color="000000"/>
            </w:tcBorders>
            <w:shd w:val="clear" w:color="auto" w:fill="FCE4D6"/>
          </w:tcPr>
          <w:p w14:paraId="1BB5715E"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r>
      <w:tr w:rsidR="00DC69E1" w:rsidRPr="00E266CD" w14:paraId="770729DE" w14:textId="77777777" w:rsidTr="00697028">
        <w:trPr>
          <w:trHeight w:val="829"/>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75BA85B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2.4.1</w:t>
            </w:r>
          </w:p>
        </w:tc>
        <w:tc>
          <w:tcPr>
            <w:tcW w:w="4109" w:type="dxa"/>
            <w:tcBorders>
              <w:top w:val="single" w:sz="4" w:space="0" w:color="000000"/>
              <w:left w:val="nil"/>
              <w:bottom w:val="single" w:sz="4" w:space="0" w:color="000000"/>
              <w:right w:val="nil"/>
            </w:tcBorders>
            <w:shd w:val="clear" w:color="auto" w:fill="DDEBF7"/>
          </w:tcPr>
          <w:p w14:paraId="0FA897FF" w14:textId="366E8540"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2.4.1 Plotësimi i bazës ligjore për mirëfunksionimin e qendrave të transferimit të teknologjisë</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1DBD54C"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MBZHR, ML</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929F4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IAL, MAS DPPI, institute kërkimore jashtë, ML, QTT</w:t>
            </w:r>
          </w:p>
        </w:tc>
        <w:tc>
          <w:tcPr>
            <w:tcW w:w="593" w:type="dxa"/>
            <w:tcBorders>
              <w:top w:val="single" w:sz="4" w:space="0" w:color="000000"/>
              <w:left w:val="nil"/>
              <w:bottom w:val="single" w:sz="4" w:space="0" w:color="000000"/>
              <w:right w:val="nil"/>
            </w:tcBorders>
            <w:shd w:val="clear" w:color="auto" w:fill="FFFFFF"/>
          </w:tcPr>
          <w:p w14:paraId="08F51208"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nil"/>
            </w:tcBorders>
            <w:shd w:val="clear" w:color="auto" w:fill="FFFFFF"/>
          </w:tcPr>
          <w:p w14:paraId="3CC1690A"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62E77DF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15,289,711</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65D79A8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1B5049A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15,289,711</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72260A8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15,289,704</w:t>
            </w:r>
          </w:p>
        </w:tc>
        <w:tc>
          <w:tcPr>
            <w:tcW w:w="817" w:type="dxa"/>
            <w:tcBorders>
              <w:top w:val="single" w:sz="4" w:space="0" w:color="000000"/>
              <w:left w:val="single" w:sz="4" w:space="0" w:color="000000"/>
              <w:bottom w:val="single" w:sz="4" w:space="0" w:color="000000"/>
              <w:right w:val="single" w:sz="4" w:space="0" w:color="000000"/>
            </w:tcBorders>
            <w:vAlign w:val="center"/>
          </w:tcPr>
          <w:p w14:paraId="386F5AE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2FF12A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2E7C70F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w:t>
            </w:r>
          </w:p>
        </w:tc>
      </w:tr>
      <w:tr w:rsidR="00DC69E1" w:rsidRPr="00E266CD" w14:paraId="6B6F384C" w14:textId="77777777" w:rsidTr="00697028">
        <w:trPr>
          <w:trHeight w:val="412"/>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68DE1DE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2.4.2</w:t>
            </w:r>
          </w:p>
        </w:tc>
        <w:tc>
          <w:tcPr>
            <w:tcW w:w="4109" w:type="dxa"/>
            <w:tcBorders>
              <w:top w:val="nil"/>
              <w:left w:val="nil"/>
              <w:bottom w:val="single" w:sz="4" w:space="0" w:color="000000"/>
              <w:right w:val="nil"/>
            </w:tcBorders>
            <w:shd w:val="clear" w:color="auto" w:fill="DDEBF7"/>
          </w:tcPr>
          <w:p w14:paraId="2C2F566E" w14:textId="4F3662A6"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2.4.2 Fuqizimi i marrëdhënieve midis QTT</w:t>
            </w:r>
            <w:r w:rsidR="00657978">
              <w:rPr>
                <w:rFonts w:ascii="Garamond" w:eastAsia="Times New Roman" w:hAnsi="Garamond"/>
                <w:color w:val="000000"/>
                <w:sz w:val="10"/>
                <w:szCs w:val="10"/>
              </w:rPr>
              <w:t>-së</w:t>
            </w:r>
            <w:r w:rsidRPr="00E266CD">
              <w:rPr>
                <w:rFonts w:ascii="Garamond" w:eastAsia="Times New Roman" w:hAnsi="Garamond"/>
                <w:color w:val="000000"/>
                <w:sz w:val="10"/>
                <w:szCs w:val="10"/>
              </w:rPr>
              <w:t xml:space="preserve"> dhe akademisë</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2F13966C"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1D7E8C9F"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xml:space="preserve"> IAL, ML, QTT</w:t>
            </w:r>
          </w:p>
        </w:tc>
        <w:tc>
          <w:tcPr>
            <w:tcW w:w="593" w:type="dxa"/>
            <w:tcBorders>
              <w:top w:val="nil"/>
              <w:left w:val="nil"/>
              <w:bottom w:val="single" w:sz="4" w:space="0" w:color="000000"/>
              <w:right w:val="nil"/>
            </w:tcBorders>
            <w:shd w:val="clear" w:color="auto" w:fill="FFFFFF"/>
          </w:tcPr>
          <w:p w14:paraId="1AE56C02"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6E6D3DB3"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6FE4E5F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480,000</w:t>
            </w:r>
          </w:p>
        </w:tc>
        <w:tc>
          <w:tcPr>
            <w:tcW w:w="936" w:type="dxa"/>
            <w:tcBorders>
              <w:top w:val="nil"/>
              <w:left w:val="nil"/>
              <w:bottom w:val="single" w:sz="4" w:space="0" w:color="000000"/>
              <w:right w:val="single" w:sz="4" w:space="0" w:color="000000"/>
            </w:tcBorders>
            <w:shd w:val="clear" w:color="auto" w:fill="auto"/>
            <w:vAlign w:val="center"/>
          </w:tcPr>
          <w:p w14:paraId="3B577BA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4,037,890,000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6300C7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4,038,370,000</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1C5BE82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1,419,676,000</w:t>
            </w:r>
          </w:p>
        </w:tc>
        <w:tc>
          <w:tcPr>
            <w:tcW w:w="817" w:type="dxa"/>
            <w:tcBorders>
              <w:top w:val="nil"/>
              <w:left w:val="single" w:sz="4" w:space="0" w:color="000000"/>
              <w:bottom w:val="single" w:sz="4" w:space="0" w:color="000000"/>
              <w:right w:val="single" w:sz="4" w:space="0" w:color="000000"/>
            </w:tcBorders>
            <w:vAlign w:val="center"/>
          </w:tcPr>
          <w:p w14:paraId="0CE7259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1A992B5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0121095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-2,618,694,000</w:t>
            </w:r>
          </w:p>
        </w:tc>
      </w:tr>
      <w:tr w:rsidR="00DC69E1" w:rsidRPr="00E266CD" w14:paraId="27CABAA9" w14:textId="77777777" w:rsidTr="00697028">
        <w:trPr>
          <w:trHeight w:val="421"/>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24CFAD94"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2.4.3</w:t>
            </w:r>
          </w:p>
        </w:tc>
        <w:tc>
          <w:tcPr>
            <w:tcW w:w="4109" w:type="dxa"/>
            <w:tcBorders>
              <w:top w:val="nil"/>
              <w:left w:val="nil"/>
              <w:bottom w:val="single" w:sz="4" w:space="0" w:color="000000"/>
              <w:right w:val="nil"/>
            </w:tcBorders>
            <w:shd w:val="clear" w:color="auto" w:fill="DDEBF7"/>
          </w:tcPr>
          <w:p w14:paraId="4E42D06B" w14:textId="1F86EB8B"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2.4.3 Rritja e kapaciteteve të punonjësve të QTT</w:t>
            </w:r>
            <w:r w:rsidR="00657978">
              <w:rPr>
                <w:rFonts w:ascii="Garamond" w:eastAsia="Times New Roman" w:hAnsi="Garamond"/>
                <w:color w:val="000000"/>
                <w:sz w:val="10"/>
                <w:szCs w:val="10"/>
              </w:rPr>
              <w:t>-së</w:t>
            </w:r>
            <w:r w:rsidRPr="00E266CD">
              <w:rPr>
                <w:rFonts w:ascii="Garamond" w:eastAsia="Times New Roman" w:hAnsi="Garamond"/>
                <w:color w:val="000000"/>
                <w:sz w:val="10"/>
                <w:szCs w:val="10"/>
              </w:rPr>
              <w:t xml:space="preserve"> mbi shkrimin e projekteve</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744287E9"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AKKSHI </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3764FD31"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ML, , QTT</w:t>
            </w:r>
          </w:p>
        </w:tc>
        <w:tc>
          <w:tcPr>
            <w:tcW w:w="593" w:type="dxa"/>
            <w:tcBorders>
              <w:top w:val="nil"/>
              <w:left w:val="nil"/>
              <w:bottom w:val="single" w:sz="4" w:space="0" w:color="000000"/>
              <w:right w:val="nil"/>
            </w:tcBorders>
            <w:shd w:val="clear" w:color="auto" w:fill="FFFFFF"/>
          </w:tcPr>
          <w:p w14:paraId="38520AE8"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3E793269"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4A8FAE9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4,483,908</w:t>
            </w:r>
          </w:p>
        </w:tc>
        <w:tc>
          <w:tcPr>
            <w:tcW w:w="936" w:type="dxa"/>
            <w:tcBorders>
              <w:top w:val="nil"/>
              <w:left w:val="nil"/>
              <w:bottom w:val="single" w:sz="4" w:space="0" w:color="000000"/>
              <w:right w:val="single" w:sz="4" w:space="0" w:color="000000"/>
            </w:tcBorders>
            <w:shd w:val="clear" w:color="auto" w:fill="auto"/>
            <w:vAlign w:val="center"/>
          </w:tcPr>
          <w:p w14:paraId="052A163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3AA35F1A"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4,483,908</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28842C7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2,253,348</w:t>
            </w:r>
          </w:p>
        </w:tc>
        <w:tc>
          <w:tcPr>
            <w:tcW w:w="817" w:type="dxa"/>
            <w:tcBorders>
              <w:top w:val="nil"/>
              <w:left w:val="single" w:sz="4" w:space="0" w:color="000000"/>
              <w:bottom w:val="single" w:sz="4" w:space="0" w:color="000000"/>
              <w:right w:val="single" w:sz="4" w:space="0" w:color="000000"/>
            </w:tcBorders>
            <w:vAlign w:val="center"/>
          </w:tcPr>
          <w:p w14:paraId="71AB41D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52091F0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42F7642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-2,230,560</w:t>
            </w:r>
          </w:p>
        </w:tc>
      </w:tr>
      <w:tr w:rsidR="00DC69E1" w:rsidRPr="00E266CD" w14:paraId="2345E369" w14:textId="77777777" w:rsidTr="00697028">
        <w:trPr>
          <w:trHeight w:val="349"/>
          <w:jc w:val="center"/>
        </w:trPr>
        <w:tc>
          <w:tcPr>
            <w:tcW w:w="698" w:type="dxa"/>
            <w:tcBorders>
              <w:top w:val="single" w:sz="4" w:space="0" w:color="000000"/>
              <w:left w:val="single" w:sz="8" w:space="0" w:color="000000"/>
              <w:bottom w:val="nil"/>
              <w:right w:val="single" w:sz="4" w:space="0" w:color="000000"/>
            </w:tcBorders>
            <w:shd w:val="clear" w:color="auto" w:fill="auto"/>
            <w:vAlign w:val="center"/>
          </w:tcPr>
          <w:p w14:paraId="2767B49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2.4.4</w:t>
            </w:r>
          </w:p>
        </w:tc>
        <w:tc>
          <w:tcPr>
            <w:tcW w:w="4109" w:type="dxa"/>
            <w:tcBorders>
              <w:top w:val="nil"/>
              <w:left w:val="nil"/>
              <w:bottom w:val="single" w:sz="4" w:space="0" w:color="000000"/>
              <w:right w:val="nil"/>
            </w:tcBorders>
            <w:shd w:val="clear" w:color="auto" w:fill="DDEBF7"/>
          </w:tcPr>
          <w:p w14:paraId="508804D5" w14:textId="084044BE"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2.4.4. Nxitja bashkëpunimit midis QTT</w:t>
            </w:r>
            <w:r w:rsidR="00657978">
              <w:rPr>
                <w:rFonts w:ascii="Garamond" w:eastAsia="Times New Roman" w:hAnsi="Garamond"/>
                <w:color w:val="000000"/>
                <w:sz w:val="10"/>
                <w:szCs w:val="10"/>
              </w:rPr>
              <w:t>-së</w:t>
            </w:r>
            <w:r w:rsidRPr="00E266CD">
              <w:rPr>
                <w:rFonts w:ascii="Garamond" w:eastAsia="Times New Roman" w:hAnsi="Garamond"/>
                <w:color w:val="000000"/>
                <w:sz w:val="10"/>
                <w:szCs w:val="10"/>
              </w:rPr>
              <w:t xml:space="preserve"> dhe IAL</w:t>
            </w:r>
            <w:r w:rsidR="00657978">
              <w:rPr>
                <w:rFonts w:ascii="Garamond" w:eastAsia="Times New Roman" w:hAnsi="Garamond"/>
                <w:color w:val="000000"/>
                <w:sz w:val="10"/>
                <w:szCs w:val="10"/>
              </w:rPr>
              <w:t>-ve</w:t>
            </w:r>
            <w:r w:rsidRPr="00E266CD">
              <w:rPr>
                <w:rFonts w:ascii="Garamond" w:eastAsia="Times New Roman" w:hAnsi="Garamond"/>
                <w:color w:val="000000"/>
                <w:sz w:val="10"/>
                <w:szCs w:val="10"/>
              </w:rPr>
              <w:t xml:space="preserve"> përmes projekteve të përbashkëta</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0D2E4283"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42BA5AFB"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IAL, ML, QTT</w:t>
            </w:r>
          </w:p>
        </w:tc>
        <w:tc>
          <w:tcPr>
            <w:tcW w:w="593" w:type="dxa"/>
            <w:tcBorders>
              <w:top w:val="nil"/>
              <w:left w:val="nil"/>
              <w:bottom w:val="single" w:sz="4" w:space="0" w:color="000000"/>
              <w:right w:val="nil"/>
            </w:tcBorders>
            <w:shd w:val="clear" w:color="auto" w:fill="FFFFFF"/>
          </w:tcPr>
          <w:p w14:paraId="02411C4A"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2024</w:t>
            </w:r>
          </w:p>
        </w:tc>
        <w:tc>
          <w:tcPr>
            <w:tcW w:w="872" w:type="dxa"/>
            <w:tcBorders>
              <w:top w:val="nil"/>
              <w:left w:val="single" w:sz="4" w:space="0" w:color="000000"/>
              <w:bottom w:val="single" w:sz="4" w:space="0" w:color="000000"/>
              <w:right w:val="nil"/>
            </w:tcBorders>
            <w:shd w:val="clear" w:color="auto" w:fill="FFFFFF"/>
          </w:tcPr>
          <w:p w14:paraId="16E6F2D7"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8" w:space="0" w:color="000000"/>
              <w:left w:val="single" w:sz="8" w:space="0" w:color="000000"/>
              <w:bottom w:val="single" w:sz="4" w:space="0" w:color="000000"/>
              <w:right w:val="single" w:sz="4" w:space="0" w:color="000000"/>
            </w:tcBorders>
            <w:shd w:val="clear" w:color="auto" w:fill="auto"/>
            <w:vAlign w:val="center"/>
          </w:tcPr>
          <w:p w14:paraId="34FEDF2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4,658,908</w:t>
            </w:r>
          </w:p>
        </w:tc>
        <w:tc>
          <w:tcPr>
            <w:tcW w:w="936" w:type="dxa"/>
            <w:tcBorders>
              <w:top w:val="nil"/>
              <w:left w:val="nil"/>
              <w:bottom w:val="single" w:sz="4" w:space="0" w:color="000000"/>
              <w:right w:val="single" w:sz="4" w:space="0" w:color="000000"/>
            </w:tcBorders>
            <w:shd w:val="clear" w:color="auto" w:fill="auto"/>
            <w:vAlign w:val="center"/>
          </w:tcPr>
          <w:p w14:paraId="30C48D4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70,000,000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7F6BAA2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74,658,908</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606BE5E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73,882,906</w:t>
            </w:r>
          </w:p>
        </w:tc>
        <w:tc>
          <w:tcPr>
            <w:tcW w:w="817" w:type="dxa"/>
            <w:tcBorders>
              <w:top w:val="nil"/>
              <w:left w:val="single" w:sz="4" w:space="0" w:color="000000"/>
              <w:bottom w:val="single" w:sz="4" w:space="0" w:color="000000"/>
              <w:right w:val="single" w:sz="4" w:space="0" w:color="000000"/>
            </w:tcBorders>
            <w:vAlign w:val="center"/>
          </w:tcPr>
          <w:p w14:paraId="265F7DE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386DB62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63F0ADB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-776,002</w:t>
            </w:r>
          </w:p>
        </w:tc>
      </w:tr>
      <w:tr w:rsidR="00DC69E1" w:rsidRPr="00E266CD" w14:paraId="1229F10C" w14:textId="77777777" w:rsidTr="00697028">
        <w:trPr>
          <w:trHeight w:val="240"/>
          <w:jc w:val="center"/>
        </w:trPr>
        <w:tc>
          <w:tcPr>
            <w:tcW w:w="698" w:type="dxa"/>
            <w:tcBorders>
              <w:top w:val="nil"/>
              <w:left w:val="single" w:sz="8" w:space="0" w:color="000000"/>
              <w:bottom w:val="single" w:sz="4" w:space="0" w:color="000000"/>
              <w:right w:val="single" w:sz="4" w:space="0" w:color="000000"/>
            </w:tcBorders>
            <w:shd w:val="clear" w:color="auto" w:fill="D9D9D9"/>
            <w:vAlign w:val="center"/>
          </w:tcPr>
          <w:p w14:paraId="4B31EC04"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single" w:sz="4" w:space="0" w:color="000000"/>
              <w:right w:val="single" w:sz="4" w:space="0" w:color="000000"/>
            </w:tcBorders>
            <w:shd w:val="clear" w:color="auto" w:fill="D9D9D9"/>
            <w:vAlign w:val="center"/>
          </w:tcPr>
          <w:p w14:paraId="55382A1F" w14:textId="7FB51BE0"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657978">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657978">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2.4</w:t>
            </w:r>
          </w:p>
        </w:tc>
        <w:tc>
          <w:tcPr>
            <w:tcW w:w="1267" w:type="dxa"/>
            <w:gridSpan w:val="2"/>
            <w:tcBorders>
              <w:top w:val="nil"/>
              <w:left w:val="nil"/>
              <w:bottom w:val="nil"/>
              <w:right w:val="single" w:sz="4" w:space="0" w:color="000000"/>
            </w:tcBorders>
            <w:shd w:val="clear" w:color="auto" w:fill="D9D9D9"/>
            <w:vAlign w:val="center"/>
          </w:tcPr>
          <w:p w14:paraId="66B4CAD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gridSpan w:val="2"/>
            <w:tcBorders>
              <w:top w:val="nil"/>
              <w:left w:val="nil"/>
              <w:bottom w:val="nil"/>
              <w:right w:val="single" w:sz="4" w:space="0" w:color="000000"/>
            </w:tcBorders>
            <w:shd w:val="clear" w:color="auto" w:fill="D9D9D9"/>
            <w:vAlign w:val="center"/>
          </w:tcPr>
          <w:p w14:paraId="40D6834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00782214"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1BC00B7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3184C8E5"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24,912,527</w:t>
            </w:r>
          </w:p>
        </w:tc>
        <w:tc>
          <w:tcPr>
            <w:tcW w:w="936" w:type="dxa"/>
            <w:tcBorders>
              <w:top w:val="nil"/>
              <w:left w:val="nil"/>
              <w:bottom w:val="nil"/>
              <w:right w:val="single" w:sz="4" w:space="0" w:color="000000"/>
            </w:tcBorders>
            <w:shd w:val="clear" w:color="auto" w:fill="D9D9D9"/>
            <w:vAlign w:val="center"/>
          </w:tcPr>
          <w:p w14:paraId="4E1BD76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4,107,890,000</w:t>
            </w:r>
          </w:p>
        </w:tc>
        <w:tc>
          <w:tcPr>
            <w:tcW w:w="1082" w:type="dxa"/>
            <w:tcBorders>
              <w:top w:val="nil"/>
              <w:left w:val="nil"/>
              <w:bottom w:val="nil"/>
              <w:right w:val="single" w:sz="4" w:space="0" w:color="000000"/>
            </w:tcBorders>
            <w:shd w:val="clear" w:color="auto" w:fill="D9D9D9"/>
            <w:vAlign w:val="center"/>
          </w:tcPr>
          <w:p w14:paraId="1D23D404"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4,132,802,527</w:t>
            </w:r>
          </w:p>
        </w:tc>
        <w:tc>
          <w:tcPr>
            <w:tcW w:w="876" w:type="dxa"/>
            <w:tcBorders>
              <w:top w:val="nil"/>
              <w:left w:val="nil"/>
              <w:bottom w:val="nil"/>
              <w:right w:val="single" w:sz="4" w:space="0" w:color="000000"/>
            </w:tcBorders>
            <w:shd w:val="clear" w:color="auto" w:fill="D9D9D9"/>
            <w:vAlign w:val="center"/>
          </w:tcPr>
          <w:p w14:paraId="028958C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1,511,101,958</w:t>
            </w:r>
          </w:p>
        </w:tc>
        <w:tc>
          <w:tcPr>
            <w:tcW w:w="817" w:type="dxa"/>
            <w:tcBorders>
              <w:top w:val="nil"/>
              <w:left w:val="nil"/>
              <w:bottom w:val="nil"/>
              <w:right w:val="nil"/>
            </w:tcBorders>
            <w:shd w:val="clear" w:color="auto" w:fill="D9D9D9"/>
            <w:vAlign w:val="center"/>
          </w:tcPr>
          <w:p w14:paraId="6A205E8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51" w:type="dxa"/>
            <w:tcBorders>
              <w:top w:val="nil"/>
              <w:left w:val="nil"/>
              <w:bottom w:val="nil"/>
              <w:right w:val="single" w:sz="4" w:space="0" w:color="000000"/>
            </w:tcBorders>
            <w:shd w:val="clear" w:color="auto" w:fill="D9D9D9"/>
            <w:vAlign w:val="center"/>
          </w:tcPr>
          <w:p w14:paraId="76D83C43"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nil"/>
              <w:right w:val="single" w:sz="4" w:space="0" w:color="000000"/>
            </w:tcBorders>
            <w:shd w:val="clear" w:color="auto" w:fill="D9D9D9"/>
            <w:vAlign w:val="center"/>
          </w:tcPr>
          <w:p w14:paraId="608CBC8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-2,621,700,569</w:t>
            </w:r>
          </w:p>
        </w:tc>
      </w:tr>
      <w:tr w:rsidR="00DC69E1" w:rsidRPr="00E266CD" w14:paraId="27AA8E72" w14:textId="77777777" w:rsidTr="00697028">
        <w:trPr>
          <w:trHeight w:val="525"/>
          <w:jc w:val="center"/>
        </w:trPr>
        <w:tc>
          <w:tcPr>
            <w:tcW w:w="698" w:type="dxa"/>
            <w:tcBorders>
              <w:top w:val="single" w:sz="4" w:space="0" w:color="000000"/>
              <w:left w:val="single" w:sz="8" w:space="0" w:color="000000"/>
              <w:bottom w:val="single" w:sz="8" w:space="0" w:color="000000"/>
              <w:right w:val="single" w:sz="4" w:space="0" w:color="000000"/>
            </w:tcBorders>
            <w:shd w:val="clear" w:color="auto" w:fill="auto"/>
            <w:vAlign w:val="center"/>
          </w:tcPr>
          <w:p w14:paraId="6E1116F3" w14:textId="77777777" w:rsidR="00DC69E1" w:rsidRPr="00E266CD" w:rsidRDefault="00DC69E1" w:rsidP="00DC69E1">
            <w:pPr>
              <w:spacing w:after="0" w:line="240" w:lineRule="auto"/>
              <w:rPr>
                <w:rFonts w:ascii="Garamond" w:eastAsia="Times New Roman" w:hAnsi="Garamond"/>
                <w:b/>
                <w:color w:val="000000"/>
                <w:sz w:val="10"/>
                <w:szCs w:val="10"/>
              </w:rPr>
            </w:pPr>
          </w:p>
        </w:tc>
        <w:tc>
          <w:tcPr>
            <w:tcW w:w="4109" w:type="dxa"/>
            <w:tcBorders>
              <w:top w:val="single" w:sz="4" w:space="0" w:color="000000"/>
              <w:left w:val="single" w:sz="4" w:space="0" w:color="000000"/>
              <w:bottom w:val="single" w:sz="8" w:space="0" w:color="000000"/>
              <w:right w:val="single" w:sz="4" w:space="0" w:color="000000"/>
            </w:tcBorders>
            <w:shd w:val="clear" w:color="auto" w:fill="auto"/>
            <w:vAlign w:val="center"/>
          </w:tcPr>
          <w:p w14:paraId="20AA4DF5" w14:textId="5B63043A" w:rsidR="00DC69E1" w:rsidRPr="00E266CD" w:rsidRDefault="00DC69E1" w:rsidP="00DC69E1">
            <w:pPr>
              <w:spacing w:after="0" w:line="240" w:lineRule="auto"/>
              <w:rPr>
                <w:rFonts w:ascii="Garamond" w:eastAsia="Times New Roman" w:hAnsi="Garamond"/>
                <w:b/>
                <w:color w:val="000000"/>
                <w:sz w:val="10"/>
                <w:szCs w:val="10"/>
              </w:rPr>
            </w:pPr>
            <w:r w:rsidRPr="00E266CD">
              <w:rPr>
                <w:rFonts w:ascii="Garamond" w:eastAsia="Times New Roman" w:hAnsi="Garamond"/>
                <w:b/>
                <w:color w:val="FF0000"/>
                <w:sz w:val="10"/>
                <w:szCs w:val="10"/>
              </w:rPr>
              <w:t>Kosto</w:t>
            </w:r>
            <w:r w:rsidR="00657978">
              <w:rPr>
                <w:rFonts w:ascii="Garamond" w:eastAsia="Times New Roman" w:hAnsi="Garamond"/>
                <w:b/>
                <w:color w:val="FF0000"/>
                <w:sz w:val="10"/>
                <w:szCs w:val="10"/>
              </w:rPr>
              <w:t>ja</w:t>
            </w:r>
            <w:r w:rsidRPr="00E266CD">
              <w:rPr>
                <w:rFonts w:ascii="Garamond" w:eastAsia="Times New Roman" w:hAnsi="Garamond"/>
                <w:b/>
                <w:color w:val="FF0000"/>
                <w:sz w:val="10"/>
                <w:szCs w:val="10"/>
              </w:rPr>
              <w:t xml:space="preserve"> totale </w:t>
            </w:r>
            <w:r w:rsidR="00657978">
              <w:rPr>
                <w:rFonts w:ascii="Garamond" w:eastAsia="Times New Roman" w:hAnsi="Garamond"/>
                <w:b/>
                <w:color w:val="FF0000"/>
                <w:sz w:val="10"/>
                <w:szCs w:val="10"/>
              </w:rPr>
              <w:t>e q</w:t>
            </w:r>
            <w:r w:rsidRPr="00E266CD">
              <w:rPr>
                <w:rFonts w:ascii="Garamond" w:eastAsia="Times New Roman" w:hAnsi="Garamond"/>
                <w:b/>
                <w:color w:val="FF0000"/>
                <w:sz w:val="10"/>
                <w:szCs w:val="10"/>
              </w:rPr>
              <w:t>ëllimi</w:t>
            </w:r>
            <w:r w:rsidR="00657978">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të</w:t>
            </w:r>
            <w:r w:rsidRPr="00E266CD">
              <w:rPr>
                <w:rFonts w:ascii="Garamond" w:eastAsia="Times New Roman" w:hAnsi="Garamond"/>
                <w:b/>
                <w:color w:val="FF0000"/>
                <w:sz w:val="10"/>
                <w:szCs w:val="10"/>
              </w:rPr>
              <w:t xml:space="preserve"> </w:t>
            </w:r>
            <w:r w:rsidR="00657978">
              <w:rPr>
                <w:rFonts w:ascii="Garamond" w:eastAsia="Times New Roman" w:hAnsi="Garamond"/>
                <w:b/>
                <w:color w:val="FF0000"/>
                <w:sz w:val="10"/>
                <w:szCs w:val="10"/>
              </w:rPr>
              <w:t>p</w:t>
            </w:r>
            <w:r w:rsidRPr="00E266CD">
              <w:rPr>
                <w:rFonts w:ascii="Garamond" w:eastAsia="Times New Roman" w:hAnsi="Garamond"/>
                <w:b/>
                <w:color w:val="FF0000"/>
                <w:sz w:val="10"/>
                <w:szCs w:val="10"/>
              </w:rPr>
              <w:t>olitikës II (objektiva specifik</w:t>
            </w:r>
            <w:r w:rsidR="00EB1BF5">
              <w:rPr>
                <w:rFonts w:ascii="Garamond" w:eastAsia="Times New Roman" w:hAnsi="Garamond"/>
                <w:b/>
                <w:color w:val="FF0000"/>
                <w:sz w:val="10"/>
                <w:szCs w:val="10"/>
              </w:rPr>
              <w:t>ë</w:t>
            </w:r>
            <w:r w:rsidRPr="00E266CD">
              <w:rPr>
                <w:rFonts w:ascii="Garamond" w:eastAsia="Times New Roman" w:hAnsi="Garamond"/>
                <w:b/>
                <w:color w:val="FF0000"/>
                <w:sz w:val="10"/>
                <w:szCs w:val="10"/>
              </w:rPr>
              <w:t xml:space="preserve"> 2.1+2.2+2.3+2.4)</w:t>
            </w:r>
          </w:p>
        </w:tc>
        <w:tc>
          <w:tcPr>
            <w:tcW w:w="436" w:type="dxa"/>
            <w:tcBorders>
              <w:top w:val="single" w:sz="4" w:space="0" w:color="000000"/>
              <w:left w:val="single" w:sz="4" w:space="0" w:color="000000"/>
              <w:bottom w:val="single" w:sz="8" w:space="0" w:color="000000"/>
              <w:right w:val="nil"/>
            </w:tcBorders>
            <w:shd w:val="clear" w:color="auto" w:fill="auto"/>
            <w:vAlign w:val="center"/>
          </w:tcPr>
          <w:p w14:paraId="407D763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837" w:type="dxa"/>
            <w:gridSpan w:val="2"/>
            <w:tcBorders>
              <w:top w:val="single" w:sz="4" w:space="0" w:color="000000"/>
              <w:left w:val="nil"/>
              <w:bottom w:val="single" w:sz="8" w:space="0" w:color="000000"/>
              <w:right w:val="nil"/>
            </w:tcBorders>
            <w:shd w:val="clear" w:color="auto" w:fill="auto"/>
            <w:vAlign w:val="center"/>
          </w:tcPr>
          <w:p w14:paraId="282CD70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3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B41E01D"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872" w:type="dxa"/>
            <w:tcBorders>
              <w:top w:val="single" w:sz="4" w:space="0" w:color="000000"/>
              <w:left w:val="nil"/>
              <w:bottom w:val="single" w:sz="4" w:space="0" w:color="000000"/>
              <w:right w:val="single" w:sz="4" w:space="0" w:color="000000"/>
            </w:tcBorders>
            <w:shd w:val="clear" w:color="auto" w:fill="D9D9D9"/>
            <w:vAlign w:val="center"/>
          </w:tcPr>
          <w:p w14:paraId="093F97B3"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1196" w:type="dxa"/>
            <w:tcBorders>
              <w:top w:val="single" w:sz="4" w:space="0" w:color="000000"/>
              <w:left w:val="nil"/>
              <w:bottom w:val="single" w:sz="4" w:space="0" w:color="000000"/>
              <w:right w:val="single" w:sz="4" w:space="0" w:color="000000"/>
            </w:tcBorders>
            <w:shd w:val="clear" w:color="auto" w:fill="D9D9D9"/>
            <w:vAlign w:val="center"/>
          </w:tcPr>
          <w:p w14:paraId="67AB555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163,600,150</w:t>
            </w:r>
          </w:p>
        </w:tc>
        <w:tc>
          <w:tcPr>
            <w:tcW w:w="936" w:type="dxa"/>
            <w:tcBorders>
              <w:top w:val="single" w:sz="4" w:space="0" w:color="000000"/>
              <w:left w:val="nil"/>
              <w:bottom w:val="single" w:sz="4" w:space="0" w:color="000000"/>
              <w:right w:val="single" w:sz="4" w:space="0" w:color="000000"/>
            </w:tcBorders>
            <w:shd w:val="clear" w:color="auto" w:fill="D9D9D9"/>
            <w:vAlign w:val="center"/>
          </w:tcPr>
          <w:p w14:paraId="32F6B87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6,275,148,326</w:t>
            </w:r>
          </w:p>
        </w:tc>
        <w:tc>
          <w:tcPr>
            <w:tcW w:w="1082" w:type="dxa"/>
            <w:tcBorders>
              <w:top w:val="single" w:sz="4" w:space="0" w:color="000000"/>
              <w:left w:val="nil"/>
              <w:bottom w:val="single" w:sz="4" w:space="0" w:color="000000"/>
              <w:right w:val="single" w:sz="4" w:space="0" w:color="000000"/>
            </w:tcBorders>
            <w:shd w:val="clear" w:color="auto" w:fill="D9D9D9"/>
            <w:vAlign w:val="center"/>
          </w:tcPr>
          <w:p w14:paraId="3E1055DF"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6,438,748,476</w:t>
            </w:r>
          </w:p>
        </w:tc>
        <w:tc>
          <w:tcPr>
            <w:tcW w:w="876" w:type="dxa"/>
            <w:tcBorders>
              <w:top w:val="single" w:sz="4" w:space="0" w:color="000000"/>
              <w:left w:val="nil"/>
              <w:bottom w:val="single" w:sz="4" w:space="0" w:color="000000"/>
              <w:right w:val="single" w:sz="4" w:space="0" w:color="000000"/>
            </w:tcBorders>
            <w:shd w:val="clear" w:color="auto" w:fill="D9D9D9"/>
            <w:vAlign w:val="center"/>
          </w:tcPr>
          <w:p w14:paraId="13BB2A46"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3,022,025,599</w:t>
            </w:r>
          </w:p>
        </w:tc>
        <w:tc>
          <w:tcPr>
            <w:tcW w:w="817" w:type="dxa"/>
            <w:tcBorders>
              <w:top w:val="single" w:sz="4" w:space="0" w:color="000000"/>
              <w:left w:val="nil"/>
              <w:bottom w:val="single" w:sz="4" w:space="0" w:color="000000"/>
              <w:right w:val="nil"/>
            </w:tcBorders>
            <w:shd w:val="clear" w:color="auto" w:fill="D9D9D9"/>
            <w:vAlign w:val="center"/>
          </w:tcPr>
          <w:p w14:paraId="0E51863E"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29,342,200</w:t>
            </w:r>
          </w:p>
        </w:tc>
        <w:tc>
          <w:tcPr>
            <w:tcW w:w="851" w:type="dxa"/>
            <w:tcBorders>
              <w:top w:val="single" w:sz="4" w:space="0" w:color="000000"/>
              <w:left w:val="nil"/>
              <w:bottom w:val="single" w:sz="4" w:space="0" w:color="000000"/>
              <w:right w:val="single" w:sz="4" w:space="0" w:color="000000"/>
            </w:tcBorders>
            <w:shd w:val="clear" w:color="auto" w:fill="D9D9D9"/>
            <w:vAlign w:val="center"/>
          </w:tcPr>
          <w:p w14:paraId="68979E96"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single" w:sz="4" w:space="0" w:color="000000"/>
              <w:left w:val="nil"/>
              <w:bottom w:val="single" w:sz="4" w:space="0" w:color="000000"/>
              <w:right w:val="single" w:sz="4" w:space="0" w:color="000000"/>
            </w:tcBorders>
            <w:shd w:val="clear" w:color="auto" w:fill="D9D9D9"/>
            <w:vAlign w:val="center"/>
          </w:tcPr>
          <w:p w14:paraId="1BABC4D3"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-3,387,380,677</w:t>
            </w:r>
          </w:p>
        </w:tc>
      </w:tr>
      <w:tr w:rsidR="00DC69E1" w:rsidRPr="00E266CD" w14:paraId="5C9568C0" w14:textId="77777777" w:rsidTr="00697028">
        <w:trPr>
          <w:trHeight w:val="340"/>
          <w:jc w:val="center"/>
        </w:trPr>
        <w:tc>
          <w:tcPr>
            <w:tcW w:w="698" w:type="dxa"/>
            <w:tcBorders>
              <w:top w:val="nil"/>
              <w:left w:val="single" w:sz="8" w:space="0" w:color="000000"/>
              <w:bottom w:val="single" w:sz="8" w:space="0" w:color="000000"/>
              <w:right w:val="single" w:sz="4" w:space="0" w:color="000000"/>
            </w:tcBorders>
          </w:tcPr>
          <w:p w14:paraId="5527834E"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15032" w:type="dxa"/>
            <w:gridSpan w:val="14"/>
            <w:tcBorders>
              <w:top w:val="nil"/>
              <w:left w:val="single" w:sz="8" w:space="0" w:color="000000"/>
              <w:bottom w:val="single" w:sz="8" w:space="0" w:color="000000"/>
              <w:right w:val="single" w:sz="4" w:space="0" w:color="000000"/>
            </w:tcBorders>
            <w:shd w:val="clear" w:color="auto" w:fill="auto"/>
            <w:vAlign w:val="center"/>
          </w:tcPr>
          <w:p w14:paraId="67E523A5" w14:textId="74872AD0"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Qëllimi i politikës 3 –</w:t>
            </w:r>
            <w:r w:rsidR="007715D0" w:rsidRPr="00E266CD">
              <w:rPr>
                <w:rFonts w:ascii="Garamond" w:eastAsia="Times New Roman" w:hAnsi="Garamond"/>
                <w:b/>
                <w:color w:val="FF0000"/>
                <w:sz w:val="10"/>
                <w:szCs w:val="10"/>
              </w:rPr>
              <w:t xml:space="preserve"> </w:t>
            </w:r>
            <w:r w:rsidRPr="00E266CD">
              <w:rPr>
                <w:rFonts w:ascii="Garamond" w:eastAsia="Times New Roman" w:hAnsi="Garamond"/>
                <w:b/>
                <w:color w:val="FF0000"/>
                <w:sz w:val="10"/>
                <w:szCs w:val="10"/>
              </w:rPr>
              <w:t>Promovimi i kulturës s</w:t>
            </w:r>
            <w:r w:rsidR="00AB67E7">
              <w:rPr>
                <w:rFonts w:ascii="Garamond" w:eastAsia="Times New Roman" w:hAnsi="Garamond"/>
                <w:b/>
                <w:color w:val="FF0000"/>
                <w:sz w:val="10"/>
                <w:szCs w:val="10"/>
              </w:rPr>
              <w:t>ë</w:t>
            </w:r>
            <w:r w:rsidRPr="00E266CD">
              <w:rPr>
                <w:rFonts w:ascii="Garamond" w:eastAsia="Times New Roman" w:hAnsi="Garamond"/>
                <w:b/>
                <w:color w:val="FF0000"/>
                <w:sz w:val="10"/>
                <w:szCs w:val="10"/>
              </w:rPr>
              <w:t xml:space="preserve"> shkencës dhe inovacionit në edukim për të siguruar një qasje didaktike me theksin në praktikat kërkimore dhe projektet.</w:t>
            </w:r>
          </w:p>
        </w:tc>
      </w:tr>
      <w:tr w:rsidR="00DC69E1" w:rsidRPr="00E266CD" w14:paraId="301CDE3F" w14:textId="77777777" w:rsidTr="00697028">
        <w:trPr>
          <w:trHeight w:val="304"/>
          <w:jc w:val="center"/>
        </w:trPr>
        <w:tc>
          <w:tcPr>
            <w:tcW w:w="698" w:type="dxa"/>
            <w:vMerge w:val="restart"/>
            <w:tcBorders>
              <w:top w:val="single" w:sz="8" w:space="0" w:color="000000"/>
              <w:left w:val="single" w:sz="8" w:space="0" w:color="000000"/>
              <w:bottom w:val="single" w:sz="8" w:space="0" w:color="000000"/>
              <w:right w:val="single" w:sz="4" w:space="0" w:color="000000"/>
            </w:tcBorders>
            <w:shd w:val="clear" w:color="auto" w:fill="auto"/>
            <w:vAlign w:val="center"/>
          </w:tcPr>
          <w:p w14:paraId="6AE0789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Nr.</w:t>
            </w:r>
          </w:p>
        </w:tc>
        <w:tc>
          <w:tcPr>
            <w:tcW w:w="4109" w:type="dxa"/>
            <w:vMerge w:val="restart"/>
            <w:tcBorders>
              <w:top w:val="single" w:sz="8" w:space="0" w:color="000000"/>
              <w:left w:val="single" w:sz="4" w:space="0" w:color="000000"/>
              <w:bottom w:val="single" w:sz="8" w:space="0" w:color="000000"/>
              <w:right w:val="single" w:sz="4" w:space="0" w:color="000000"/>
            </w:tcBorders>
            <w:shd w:val="clear" w:color="auto" w:fill="auto"/>
            <w:vAlign w:val="center"/>
          </w:tcPr>
          <w:p w14:paraId="407F602C"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Titulli</w:t>
            </w:r>
          </w:p>
        </w:tc>
        <w:tc>
          <w:tcPr>
            <w:tcW w:w="2811" w:type="dxa"/>
            <w:gridSpan w:val="4"/>
            <w:tcBorders>
              <w:top w:val="single" w:sz="8" w:space="0" w:color="000000"/>
              <w:left w:val="nil"/>
              <w:bottom w:val="single" w:sz="4" w:space="0" w:color="000000"/>
              <w:right w:val="single" w:sz="4" w:space="0" w:color="000000"/>
            </w:tcBorders>
            <w:shd w:val="clear" w:color="auto" w:fill="auto"/>
            <w:vAlign w:val="center"/>
          </w:tcPr>
          <w:p w14:paraId="719942AF" w14:textId="0304841E"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BC4813" w:rsidRPr="00E266CD">
              <w:rPr>
                <w:rFonts w:ascii="Garamond" w:eastAsia="Times New Roman" w:hAnsi="Garamond"/>
                <w:b/>
                <w:color w:val="000000"/>
                <w:sz w:val="10"/>
                <w:szCs w:val="10"/>
              </w:rPr>
              <w:t>përgjegjës</w:t>
            </w:r>
          </w:p>
        </w:tc>
        <w:tc>
          <w:tcPr>
            <w:tcW w:w="1465" w:type="dxa"/>
            <w:gridSpan w:val="2"/>
            <w:tcBorders>
              <w:top w:val="single" w:sz="8" w:space="0" w:color="000000"/>
              <w:left w:val="nil"/>
              <w:bottom w:val="single" w:sz="4" w:space="0" w:color="000000"/>
              <w:right w:val="single" w:sz="8" w:space="0" w:color="000000"/>
            </w:tcBorders>
            <w:shd w:val="clear" w:color="auto" w:fill="auto"/>
            <w:vAlign w:val="center"/>
          </w:tcPr>
          <w:p w14:paraId="1FA03773" w14:textId="2F473139"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Periudha e </w:t>
            </w:r>
            <w:r w:rsidR="00BC4813" w:rsidRPr="00E266CD">
              <w:rPr>
                <w:rFonts w:ascii="Garamond" w:eastAsia="Times New Roman" w:hAnsi="Garamond"/>
                <w:b/>
                <w:color w:val="000000"/>
                <w:sz w:val="10"/>
                <w:szCs w:val="10"/>
              </w:rPr>
              <w:t>zbatimit</w:t>
            </w:r>
          </w:p>
        </w:tc>
        <w:tc>
          <w:tcPr>
            <w:tcW w:w="3214" w:type="dxa"/>
            <w:gridSpan w:val="3"/>
            <w:tcBorders>
              <w:top w:val="single" w:sz="8" w:space="0" w:color="000000"/>
              <w:left w:val="nil"/>
              <w:bottom w:val="single" w:sz="8" w:space="0" w:color="000000"/>
              <w:right w:val="single" w:sz="8" w:space="0" w:color="000000"/>
            </w:tcBorders>
            <w:shd w:val="clear" w:color="auto" w:fill="auto"/>
            <w:vAlign w:val="center"/>
          </w:tcPr>
          <w:p w14:paraId="607C04A0" w14:textId="7DC91B71"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Kosto</w:t>
            </w:r>
            <w:r w:rsidR="00657978">
              <w:rPr>
                <w:rFonts w:ascii="Garamond" w:eastAsia="Times New Roman" w:hAnsi="Garamond"/>
                <w:b/>
                <w:color w:val="000000"/>
                <w:sz w:val="10"/>
                <w:szCs w:val="10"/>
              </w:rPr>
              <w:t>ja</w:t>
            </w:r>
            <w:r w:rsidRPr="00E266CD">
              <w:rPr>
                <w:rFonts w:ascii="Garamond" w:eastAsia="Times New Roman" w:hAnsi="Garamond"/>
                <w:b/>
                <w:color w:val="000000"/>
                <w:sz w:val="10"/>
                <w:szCs w:val="10"/>
              </w:rPr>
              <w:t xml:space="preserve"> indikative</w:t>
            </w:r>
          </w:p>
        </w:tc>
        <w:tc>
          <w:tcPr>
            <w:tcW w:w="1693" w:type="dxa"/>
            <w:gridSpan w:val="2"/>
            <w:tcBorders>
              <w:top w:val="single" w:sz="8" w:space="0" w:color="000000"/>
              <w:left w:val="single" w:sz="8" w:space="0" w:color="000000"/>
              <w:bottom w:val="single" w:sz="8" w:space="0" w:color="000000"/>
              <w:right w:val="single" w:sz="8" w:space="0" w:color="000000"/>
            </w:tcBorders>
          </w:tcPr>
          <w:p w14:paraId="10CA63C4"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3F62106C"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r>
      <w:tr w:rsidR="00DC69E1" w:rsidRPr="00E266CD" w14:paraId="7E132EEC" w14:textId="77777777" w:rsidTr="00697028">
        <w:trPr>
          <w:trHeight w:val="430"/>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5E86D6A6"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75E58E3F"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gridSpan w:val="2"/>
            <w:vMerge w:val="restart"/>
            <w:tcBorders>
              <w:top w:val="nil"/>
              <w:left w:val="single" w:sz="4" w:space="0" w:color="000000"/>
              <w:bottom w:val="single" w:sz="8" w:space="0" w:color="000000"/>
              <w:right w:val="single" w:sz="4" w:space="0" w:color="000000"/>
            </w:tcBorders>
            <w:shd w:val="clear" w:color="auto" w:fill="auto"/>
            <w:vAlign w:val="center"/>
          </w:tcPr>
          <w:p w14:paraId="028EEEF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Institucioni drejtues</w:t>
            </w:r>
          </w:p>
        </w:tc>
        <w:tc>
          <w:tcPr>
            <w:tcW w:w="1544" w:type="dxa"/>
            <w:gridSpan w:val="2"/>
            <w:vMerge w:val="restart"/>
            <w:tcBorders>
              <w:top w:val="nil"/>
              <w:left w:val="single" w:sz="4" w:space="0" w:color="000000"/>
              <w:bottom w:val="single" w:sz="8" w:space="0" w:color="000000"/>
              <w:right w:val="single" w:sz="4" w:space="0" w:color="000000"/>
            </w:tcBorders>
            <w:shd w:val="clear" w:color="auto" w:fill="auto"/>
            <w:vAlign w:val="center"/>
          </w:tcPr>
          <w:p w14:paraId="407238BF" w14:textId="2B62FAF4"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Institucionet </w:t>
            </w:r>
            <w:r w:rsidR="00BC4813" w:rsidRPr="00E266CD">
              <w:rPr>
                <w:rFonts w:ascii="Garamond" w:eastAsia="Times New Roman" w:hAnsi="Garamond"/>
                <w:b/>
                <w:color w:val="000000"/>
                <w:sz w:val="10"/>
                <w:szCs w:val="10"/>
              </w:rPr>
              <w:t>pjesëmarrëse</w:t>
            </w:r>
          </w:p>
        </w:tc>
        <w:tc>
          <w:tcPr>
            <w:tcW w:w="593" w:type="dxa"/>
            <w:vMerge w:val="restart"/>
            <w:tcBorders>
              <w:top w:val="nil"/>
              <w:left w:val="single" w:sz="4" w:space="0" w:color="000000"/>
              <w:bottom w:val="single" w:sz="8" w:space="0" w:color="000000"/>
              <w:right w:val="single" w:sz="4" w:space="0" w:color="000000"/>
            </w:tcBorders>
            <w:shd w:val="clear" w:color="auto" w:fill="auto"/>
            <w:vAlign w:val="center"/>
          </w:tcPr>
          <w:p w14:paraId="78F7C80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fillimit</w:t>
            </w:r>
          </w:p>
        </w:tc>
        <w:tc>
          <w:tcPr>
            <w:tcW w:w="872" w:type="dxa"/>
            <w:vMerge w:val="restart"/>
            <w:tcBorders>
              <w:top w:val="nil"/>
              <w:left w:val="single" w:sz="4" w:space="0" w:color="000000"/>
              <w:bottom w:val="single" w:sz="8" w:space="0" w:color="000000"/>
              <w:right w:val="single" w:sz="8" w:space="0" w:color="000000"/>
            </w:tcBorders>
            <w:shd w:val="clear" w:color="auto" w:fill="auto"/>
            <w:vAlign w:val="center"/>
          </w:tcPr>
          <w:p w14:paraId="54C0F6A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Data e mbarimit</w:t>
            </w:r>
          </w:p>
        </w:tc>
        <w:tc>
          <w:tcPr>
            <w:tcW w:w="3214" w:type="dxa"/>
            <w:gridSpan w:val="3"/>
            <w:tcBorders>
              <w:top w:val="nil"/>
              <w:left w:val="single" w:sz="4" w:space="0" w:color="000000"/>
              <w:bottom w:val="single" w:sz="8" w:space="0" w:color="000000"/>
              <w:right w:val="single" w:sz="8" w:space="0" w:color="000000"/>
            </w:tcBorders>
            <w:vAlign w:val="center"/>
          </w:tcPr>
          <w:p w14:paraId="09C33D50" w14:textId="77777777" w:rsidR="00DC69E1" w:rsidRPr="00E266CD" w:rsidRDefault="00DC69E1" w:rsidP="00DC69E1">
            <w:pPr>
              <w:spacing w:after="0" w:line="240" w:lineRule="auto"/>
              <w:rPr>
                <w:rFonts w:ascii="Garamond" w:eastAsia="Times New Roman" w:hAnsi="Garamond"/>
                <w:b/>
                <w:color w:val="000000"/>
                <w:sz w:val="10"/>
                <w:szCs w:val="10"/>
              </w:rPr>
            </w:pPr>
          </w:p>
        </w:tc>
        <w:tc>
          <w:tcPr>
            <w:tcW w:w="1693" w:type="dxa"/>
            <w:gridSpan w:val="2"/>
            <w:tcBorders>
              <w:top w:val="single" w:sz="8" w:space="0" w:color="000000"/>
              <w:left w:val="nil"/>
              <w:bottom w:val="single" w:sz="8" w:space="0" w:color="000000"/>
              <w:right w:val="nil"/>
            </w:tcBorders>
          </w:tcPr>
          <w:p w14:paraId="2213D4F8"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851" w:type="dxa"/>
            <w:tcBorders>
              <w:top w:val="single" w:sz="8" w:space="0" w:color="000000"/>
              <w:left w:val="nil"/>
              <w:bottom w:val="single" w:sz="8" w:space="0" w:color="000000"/>
              <w:right w:val="nil"/>
            </w:tcBorders>
            <w:shd w:val="clear" w:color="auto" w:fill="auto"/>
            <w:vAlign w:val="center"/>
          </w:tcPr>
          <w:p w14:paraId="6DDDFCB1"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889" w:type="dxa"/>
            <w:tcBorders>
              <w:top w:val="single" w:sz="8" w:space="0" w:color="000000"/>
              <w:left w:val="single" w:sz="8" w:space="0" w:color="000000"/>
              <w:bottom w:val="single" w:sz="8" w:space="0" w:color="000000"/>
              <w:right w:val="single" w:sz="8" w:space="0" w:color="000000"/>
            </w:tcBorders>
            <w:vAlign w:val="center"/>
          </w:tcPr>
          <w:p w14:paraId="783400E4" w14:textId="77777777" w:rsidR="00DC69E1" w:rsidRPr="00E266CD" w:rsidRDefault="00DC69E1" w:rsidP="00DC69E1">
            <w:pPr>
              <w:spacing w:after="0" w:line="240" w:lineRule="auto"/>
              <w:rPr>
                <w:rFonts w:ascii="Garamond" w:eastAsia="Times New Roman" w:hAnsi="Garamond"/>
                <w:b/>
                <w:color w:val="000000"/>
                <w:sz w:val="10"/>
                <w:szCs w:val="10"/>
              </w:rPr>
            </w:pPr>
          </w:p>
        </w:tc>
      </w:tr>
      <w:tr w:rsidR="00DC69E1" w:rsidRPr="00E266CD" w14:paraId="7E54B1C7" w14:textId="77777777" w:rsidTr="00657978">
        <w:trPr>
          <w:trHeight w:val="223"/>
          <w:jc w:val="center"/>
        </w:trPr>
        <w:tc>
          <w:tcPr>
            <w:tcW w:w="698" w:type="dxa"/>
            <w:vMerge/>
            <w:tcBorders>
              <w:top w:val="single" w:sz="8" w:space="0" w:color="000000"/>
              <w:left w:val="single" w:sz="8" w:space="0" w:color="000000"/>
              <w:bottom w:val="single" w:sz="8" w:space="0" w:color="000000"/>
              <w:right w:val="single" w:sz="4" w:space="0" w:color="000000"/>
            </w:tcBorders>
            <w:shd w:val="clear" w:color="auto" w:fill="auto"/>
            <w:vAlign w:val="center"/>
          </w:tcPr>
          <w:p w14:paraId="40FC1CEE"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4109" w:type="dxa"/>
            <w:vMerge/>
            <w:tcBorders>
              <w:top w:val="single" w:sz="8" w:space="0" w:color="000000"/>
              <w:left w:val="single" w:sz="4" w:space="0" w:color="000000"/>
              <w:bottom w:val="single" w:sz="8" w:space="0" w:color="000000"/>
              <w:right w:val="single" w:sz="4" w:space="0" w:color="000000"/>
            </w:tcBorders>
            <w:shd w:val="clear" w:color="auto" w:fill="auto"/>
            <w:vAlign w:val="center"/>
          </w:tcPr>
          <w:p w14:paraId="22EEA06B"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267" w:type="dxa"/>
            <w:gridSpan w:val="2"/>
            <w:vMerge/>
            <w:tcBorders>
              <w:top w:val="nil"/>
              <w:left w:val="single" w:sz="4" w:space="0" w:color="000000"/>
              <w:bottom w:val="single" w:sz="8" w:space="0" w:color="000000"/>
              <w:right w:val="single" w:sz="4" w:space="0" w:color="000000"/>
            </w:tcBorders>
            <w:shd w:val="clear" w:color="auto" w:fill="auto"/>
            <w:vAlign w:val="center"/>
          </w:tcPr>
          <w:p w14:paraId="378CE710"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544" w:type="dxa"/>
            <w:gridSpan w:val="2"/>
            <w:vMerge/>
            <w:tcBorders>
              <w:top w:val="nil"/>
              <w:left w:val="single" w:sz="4" w:space="0" w:color="000000"/>
              <w:bottom w:val="single" w:sz="8" w:space="0" w:color="000000"/>
              <w:right w:val="single" w:sz="4" w:space="0" w:color="000000"/>
            </w:tcBorders>
            <w:shd w:val="clear" w:color="auto" w:fill="auto"/>
            <w:vAlign w:val="center"/>
          </w:tcPr>
          <w:p w14:paraId="33892183"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593" w:type="dxa"/>
            <w:vMerge/>
            <w:tcBorders>
              <w:top w:val="nil"/>
              <w:left w:val="single" w:sz="4" w:space="0" w:color="000000"/>
              <w:bottom w:val="single" w:sz="8" w:space="0" w:color="000000"/>
              <w:right w:val="single" w:sz="4" w:space="0" w:color="000000"/>
            </w:tcBorders>
            <w:shd w:val="clear" w:color="auto" w:fill="auto"/>
            <w:vAlign w:val="center"/>
          </w:tcPr>
          <w:p w14:paraId="2ED76A1E"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872" w:type="dxa"/>
            <w:vMerge/>
            <w:tcBorders>
              <w:top w:val="nil"/>
              <w:left w:val="single" w:sz="4" w:space="0" w:color="000000"/>
              <w:bottom w:val="single" w:sz="8" w:space="0" w:color="000000"/>
              <w:right w:val="single" w:sz="8" w:space="0" w:color="000000"/>
            </w:tcBorders>
            <w:shd w:val="clear" w:color="auto" w:fill="auto"/>
            <w:vAlign w:val="center"/>
          </w:tcPr>
          <w:p w14:paraId="190EDE56" w14:textId="77777777" w:rsidR="00DC69E1" w:rsidRPr="00E266CD" w:rsidRDefault="00DC69E1" w:rsidP="00DC69E1">
            <w:pPr>
              <w:widowControl w:val="0"/>
              <w:pBdr>
                <w:top w:val="nil"/>
                <w:left w:val="nil"/>
                <w:bottom w:val="nil"/>
                <w:right w:val="nil"/>
                <w:between w:val="nil"/>
              </w:pBdr>
              <w:spacing w:after="0" w:line="240" w:lineRule="auto"/>
              <w:rPr>
                <w:rFonts w:ascii="Garamond" w:eastAsia="Times New Roman" w:hAnsi="Garamond"/>
                <w:b/>
                <w:color w:val="000000"/>
                <w:sz w:val="10"/>
                <w:szCs w:val="10"/>
              </w:rPr>
            </w:pPr>
          </w:p>
        </w:tc>
        <w:tc>
          <w:tcPr>
            <w:tcW w:w="1196" w:type="dxa"/>
            <w:tcBorders>
              <w:top w:val="nil"/>
              <w:left w:val="nil"/>
              <w:bottom w:val="single" w:sz="8" w:space="0" w:color="000000"/>
              <w:right w:val="nil"/>
            </w:tcBorders>
            <w:shd w:val="clear" w:color="auto" w:fill="auto"/>
            <w:vAlign w:val="center"/>
          </w:tcPr>
          <w:p w14:paraId="6A74501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Korente</w:t>
            </w:r>
          </w:p>
        </w:tc>
        <w:tc>
          <w:tcPr>
            <w:tcW w:w="936" w:type="dxa"/>
            <w:tcBorders>
              <w:top w:val="nil"/>
              <w:left w:val="single" w:sz="8" w:space="0" w:color="000000"/>
              <w:bottom w:val="single" w:sz="8" w:space="0" w:color="000000"/>
              <w:right w:val="single" w:sz="8" w:space="0" w:color="000000"/>
            </w:tcBorders>
            <w:shd w:val="clear" w:color="auto" w:fill="auto"/>
            <w:vAlign w:val="center"/>
          </w:tcPr>
          <w:p w14:paraId="0B32AF0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Kapitale</w:t>
            </w:r>
          </w:p>
        </w:tc>
        <w:tc>
          <w:tcPr>
            <w:tcW w:w="1082" w:type="dxa"/>
            <w:tcBorders>
              <w:top w:val="nil"/>
              <w:left w:val="nil"/>
              <w:bottom w:val="single" w:sz="8" w:space="0" w:color="000000"/>
              <w:right w:val="single" w:sz="8" w:space="0" w:color="000000"/>
            </w:tcBorders>
            <w:shd w:val="clear" w:color="auto" w:fill="auto"/>
            <w:vAlign w:val="center"/>
          </w:tcPr>
          <w:p w14:paraId="32713307" w14:textId="7928A299"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Total </w:t>
            </w:r>
            <w:r w:rsidR="00BC4813" w:rsidRPr="00E266CD">
              <w:rPr>
                <w:rFonts w:ascii="Garamond" w:eastAsia="Times New Roman" w:hAnsi="Garamond"/>
                <w:b/>
                <w:color w:val="000000"/>
                <w:sz w:val="10"/>
                <w:szCs w:val="10"/>
              </w:rPr>
              <w:t>k</w:t>
            </w:r>
            <w:r w:rsidRPr="00E266CD">
              <w:rPr>
                <w:rFonts w:ascii="Garamond" w:eastAsia="Times New Roman" w:hAnsi="Garamond"/>
                <w:b/>
                <w:color w:val="000000"/>
                <w:sz w:val="10"/>
                <w:szCs w:val="10"/>
              </w:rPr>
              <w:t>osto</w:t>
            </w:r>
          </w:p>
        </w:tc>
        <w:tc>
          <w:tcPr>
            <w:tcW w:w="876" w:type="dxa"/>
            <w:tcBorders>
              <w:top w:val="nil"/>
              <w:left w:val="nil"/>
              <w:bottom w:val="single" w:sz="8" w:space="0" w:color="000000"/>
              <w:right w:val="single" w:sz="8" w:space="0" w:color="000000"/>
            </w:tcBorders>
            <w:shd w:val="clear" w:color="auto" w:fill="auto"/>
            <w:vAlign w:val="center"/>
          </w:tcPr>
          <w:p w14:paraId="3BBF4FB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 BSH</w:t>
            </w:r>
          </w:p>
        </w:tc>
        <w:tc>
          <w:tcPr>
            <w:tcW w:w="817" w:type="dxa"/>
            <w:tcBorders>
              <w:top w:val="nil"/>
              <w:left w:val="nil"/>
              <w:bottom w:val="single" w:sz="8" w:space="0" w:color="000000"/>
              <w:right w:val="nil"/>
            </w:tcBorders>
            <w:vAlign w:val="center"/>
          </w:tcPr>
          <w:p w14:paraId="3561CD7D" w14:textId="77777777" w:rsidR="00DC69E1" w:rsidRPr="00E266CD" w:rsidRDefault="00DC69E1" w:rsidP="00657978">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Total FH</w:t>
            </w:r>
          </w:p>
        </w:tc>
        <w:tc>
          <w:tcPr>
            <w:tcW w:w="851" w:type="dxa"/>
            <w:tcBorders>
              <w:top w:val="nil"/>
              <w:left w:val="nil"/>
              <w:bottom w:val="single" w:sz="8" w:space="0" w:color="000000"/>
              <w:right w:val="single" w:sz="8" w:space="0" w:color="000000"/>
            </w:tcBorders>
            <w:shd w:val="clear" w:color="auto" w:fill="auto"/>
            <w:vAlign w:val="center"/>
          </w:tcPr>
          <w:p w14:paraId="0414FC1F" w14:textId="70D1200E" w:rsidR="00DC69E1" w:rsidRPr="00E266CD" w:rsidRDefault="00DC69E1" w:rsidP="00657978">
            <w:pPr>
              <w:spacing w:after="0" w:line="240" w:lineRule="auto"/>
              <w:jc w:val="center"/>
              <w:rPr>
                <w:rFonts w:ascii="Garamond" w:hAnsi="Garamond"/>
                <w:b/>
                <w:bCs/>
                <w:color w:val="000000"/>
                <w:sz w:val="10"/>
                <w:szCs w:val="10"/>
              </w:rPr>
            </w:pPr>
            <w:r w:rsidRPr="00E266CD">
              <w:rPr>
                <w:rFonts w:ascii="Garamond" w:hAnsi="Garamond"/>
                <w:b/>
                <w:bCs/>
                <w:color w:val="000000"/>
                <w:sz w:val="10"/>
                <w:szCs w:val="10"/>
              </w:rPr>
              <w:t>Të tjerë</w:t>
            </w:r>
            <w:r w:rsidR="007715D0" w:rsidRPr="00E266CD">
              <w:rPr>
                <w:rFonts w:ascii="Garamond" w:hAnsi="Garamond"/>
                <w:b/>
                <w:bCs/>
                <w:color w:val="000000"/>
                <w:sz w:val="10"/>
                <w:szCs w:val="10"/>
              </w:rPr>
              <w:t xml:space="preserve"> </w:t>
            </w:r>
            <w:r w:rsidRPr="00E266CD">
              <w:rPr>
                <w:rFonts w:ascii="Garamond" w:hAnsi="Garamond"/>
                <w:b/>
                <w:bCs/>
                <w:color w:val="000000"/>
                <w:sz w:val="10"/>
                <w:szCs w:val="10"/>
              </w:rPr>
              <w:t>(buxheti i institucioneve</w:t>
            </w:r>
          </w:p>
          <w:p w14:paraId="3418DE38" w14:textId="77777777" w:rsidR="00DC69E1" w:rsidRPr="00E266CD" w:rsidRDefault="00DC69E1" w:rsidP="00657978">
            <w:pPr>
              <w:spacing w:after="0" w:line="240" w:lineRule="auto"/>
              <w:jc w:val="center"/>
              <w:rPr>
                <w:rFonts w:ascii="Garamond" w:eastAsia="Times New Roman" w:hAnsi="Garamond"/>
                <w:b/>
                <w:color w:val="000000"/>
                <w:sz w:val="10"/>
                <w:szCs w:val="10"/>
              </w:rPr>
            </w:pPr>
          </w:p>
        </w:tc>
        <w:tc>
          <w:tcPr>
            <w:tcW w:w="889" w:type="dxa"/>
            <w:tcBorders>
              <w:top w:val="nil"/>
              <w:left w:val="nil"/>
              <w:bottom w:val="single" w:sz="8" w:space="0" w:color="000000"/>
              <w:right w:val="single" w:sz="8" w:space="0" w:color="000000"/>
            </w:tcBorders>
            <w:shd w:val="clear" w:color="auto" w:fill="auto"/>
            <w:vAlign w:val="center"/>
          </w:tcPr>
          <w:p w14:paraId="3911E396" w14:textId="47D39F34" w:rsidR="00DC69E1" w:rsidRPr="00E266CD" w:rsidRDefault="00DC69E1" w:rsidP="00657978">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xml:space="preserve">Hendeku </w:t>
            </w:r>
            <w:r w:rsidR="00BC4813" w:rsidRPr="00E266CD">
              <w:rPr>
                <w:rFonts w:ascii="Garamond" w:eastAsia="Times New Roman" w:hAnsi="Garamond"/>
                <w:b/>
                <w:color w:val="000000"/>
                <w:sz w:val="10"/>
                <w:szCs w:val="10"/>
              </w:rPr>
              <w:t>financiar</w:t>
            </w:r>
          </w:p>
        </w:tc>
      </w:tr>
      <w:tr w:rsidR="00DC69E1" w:rsidRPr="00E266CD" w14:paraId="4D1D9E35" w14:textId="77777777" w:rsidTr="00697028">
        <w:trPr>
          <w:trHeight w:val="403"/>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123519A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3.1</w:t>
            </w:r>
          </w:p>
        </w:tc>
        <w:tc>
          <w:tcPr>
            <w:tcW w:w="4109" w:type="dxa"/>
            <w:tcBorders>
              <w:top w:val="single" w:sz="4" w:space="0" w:color="000000"/>
              <w:left w:val="nil"/>
              <w:bottom w:val="nil"/>
              <w:right w:val="nil"/>
            </w:tcBorders>
            <w:shd w:val="clear" w:color="auto" w:fill="FCE4D6"/>
          </w:tcPr>
          <w:p w14:paraId="1A25E6F9" w14:textId="1EC4A50F"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3.1 Objektivi </w:t>
            </w:r>
            <w:r w:rsidR="00657978">
              <w:rPr>
                <w:rFonts w:ascii="Garamond" w:eastAsia="Times New Roman" w:hAnsi="Garamond"/>
                <w:color w:val="000000"/>
                <w:sz w:val="10"/>
                <w:szCs w:val="10"/>
              </w:rPr>
              <w:t>s</w:t>
            </w:r>
            <w:r w:rsidRPr="00E266CD">
              <w:rPr>
                <w:rFonts w:ascii="Garamond" w:eastAsia="Times New Roman" w:hAnsi="Garamond"/>
                <w:color w:val="000000"/>
                <w:sz w:val="10"/>
                <w:szCs w:val="10"/>
              </w:rPr>
              <w:t>pecifik 3.1 Reformimi i kurrikulës së shkencës në arsimi</w:t>
            </w:r>
            <w:r w:rsidR="00176F32">
              <w:rPr>
                <w:rFonts w:ascii="Garamond" w:eastAsia="Times New Roman" w:hAnsi="Garamond"/>
                <w:color w:val="000000"/>
                <w:sz w:val="10"/>
                <w:szCs w:val="10"/>
              </w:rPr>
              <w:t>n</w:t>
            </w:r>
            <w:r w:rsidRPr="00E266CD">
              <w:rPr>
                <w:rFonts w:ascii="Garamond" w:eastAsia="Times New Roman" w:hAnsi="Garamond"/>
                <w:color w:val="000000"/>
                <w:sz w:val="10"/>
                <w:szCs w:val="10"/>
              </w:rPr>
              <w:t xml:space="preserve"> parauniversitar duke përfshire STEM</w:t>
            </w:r>
            <w:r w:rsidR="00176F32">
              <w:rPr>
                <w:rFonts w:ascii="Garamond" w:eastAsia="Times New Roman" w:hAnsi="Garamond"/>
                <w:color w:val="000000"/>
                <w:sz w:val="10"/>
                <w:szCs w:val="10"/>
              </w:rPr>
              <w:t>-in</w:t>
            </w:r>
            <w:r w:rsidRPr="00E266CD">
              <w:rPr>
                <w:rFonts w:ascii="Garamond" w:eastAsia="Times New Roman" w:hAnsi="Garamond"/>
                <w:color w:val="000000"/>
                <w:sz w:val="10"/>
                <w:szCs w:val="10"/>
              </w:rPr>
              <w:t xml:space="preserve"> n</w:t>
            </w:r>
            <w:r w:rsidR="00BF1624" w:rsidRPr="00E266CD">
              <w:rPr>
                <w:rFonts w:ascii="Garamond" w:eastAsia="Times New Roman" w:hAnsi="Garamond"/>
                <w:color w:val="000000"/>
                <w:sz w:val="10"/>
                <w:szCs w:val="10"/>
              </w:rPr>
              <w:t>ë</w:t>
            </w:r>
            <w:r w:rsidRPr="00E266CD">
              <w:rPr>
                <w:rFonts w:ascii="Garamond" w:eastAsia="Times New Roman" w:hAnsi="Garamond"/>
                <w:color w:val="000000"/>
                <w:sz w:val="10"/>
                <w:szCs w:val="10"/>
              </w:rPr>
              <w:t xml:space="preserve"> edukim.</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3B1AA6F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single" w:sz="4" w:space="0" w:color="000000"/>
              <w:left w:val="nil"/>
              <w:bottom w:val="single" w:sz="4" w:space="0" w:color="000000"/>
              <w:right w:val="single" w:sz="4" w:space="0" w:color="000000"/>
            </w:tcBorders>
            <w:shd w:val="clear" w:color="auto" w:fill="FCE4D6"/>
            <w:vAlign w:val="center"/>
          </w:tcPr>
          <w:p w14:paraId="08850B29"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ASCAP, MFE</w:t>
            </w:r>
          </w:p>
        </w:tc>
        <w:tc>
          <w:tcPr>
            <w:tcW w:w="593" w:type="dxa"/>
            <w:tcBorders>
              <w:top w:val="single" w:sz="4" w:space="0" w:color="000000"/>
              <w:left w:val="nil"/>
              <w:bottom w:val="single" w:sz="4" w:space="0" w:color="000000"/>
              <w:right w:val="single" w:sz="4" w:space="0" w:color="000000"/>
            </w:tcBorders>
            <w:shd w:val="clear" w:color="auto" w:fill="FCE4D6"/>
          </w:tcPr>
          <w:p w14:paraId="7309CFCD"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nil"/>
              <w:bottom w:val="single" w:sz="4" w:space="0" w:color="000000"/>
              <w:right w:val="single" w:sz="4" w:space="0" w:color="000000"/>
            </w:tcBorders>
            <w:shd w:val="clear" w:color="auto" w:fill="FCE4D6"/>
          </w:tcPr>
          <w:p w14:paraId="5A75D63F"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single" w:sz="4" w:space="0" w:color="000000"/>
              <w:right w:val="single" w:sz="4" w:space="0" w:color="000000"/>
            </w:tcBorders>
            <w:shd w:val="clear" w:color="auto" w:fill="FCE4D6"/>
          </w:tcPr>
          <w:p w14:paraId="75A90294"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936" w:type="dxa"/>
            <w:tcBorders>
              <w:top w:val="single" w:sz="4" w:space="0" w:color="000000"/>
              <w:left w:val="nil"/>
              <w:bottom w:val="single" w:sz="4" w:space="0" w:color="000000"/>
              <w:right w:val="single" w:sz="4" w:space="0" w:color="000000"/>
            </w:tcBorders>
            <w:shd w:val="clear" w:color="auto" w:fill="FCE4D6"/>
          </w:tcPr>
          <w:p w14:paraId="6FD4E3D8"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1082" w:type="dxa"/>
            <w:tcBorders>
              <w:top w:val="single" w:sz="4" w:space="0" w:color="000000"/>
              <w:left w:val="nil"/>
              <w:bottom w:val="single" w:sz="4" w:space="0" w:color="000000"/>
              <w:right w:val="single" w:sz="4" w:space="0" w:color="000000"/>
            </w:tcBorders>
            <w:shd w:val="clear" w:color="auto" w:fill="FCE4D6"/>
          </w:tcPr>
          <w:p w14:paraId="5535CDE1"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76" w:type="dxa"/>
            <w:tcBorders>
              <w:top w:val="single" w:sz="4" w:space="0" w:color="000000"/>
              <w:left w:val="nil"/>
              <w:bottom w:val="single" w:sz="4" w:space="0" w:color="000000"/>
              <w:right w:val="single" w:sz="4" w:space="0" w:color="000000"/>
            </w:tcBorders>
            <w:shd w:val="clear" w:color="auto" w:fill="FCE4D6"/>
          </w:tcPr>
          <w:p w14:paraId="0C2806AF"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17" w:type="dxa"/>
            <w:tcBorders>
              <w:top w:val="single" w:sz="4" w:space="0" w:color="000000"/>
              <w:left w:val="nil"/>
              <w:bottom w:val="single" w:sz="4" w:space="0" w:color="000000"/>
              <w:right w:val="nil"/>
            </w:tcBorders>
            <w:shd w:val="clear" w:color="auto" w:fill="FCE4D6"/>
          </w:tcPr>
          <w:p w14:paraId="76952829" w14:textId="77777777" w:rsidR="00DC69E1" w:rsidRPr="00E266CD" w:rsidRDefault="00DC69E1" w:rsidP="00DC69E1">
            <w:pPr>
              <w:spacing w:after="0" w:line="240" w:lineRule="auto"/>
              <w:rPr>
                <w:rFonts w:ascii="Garamond" w:eastAsia="Times New Roman" w:hAnsi="Garamond"/>
                <w:color w:val="000000"/>
                <w:sz w:val="10"/>
                <w:szCs w:val="10"/>
              </w:rPr>
            </w:pPr>
          </w:p>
        </w:tc>
        <w:tc>
          <w:tcPr>
            <w:tcW w:w="851" w:type="dxa"/>
            <w:tcBorders>
              <w:top w:val="single" w:sz="4" w:space="0" w:color="000000"/>
              <w:left w:val="nil"/>
              <w:bottom w:val="single" w:sz="4" w:space="0" w:color="000000"/>
              <w:right w:val="single" w:sz="4" w:space="0" w:color="000000"/>
            </w:tcBorders>
            <w:shd w:val="clear" w:color="auto" w:fill="FCE4D6"/>
          </w:tcPr>
          <w:p w14:paraId="53329CC3"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89" w:type="dxa"/>
            <w:tcBorders>
              <w:top w:val="single" w:sz="4" w:space="0" w:color="000000"/>
              <w:left w:val="nil"/>
              <w:bottom w:val="single" w:sz="4" w:space="0" w:color="000000"/>
              <w:right w:val="single" w:sz="4" w:space="0" w:color="000000"/>
            </w:tcBorders>
            <w:shd w:val="clear" w:color="auto" w:fill="FCE4D6"/>
          </w:tcPr>
          <w:p w14:paraId="57B4C605" w14:textId="7777777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w:t>
            </w:r>
          </w:p>
        </w:tc>
      </w:tr>
      <w:tr w:rsidR="00DC69E1" w:rsidRPr="00E266CD" w14:paraId="39C4E8EF" w14:textId="77777777" w:rsidTr="00697028">
        <w:trPr>
          <w:trHeight w:val="394"/>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44B42C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3.1.1</w:t>
            </w:r>
          </w:p>
        </w:tc>
        <w:tc>
          <w:tcPr>
            <w:tcW w:w="4109" w:type="dxa"/>
            <w:tcBorders>
              <w:top w:val="nil"/>
              <w:left w:val="nil"/>
              <w:bottom w:val="single" w:sz="4" w:space="0" w:color="000000"/>
              <w:right w:val="nil"/>
            </w:tcBorders>
            <w:shd w:val="clear" w:color="auto" w:fill="DDEBF7"/>
          </w:tcPr>
          <w:p w14:paraId="564D98DE" w14:textId="2584AAB6"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3.1.1 Identifikimi i praktikave ndërkombëtare në drejtim të rishikimit të kurrikulave për përfshirjen e STEM</w:t>
            </w:r>
            <w:r w:rsidR="00176F32">
              <w:rPr>
                <w:rFonts w:ascii="Garamond" w:eastAsia="Times New Roman" w:hAnsi="Garamond"/>
                <w:color w:val="000000"/>
                <w:sz w:val="10"/>
                <w:szCs w:val="10"/>
              </w:rPr>
              <w:t>-it</w:t>
            </w:r>
            <w:r w:rsidRPr="00E266CD">
              <w:rPr>
                <w:rFonts w:ascii="Garamond" w:eastAsia="Times New Roman" w:hAnsi="Garamond"/>
                <w:color w:val="000000"/>
                <w:sz w:val="10"/>
                <w:szCs w:val="10"/>
              </w:rPr>
              <w:t xml:space="preserve"> në edukim</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79EE6EE9" w14:textId="77777777" w:rsidR="00DC69E1" w:rsidRPr="00E266CD" w:rsidRDefault="00DC69E1" w:rsidP="00DC69E1">
            <w:pPr>
              <w:spacing w:after="0" w:line="240" w:lineRule="auto"/>
              <w:jc w:val="center"/>
              <w:rPr>
                <w:rFonts w:ascii="Garamond" w:eastAsia="Times New Roman" w:hAnsi="Garamond"/>
                <w:bCs/>
                <w:color w:val="000000"/>
                <w:sz w:val="10"/>
                <w:szCs w:val="10"/>
              </w:rPr>
            </w:pPr>
            <w:r w:rsidRPr="00E266CD">
              <w:rPr>
                <w:rFonts w:ascii="Garamond" w:eastAsia="Times New Roman" w:hAnsi="Garamond"/>
                <w:bCs/>
                <w:color w:val="000000"/>
                <w:sz w:val="10"/>
                <w:szCs w:val="10"/>
              </w:rPr>
              <w:t>MAS</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4B21E0EC"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ASCAP</w:t>
            </w:r>
          </w:p>
        </w:tc>
        <w:tc>
          <w:tcPr>
            <w:tcW w:w="593" w:type="dxa"/>
            <w:tcBorders>
              <w:top w:val="nil"/>
              <w:left w:val="nil"/>
              <w:bottom w:val="single" w:sz="4" w:space="0" w:color="000000"/>
              <w:right w:val="nil"/>
            </w:tcBorders>
            <w:shd w:val="clear" w:color="auto" w:fill="FFFFFF"/>
          </w:tcPr>
          <w:p w14:paraId="6DBE965F"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439BB625"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47A7783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724,420</w:t>
            </w:r>
          </w:p>
        </w:tc>
        <w:tc>
          <w:tcPr>
            <w:tcW w:w="936" w:type="dxa"/>
            <w:tcBorders>
              <w:top w:val="nil"/>
              <w:left w:val="nil"/>
              <w:bottom w:val="single" w:sz="4" w:space="0" w:color="000000"/>
              <w:right w:val="single" w:sz="4" w:space="0" w:color="000000"/>
            </w:tcBorders>
            <w:shd w:val="clear" w:color="auto" w:fill="auto"/>
            <w:vAlign w:val="center"/>
          </w:tcPr>
          <w:p w14:paraId="7EBAC5F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5E49909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724,420</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473CAE1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4,420</w:t>
            </w:r>
          </w:p>
        </w:tc>
        <w:tc>
          <w:tcPr>
            <w:tcW w:w="817" w:type="dxa"/>
            <w:tcBorders>
              <w:top w:val="nil"/>
              <w:left w:val="single" w:sz="4" w:space="0" w:color="000000"/>
              <w:bottom w:val="single" w:sz="4" w:space="0" w:color="000000"/>
              <w:right w:val="single" w:sz="4" w:space="0" w:color="000000"/>
            </w:tcBorders>
            <w:vAlign w:val="center"/>
          </w:tcPr>
          <w:p w14:paraId="7DEED1B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4DF11A6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358E93B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-720,000</w:t>
            </w:r>
          </w:p>
        </w:tc>
      </w:tr>
      <w:tr w:rsidR="00DC69E1" w:rsidRPr="00E266CD" w14:paraId="5D154C4C" w14:textId="77777777" w:rsidTr="00697028">
        <w:trPr>
          <w:trHeight w:val="61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5228E76C"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3.1.2</w:t>
            </w:r>
          </w:p>
        </w:tc>
        <w:tc>
          <w:tcPr>
            <w:tcW w:w="4109" w:type="dxa"/>
            <w:tcBorders>
              <w:top w:val="nil"/>
              <w:left w:val="nil"/>
              <w:bottom w:val="single" w:sz="4" w:space="0" w:color="000000"/>
              <w:right w:val="nil"/>
            </w:tcBorders>
            <w:shd w:val="clear" w:color="auto" w:fill="DDEBF7"/>
          </w:tcPr>
          <w:p w14:paraId="064308D5" w14:textId="25335D6B"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3.1.2 Përgatitja e stafit pedagogjik</w:t>
            </w:r>
            <w:r w:rsidR="00176F32">
              <w:rPr>
                <w:rFonts w:ascii="Garamond" w:eastAsia="Times New Roman" w:hAnsi="Garamond"/>
                <w:color w:val="000000"/>
                <w:sz w:val="10"/>
                <w:szCs w:val="10"/>
              </w:rPr>
              <w:t>,</w:t>
            </w:r>
            <w:r w:rsidRPr="00E266CD">
              <w:rPr>
                <w:rFonts w:ascii="Garamond" w:eastAsia="Times New Roman" w:hAnsi="Garamond"/>
                <w:color w:val="000000"/>
                <w:sz w:val="10"/>
                <w:szCs w:val="10"/>
              </w:rPr>
              <w:t xml:space="preserve"> lidhur me realizimin e praktikave kërkimore dhe zhvillimin e projekteve kërkimore në sistemin parauniversitar</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54B68AC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79F5CA81"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w:t>
            </w:r>
          </w:p>
        </w:tc>
        <w:tc>
          <w:tcPr>
            <w:tcW w:w="593" w:type="dxa"/>
            <w:tcBorders>
              <w:top w:val="nil"/>
              <w:left w:val="nil"/>
              <w:bottom w:val="single" w:sz="4" w:space="0" w:color="000000"/>
              <w:right w:val="nil"/>
            </w:tcBorders>
            <w:shd w:val="clear" w:color="auto" w:fill="FFFFFF"/>
          </w:tcPr>
          <w:p w14:paraId="6566A023"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2D1A407F"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6329238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6,162,455</w:t>
            </w:r>
          </w:p>
        </w:tc>
        <w:tc>
          <w:tcPr>
            <w:tcW w:w="936" w:type="dxa"/>
            <w:tcBorders>
              <w:top w:val="nil"/>
              <w:left w:val="nil"/>
              <w:bottom w:val="single" w:sz="4" w:space="0" w:color="000000"/>
              <w:right w:val="single" w:sz="4" w:space="0" w:color="000000"/>
            </w:tcBorders>
            <w:shd w:val="clear" w:color="auto" w:fill="auto"/>
            <w:vAlign w:val="center"/>
          </w:tcPr>
          <w:p w14:paraId="3C45A2C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56827BD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6,162,455</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66D6C9B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2,062,457</w:t>
            </w:r>
          </w:p>
        </w:tc>
        <w:tc>
          <w:tcPr>
            <w:tcW w:w="817" w:type="dxa"/>
            <w:tcBorders>
              <w:top w:val="nil"/>
              <w:left w:val="single" w:sz="4" w:space="0" w:color="000000"/>
              <w:bottom w:val="single" w:sz="4" w:space="0" w:color="000000"/>
              <w:right w:val="single" w:sz="4" w:space="0" w:color="000000"/>
            </w:tcBorders>
            <w:vAlign w:val="center"/>
          </w:tcPr>
          <w:p w14:paraId="59064C8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61B37E7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3E083CE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-4,099,998</w:t>
            </w:r>
          </w:p>
        </w:tc>
      </w:tr>
      <w:tr w:rsidR="00DC69E1" w:rsidRPr="00E266CD" w14:paraId="48574119" w14:textId="77777777" w:rsidTr="00697028">
        <w:trPr>
          <w:trHeight w:val="412"/>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151CEC6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3.1.3</w:t>
            </w:r>
          </w:p>
        </w:tc>
        <w:tc>
          <w:tcPr>
            <w:tcW w:w="4109" w:type="dxa"/>
            <w:tcBorders>
              <w:top w:val="single" w:sz="4" w:space="0" w:color="000000"/>
              <w:left w:val="nil"/>
              <w:bottom w:val="single" w:sz="4" w:space="0" w:color="000000"/>
              <w:right w:val="nil"/>
            </w:tcBorders>
            <w:shd w:val="clear" w:color="auto" w:fill="DDEBF7"/>
          </w:tcPr>
          <w:p w14:paraId="11A621BC" w14:textId="4BB5BC59"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3.1.3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Promovimi dhe përfshirja e orëve jashtëkurrikulare në arsimin parauniversitar mbi STEM</w:t>
            </w:r>
            <w:r w:rsidR="00176F32">
              <w:rPr>
                <w:rFonts w:ascii="Garamond" w:eastAsia="Times New Roman" w:hAnsi="Garamond"/>
                <w:color w:val="000000"/>
                <w:sz w:val="10"/>
                <w:szCs w:val="10"/>
              </w:rPr>
              <w:t>-in</w:t>
            </w:r>
          </w:p>
        </w:tc>
        <w:tc>
          <w:tcPr>
            <w:tcW w:w="1267" w:type="dxa"/>
            <w:gridSpan w:val="2"/>
            <w:tcBorders>
              <w:top w:val="single" w:sz="4" w:space="0" w:color="000000"/>
              <w:left w:val="single" w:sz="8" w:space="0" w:color="000000"/>
              <w:bottom w:val="single" w:sz="8" w:space="0" w:color="000000"/>
              <w:right w:val="single" w:sz="8" w:space="0" w:color="000000"/>
            </w:tcBorders>
            <w:shd w:val="clear" w:color="auto" w:fill="auto"/>
            <w:vAlign w:val="center"/>
          </w:tcPr>
          <w:p w14:paraId="2D68D58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D39626"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MFE</w:t>
            </w:r>
          </w:p>
        </w:tc>
        <w:tc>
          <w:tcPr>
            <w:tcW w:w="593" w:type="dxa"/>
            <w:tcBorders>
              <w:top w:val="single" w:sz="4" w:space="0" w:color="000000"/>
              <w:left w:val="nil"/>
              <w:bottom w:val="single" w:sz="4" w:space="0" w:color="000000"/>
              <w:right w:val="nil"/>
            </w:tcBorders>
            <w:shd w:val="clear" w:color="auto" w:fill="FFFFFF"/>
          </w:tcPr>
          <w:p w14:paraId="3533F2F1"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nil"/>
            </w:tcBorders>
            <w:shd w:val="clear" w:color="auto" w:fill="FFFFFF"/>
          </w:tcPr>
          <w:p w14:paraId="24FBD7CD"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6C929B8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26,397,401</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4F66666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2672A8A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26,397,401</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17BDBDF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25,721,000</w:t>
            </w:r>
          </w:p>
        </w:tc>
        <w:tc>
          <w:tcPr>
            <w:tcW w:w="817" w:type="dxa"/>
            <w:tcBorders>
              <w:top w:val="single" w:sz="4" w:space="0" w:color="000000"/>
              <w:left w:val="single" w:sz="4" w:space="0" w:color="000000"/>
              <w:bottom w:val="single" w:sz="4" w:space="0" w:color="000000"/>
              <w:right w:val="single" w:sz="4" w:space="0" w:color="000000"/>
            </w:tcBorders>
            <w:vAlign w:val="center"/>
          </w:tcPr>
          <w:p w14:paraId="652E047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16D877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51F1E7D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-676,401</w:t>
            </w:r>
          </w:p>
        </w:tc>
      </w:tr>
      <w:tr w:rsidR="00DC69E1" w:rsidRPr="00E266CD" w14:paraId="766A48CC" w14:textId="77777777" w:rsidTr="00697028">
        <w:trPr>
          <w:trHeight w:val="529"/>
          <w:jc w:val="center"/>
        </w:trPr>
        <w:tc>
          <w:tcPr>
            <w:tcW w:w="698" w:type="dxa"/>
            <w:tcBorders>
              <w:top w:val="single" w:sz="4" w:space="0" w:color="000000"/>
              <w:left w:val="single" w:sz="8" w:space="0" w:color="000000"/>
              <w:bottom w:val="single" w:sz="4" w:space="0" w:color="000000"/>
              <w:right w:val="single" w:sz="4" w:space="0" w:color="000000"/>
            </w:tcBorders>
            <w:shd w:val="clear" w:color="auto" w:fill="auto"/>
            <w:vAlign w:val="center"/>
          </w:tcPr>
          <w:p w14:paraId="566945C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3.1.4</w:t>
            </w:r>
          </w:p>
        </w:tc>
        <w:tc>
          <w:tcPr>
            <w:tcW w:w="4109" w:type="dxa"/>
            <w:tcBorders>
              <w:top w:val="single" w:sz="4" w:space="0" w:color="000000"/>
              <w:left w:val="nil"/>
              <w:bottom w:val="single" w:sz="4" w:space="0" w:color="000000"/>
              <w:right w:val="nil"/>
            </w:tcBorders>
            <w:shd w:val="clear" w:color="auto" w:fill="DDEBF7"/>
          </w:tcPr>
          <w:p w14:paraId="1FA7D4FE" w14:textId="04CBCCD7"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3.1.4</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Përmirësimi i laboratorëve për zhvillimin e lëndëve STEM</w:t>
            </w:r>
          </w:p>
        </w:tc>
        <w:tc>
          <w:tcPr>
            <w:tcW w:w="1267" w:type="dxa"/>
            <w:gridSpan w:val="2"/>
            <w:tcBorders>
              <w:top w:val="single" w:sz="4" w:space="0" w:color="000000"/>
              <w:left w:val="single" w:sz="8" w:space="0" w:color="000000"/>
              <w:bottom w:val="single" w:sz="8" w:space="0" w:color="000000"/>
              <w:right w:val="single" w:sz="8" w:space="0" w:color="000000"/>
            </w:tcBorders>
            <w:shd w:val="clear" w:color="auto" w:fill="auto"/>
            <w:vAlign w:val="center"/>
          </w:tcPr>
          <w:p w14:paraId="04A2CFFF"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121431"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MFE, ASCAP</w:t>
            </w:r>
          </w:p>
        </w:tc>
        <w:tc>
          <w:tcPr>
            <w:tcW w:w="593" w:type="dxa"/>
            <w:tcBorders>
              <w:top w:val="single" w:sz="4" w:space="0" w:color="000000"/>
              <w:left w:val="nil"/>
              <w:bottom w:val="single" w:sz="4" w:space="0" w:color="000000"/>
              <w:right w:val="nil"/>
            </w:tcBorders>
            <w:shd w:val="clear" w:color="auto" w:fill="FFFFFF"/>
          </w:tcPr>
          <w:p w14:paraId="519DA299"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single" w:sz="4" w:space="0" w:color="000000"/>
              <w:bottom w:val="single" w:sz="4" w:space="0" w:color="000000"/>
              <w:right w:val="nil"/>
            </w:tcBorders>
            <w:shd w:val="clear" w:color="auto" w:fill="FFFFFF"/>
          </w:tcPr>
          <w:p w14:paraId="277398B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2025</w:t>
            </w:r>
          </w:p>
        </w:tc>
        <w:tc>
          <w:tcPr>
            <w:tcW w:w="1196" w:type="dxa"/>
            <w:tcBorders>
              <w:top w:val="single" w:sz="4" w:space="0" w:color="000000"/>
              <w:left w:val="single" w:sz="8" w:space="0" w:color="000000"/>
              <w:bottom w:val="single" w:sz="4" w:space="0" w:color="000000"/>
              <w:right w:val="single" w:sz="4" w:space="0" w:color="000000"/>
            </w:tcBorders>
            <w:shd w:val="clear" w:color="auto" w:fill="auto"/>
            <w:vAlign w:val="center"/>
          </w:tcPr>
          <w:p w14:paraId="18B70CE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936" w:type="dxa"/>
            <w:tcBorders>
              <w:top w:val="single" w:sz="4" w:space="0" w:color="000000"/>
              <w:left w:val="nil"/>
              <w:bottom w:val="single" w:sz="4" w:space="0" w:color="000000"/>
              <w:right w:val="single" w:sz="4" w:space="0" w:color="000000"/>
            </w:tcBorders>
            <w:shd w:val="clear" w:color="auto" w:fill="auto"/>
            <w:vAlign w:val="center"/>
          </w:tcPr>
          <w:p w14:paraId="41770B5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362,951,472</w:t>
            </w:r>
          </w:p>
        </w:tc>
        <w:tc>
          <w:tcPr>
            <w:tcW w:w="1082" w:type="dxa"/>
            <w:tcBorders>
              <w:top w:val="single" w:sz="8" w:space="0" w:color="000000"/>
              <w:left w:val="nil"/>
              <w:bottom w:val="single" w:sz="4" w:space="0" w:color="000000"/>
              <w:right w:val="single" w:sz="8" w:space="0" w:color="000000"/>
            </w:tcBorders>
            <w:shd w:val="clear" w:color="auto" w:fill="auto"/>
            <w:vAlign w:val="center"/>
          </w:tcPr>
          <w:p w14:paraId="0EFB6B3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362,951,472</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5E4BF51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240,000,000</w:t>
            </w:r>
          </w:p>
        </w:tc>
        <w:tc>
          <w:tcPr>
            <w:tcW w:w="817" w:type="dxa"/>
            <w:tcBorders>
              <w:top w:val="single" w:sz="4" w:space="0" w:color="000000"/>
              <w:left w:val="single" w:sz="4" w:space="0" w:color="000000"/>
              <w:bottom w:val="single" w:sz="4" w:space="0" w:color="000000"/>
              <w:right w:val="single" w:sz="4" w:space="0" w:color="000000"/>
            </w:tcBorders>
            <w:vAlign w:val="center"/>
          </w:tcPr>
          <w:p w14:paraId="230564D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122,951,472</w:t>
            </w:r>
          </w:p>
        </w:tc>
        <w:tc>
          <w:tcPr>
            <w:tcW w:w="851" w:type="dxa"/>
            <w:tcBorders>
              <w:top w:val="single" w:sz="4" w:space="0" w:color="000000"/>
              <w:left w:val="single" w:sz="4" w:space="0" w:color="000000"/>
              <w:bottom w:val="single" w:sz="4" w:space="0" w:color="000000"/>
              <w:right w:val="single" w:sz="8" w:space="0" w:color="000000"/>
            </w:tcBorders>
            <w:shd w:val="clear" w:color="auto" w:fill="auto"/>
            <w:vAlign w:val="center"/>
          </w:tcPr>
          <w:p w14:paraId="20FA79E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4422642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r>
      <w:tr w:rsidR="00DC69E1" w:rsidRPr="00E266CD" w14:paraId="79E6E179" w14:textId="77777777" w:rsidTr="00697028">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66779F43"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1625AF93" w14:textId="043FEC67"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176F32">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3.1</w:t>
            </w:r>
          </w:p>
        </w:tc>
        <w:tc>
          <w:tcPr>
            <w:tcW w:w="1267" w:type="dxa"/>
            <w:gridSpan w:val="2"/>
            <w:tcBorders>
              <w:top w:val="nil"/>
              <w:left w:val="nil"/>
              <w:bottom w:val="nil"/>
              <w:right w:val="single" w:sz="4" w:space="0" w:color="000000"/>
            </w:tcBorders>
            <w:shd w:val="clear" w:color="auto" w:fill="D9D9D9"/>
            <w:vAlign w:val="center"/>
          </w:tcPr>
          <w:p w14:paraId="3ECD52E6"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1544" w:type="dxa"/>
            <w:gridSpan w:val="2"/>
            <w:tcBorders>
              <w:top w:val="nil"/>
              <w:left w:val="nil"/>
              <w:bottom w:val="nil"/>
              <w:right w:val="single" w:sz="4" w:space="0" w:color="000000"/>
            </w:tcBorders>
            <w:shd w:val="clear" w:color="auto" w:fill="D9D9D9"/>
            <w:vAlign w:val="center"/>
          </w:tcPr>
          <w:p w14:paraId="65F219BE"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593" w:type="dxa"/>
            <w:tcBorders>
              <w:top w:val="nil"/>
              <w:left w:val="nil"/>
              <w:bottom w:val="nil"/>
              <w:right w:val="single" w:sz="4" w:space="0" w:color="000000"/>
            </w:tcBorders>
            <w:shd w:val="clear" w:color="auto" w:fill="D9D9D9"/>
            <w:vAlign w:val="center"/>
          </w:tcPr>
          <w:p w14:paraId="13D2863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0E738695"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00FEC81E"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33,284,276</w:t>
            </w:r>
          </w:p>
        </w:tc>
        <w:tc>
          <w:tcPr>
            <w:tcW w:w="936" w:type="dxa"/>
            <w:tcBorders>
              <w:top w:val="nil"/>
              <w:left w:val="nil"/>
              <w:bottom w:val="nil"/>
              <w:right w:val="single" w:sz="4" w:space="0" w:color="000000"/>
            </w:tcBorders>
            <w:shd w:val="clear" w:color="auto" w:fill="D9D9D9"/>
            <w:vAlign w:val="center"/>
          </w:tcPr>
          <w:p w14:paraId="494FCD09"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362,951,472</w:t>
            </w:r>
          </w:p>
        </w:tc>
        <w:tc>
          <w:tcPr>
            <w:tcW w:w="1082" w:type="dxa"/>
            <w:tcBorders>
              <w:top w:val="nil"/>
              <w:left w:val="nil"/>
              <w:bottom w:val="nil"/>
              <w:right w:val="single" w:sz="4" w:space="0" w:color="000000"/>
            </w:tcBorders>
            <w:shd w:val="clear" w:color="auto" w:fill="D9D9D9"/>
            <w:vAlign w:val="center"/>
          </w:tcPr>
          <w:p w14:paraId="1579BD92"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396,235,748</w:t>
            </w:r>
          </w:p>
        </w:tc>
        <w:tc>
          <w:tcPr>
            <w:tcW w:w="876" w:type="dxa"/>
            <w:tcBorders>
              <w:top w:val="nil"/>
              <w:left w:val="nil"/>
              <w:bottom w:val="nil"/>
              <w:right w:val="single" w:sz="4" w:space="0" w:color="000000"/>
            </w:tcBorders>
            <w:shd w:val="clear" w:color="auto" w:fill="D9D9D9"/>
            <w:vAlign w:val="center"/>
          </w:tcPr>
          <w:p w14:paraId="7A6A4D2C"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267,787,877</w:t>
            </w:r>
          </w:p>
        </w:tc>
        <w:tc>
          <w:tcPr>
            <w:tcW w:w="817" w:type="dxa"/>
            <w:tcBorders>
              <w:top w:val="nil"/>
              <w:left w:val="nil"/>
              <w:bottom w:val="nil"/>
              <w:right w:val="nil"/>
            </w:tcBorders>
            <w:shd w:val="clear" w:color="auto" w:fill="D9D9D9"/>
            <w:vAlign w:val="center"/>
          </w:tcPr>
          <w:p w14:paraId="5B1F8798"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122,951,472</w:t>
            </w:r>
          </w:p>
        </w:tc>
        <w:tc>
          <w:tcPr>
            <w:tcW w:w="851" w:type="dxa"/>
            <w:tcBorders>
              <w:top w:val="nil"/>
              <w:left w:val="nil"/>
              <w:bottom w:val="nil"/>
              <w:right w:val="single" w:sz="4" w:space="0" w:color="000000"/>
            </w:tcBorders>
            <w:shd w:val="clear" w:color="auto" w:fill="D9D9D9"/>
            <w:vAlign w:val="center"/>
          </w:tcPr>
          <w:p w14:paraId="63A1C0BC"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nil"/>
              <w:right w:val="single" w:sz="4" w:space="0" w:color="000000"/>
            </w:tcBorders>
            <w:shd w:val="clear" w:color="auto" w:fill="D9D9D9"/>
            <w:vAlign w:val="center"/>
          </w:tcPr>
          <w:p w14:paraId="4F6BE96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-5,496,399</w:t>
            </w:r>
          </w:p>
        </w:tc>
      </w:tr>
      <w:tr w:rsidR="00DC69E1" w:rsidRPr="00E266CD" w14:paraId="2BFC0B8E" w14:textId="77777777" w:rsidTr="00697028">
        <w:trPr>
          <w:trHeight w:val="601"/>
          <w:jc w:val="center"/>
        </w:trPr>
        <w:tc>
          <w:tcPr>
            <w:tcW w:w="698" w:type="dxa"/>
            <w:tcBorders>
              <w:top w:val="single" w:sz="8" w:space="0" w:color="000000"/>
              <w:left w:val="single" w:sz="8" w:space="0" w:color="000000"/>
              <w:bottom w:val="single" w:sz="4" w:space="0" w:color="000000"/>
              <w:right w:val="single" w:sz="4" w:space="0" w:color="000000"/>
            </w:tcBorders>
            <w:shd w:val="clear" w:color="auto" w:fill="auto"/>
            <w:vAlign w:val="center"/>
          </w:tcPr>
          <w:p w14:paraId="2964C7DC"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3.2</w:t>
            </w:r>
          </w:p>
        </w:tc>
        <w:tc>
          <w:tcPr>
            <w:tcW w:w="4109" w:type="dxa"/>
            <w:tcBorders>
              <w:top w:val="single" w:sz="4" w:space="0" w:color="000000"/>
              <w:left w:val="nil"/>
              <w:bottom w:val="single" w:sz="4" w:space="0" w:color="000000"/>
              <w:right w:val="nil"/>
            </w:tcBorders>
            <w:shd w:val="clear" w:color="auto" w:fill="FCE4D6"/>
          </w:tcPr>
          <w:p w14:paraId="1A5401CA" w14:textId="68C503C4"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3.2 Objektivi </w:t>
            </w:r>
            <w:r w:rsidR="00176F32">
              <w:rPr>
                <w:rFonts w:ascii="Garamond" w:eastAsia="Times New Roman" w:hAnsi="Garamond"/>
                <w:color w:val="000000"/>
                <w:sz w:val="10"/>
                <w:szCs w:val="10"/>
              </w:rPr>
              <w:t>s</w:t>
            </w:r>
            <w:r w:rsidRPr="00E266CD">
              <w:rPr>
                <w:rFonts w:ascii="Garamond" w:eastAsia="Times New Roman" w:hAnsi="Garamond"/>
                <w:color w:val="000000"/>
                <w:sz w:val="10"/>
                <w:szCs w:val="10"/>
              </w:rPr>
              <w:t>pecifik 2: Sensibilizimi në të gjithë nivelet e edukimit parauniversitar, për fuqizimin e rolit të të rinjve në kërkim dhe inovacion</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23D5651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ASCAP</w:t>
            </w:r>
          </w:p>
        </w:tc>
        <w:tc>
          <w:tcPr>
            <w:tcW w:w="1544" w:type="dxa"/>
            <w:gridSpan w:val="2"/>
            <w:tcBorders>
              <w:top w:val="single" w:sz="4" w:space="0" w:color="000000"/>
              <w:left w:val="nil"/>
              <w:bottom w:val="single" w:sz="4" w:space="0" w:color="000000"/>
              <w:right w:val="single" w:sz="4" w:space="0" w:color="000000"/>
            </w:tcBorders>
            <w:shd w:val="clear" w:color="auto" w:fill="FCE4D6"/>
            <w:vAlign w:val="center"/>
          </w:tcPr>
          <w:p w14:paraId="4C933057"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MFE, NJQV, DPPI, ASCAP</w:t>
            </w:r>
          </w:p>
        </w:tc>
        <w:tc>
          <w:tcPr>
            <w:tcW w:w="593" w:type="dxa"/>
            <w:tcBorders>
              <w:top w:val="single" w:sz="4" w:space="0" w:color="000000"/>
              <w:left w:val="nil"/>
              <w:bottom w:val="single" w:sz="4" w:space="0" w:color="000000"/>
              <w:right w:val="single" w:sz="4" w:space="0" w:color="000000"/>
            </w:tcBorders>
            <w:shd w:val="clear" w:color="auto" w:fill="FCE4D6"/>
          </w:tcPr>
          <w:p w14:paraId="45B25A6A"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nil"/>
              <w:bottom w:val="single" w:sz="4" w:space="0" w:color="000000"/>
              <w:right w:val="single" w:sz="4" w:space="0" w:color="000000"/>
            </w:tcBorders>
            <w:shd w:val="clear" w:color="auto" w:fill="FCE4D6"/>
          </w:tcPr>
          <w:p w14:paraId="6643620E"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single" w:sz="4" w:space="0" w:color="000000"/>
              <w:right w:val="single" w:sz="4" w:space="0" w:color="000000"/>
            </w:tcBorders>
            <w:shd w:val="clear" w:color="auto" w:fill="FCE4D6"/>
          </w:tcPr>
          <w:p w14:paraId="4215B337"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936" w:type="dxa"/>
            <w:tcBorders>
              <w:top w:val="single" w:sz="4" w:space="0" w:color="000000"/>
              <w:left w:val="nil"/>
              <w:bottom w:val="single" w:sz="4" w:space="0" w:color="000000"/>
              <w:right w:val="single" w:sz="4" w:space="0" w:color="000000"/>
            </w:tcBorders>
            <w:shd w:val="clear" w:color="auto" w:fill="FCE4D6"/>
          </w:tcPr>
          <w:p w14:paraId="55890FAF"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1082" w:type="dxa"/>
            <w:tcBorders>
              <w:top w:val="single" w:sz="4" w:space="0" w:color="000000"/>
              <w:left w:val="nil"/>
              <w:bottom w:val="single" w:sz="4" w:space="0" w:color="000000"/>
              <w:right w:val="single" w:sz="4" w:space="0" w:color="000000"/>
            </w:tcBorders>
            <w:shd w:val="clear" w:color="auto" w:fill="FCE4D6"/>
          </w:tcPr>
          <w:p w14:paraId="062B8A17"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76" w:type="dxa"/>
            <w:tcBorders>
              <w:top w:val="single" w:sz="4" w:space="0" w:color="000000"/>
              <w:left w:val="nil"/>
              <w:bottom w:val="single" w:sz="4" w:space="0" w:color="000000"/>
              <w:right w:val="single" w:sz="4" w:space="0" w:color="000000"/>
            </w:tcBorders>
            <w:shd w:val="clear" w:color="auto" w:fill="FCE4D6"/>
          </w:tcPr>
          <w:p w14:paraId="4F5D3BD8"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17" w:type="dxa"/>
            <w:tcBorders>
              <w:top w:val="single" w:sz="4" w:space="0" w:color="000000"/>
              <w:left w:val="nil"/>
              <w:bottom w:val="single" w:sz="4" w:space="0" w:color="000000"/>
              <w:right w:val="nil"/>
            </w:tcBorders>
            <w:shd w:val="clear" w:color="auto" w:fill="FCE4D6"/>
          </w:tcPr>
          <w:p w14:paraId="46CD9CBE"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51" w:type="dxa"/>
            <w:tcBorders>
              <w:top w:val="single" w:sz="4" w:space="0" w:color="000000"/>
              <w:left w:val="nil"/>
              <w:bottom w:val="single" w:sz="4" w:space="0" w:color="000000"/>
              <w:right w:val="single" w:sz="4" w:space="0" w:color="000000"/>
            </w:tcBorders>
            <w:shd w:val="clear" w:color="auto" w:fill="FCE4D6"/>
          </w:tcPr>
          <w:p w14:paraId="5903059B"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89" w:type="dxa"/>
            <w:tcBorders>
              <w:top w:val="single" w:sz="4" w:space="0" w:color="000000"/>
              <w:left w:val="nil"/>
              <w:bottom w:val="single" w:sz="4" w:space="0" w:color="000000"/>
              <w:right w:val="single" w:sz="4" w:space="0" w:color="000000"/>
            </w:tcBorders>
            <w:shd w:val="clear" w:color="auto" w:fill="FCE4D6"/>
          </w:tcPr>
          <w:p w14:paraId="63FAEA51"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r>
      <w:tr w:rsidR="00DC69E1" w:rsidRPr="00E266CD" w14:paraId="17BF81CE" w14:textId="77777777" w:rsidTr="00697028">
        <w:trPr>
          <w:trHeight w:val="619"/>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7F541029"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3.2.1</w:t>
            </w:r>
          </w:p>
        </w:tc>
        <w:tc>
          <w:tcPr>
            <w:tcW w:w="4109" w:type="dxa"/>
            <w:tcBorders>
              <w:top w:val="single" w:sz="4" w:space="0" w:color="000000"/>
              <w:left w:val="nil"/>
              <w:bottom w:val="single" w:sz="4" w:space="0" w:color="000000"/>
              <w:right w:val="nil"/>
            </w:tcBorders>
            <w:shd w:val="clear" w:color="auto" w:fill="DDEBF7"/>
          </w:tcPr>
          <w:p w14:paraId="56FD0355" w14:textId="5044995C"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3.2.1 Angazhimi </w:t>
            </w:r>
            <w:r w:rsidR="00176F32">
              <w:rPr>
                <w:rFonts w:ascii="Garamond" w:eastAsia="Times New Roman" w:hAnsi="Garamond"/>
                <w:color w:val="000000"/>
                <w:sz w:val="10"/>
                <w:szCs w:val="10"/>
              </w:rPr>
              <w:t xml:space="preserve">i </w:t>
            </w:r>
            <w:r w:rsidRPr="00E266CD">
              <w:rPr>
                <w:rFonts w:ascii="Garamond" w:eastAsia="Times New Roman" w:hAnsi="Garamond"/>
                <w:color w:val="000000"/>
                <w:sz w:val="10"/>
                <w:szCs w:val="10"/>
              </w:rPr>
              <w:t>vazhdueshëm për mirinformimin e nxënësve të klasave të 9</w:t>
            </w:r>
            <w:r w:rsidR="00176F32">
              <w:rPr>
                <w:rFonts w:ascii="Garamond" w:eastAsia="Times New Roman" w:hAnsi="Garamond"/>
                <w:color w:val="000000"/>
                <w:sz w:val="10"/>
                <w:szCs w:val="10"/>
              </w:rPr>
              <w:t>-ta</w:t>
            </w:r>
            <w:r w:rsidRPr="00E266CD">
              <w:rPr>
                <w:rFonts w:ascii="Garamond" w:eastAsia="Times New Roman" w:hAnsi="Garamond"/>
                <w:color w:val="000000"/>
                <w:sz w:val="10"/>
                <w:szCs w:val="10"/>
              </w:rPr>
              <w:t xml:space="preserve"> dhe nxënësit/nxënëset e gjimnazeve për mundësitë që vijnë nga përfshirja në kërkim dhe inovacion</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4375B94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1650E99A"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AKKSHI, MFE, NJQV, DPPI, ASCAP</w:t>
            </w:r>
          </w:p>
        </w:tc>
        <w:tc>
          <w:tcPr>
            <w:tcW w:w="593" w:type="dxa"/>
            <w:tcBorders>
              <w:top w:val="nil"/>
              <w:left w:val="nil"/>
              <w:bottom w:val="single" w:sz="4" w:space="0" w:color="000000"/>
              <w:right w:val="nil"/>
            </w:tcBorders>
            <w:shd w:val="clear" w:color="auto" w:fill="FFFFFF"/>
          </w:tcPr>
          <w:p w14:paraId="391E7D81"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61C19F6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5C0DB8B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6,948,808</w:t>
            </w:r>
          </w:p>
        </w:tc>
        <w:tc>
          <w:tcPr>
            <w:tcW w:w="936" w:type="dxa"/>
            <w:tcBorders>
              <w:top w:val="nil"/>
              <w:left w:val="nil"/>
              <w:bottom w:val="single" w:sz="4" w:space="0" w:color="000000"/>
              <w:right w:val="single" w:sz="4" w:space="0" w:color="000000"/>
            </w:tcBorders>
            <w:shd w:val="clear" w:color="auto" w:fill="auto"/>
            <w:vAlign w:val="center"/>
          </w:tcPr>
          <w:p w14:paraId="157527F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4A8A170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6,948,808</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2EA13BA9"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4,675,214</w:t>
            </w:r>
          </w:p>
        </w:tc>
        <w:tc>
          <w:tcPr>
            <w:tcW w:w="817" w:type="dxa"/>
            <w:tcBorders>
              <w:top w:val="nil"/>
              <w:left w:val="single" w:sz="4" w:space="0" w:color="000000"/>
              <w:bottom w:val="single" w:sz="4" w:space="0" w:color="000000"/>
              <w:right w:val="single" w:sz="4" w:space="0" w:color="000000"/>
            </w:tcBorders>
            <w:vAlign w:val="center"/>
          </w:tcPr>
          <w:p w14:paraId="7A7A820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48DA68B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nil"/>
              <w:left w:val="nil"/>
              <w:bottom w:val="single" w:sz="4" w:space="0" w:color="000000"/>
              <w:right w:val="single" w:sz="8" w:space="0" w:color="000000"/>
            </w:tcBorders>
            <w:shd w:val="clear" w:color="auto" w:fill="auto"/>
            <w:vAlign w:val="center"/>
          </w:tcPr>
          <w:p w14:paraId="7DF0BE3F"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-2,273,594</w:t>
            </w:r>
          </w:p>
        </w:tc>
      </w:tr>
      <w:tr w:rsidR="00DC69E1" w:rsidRPr="00E266CD" w14:paraId="3CF331A0" w14:textId="77777777" w:rsidTr="00697028">
        <w:trPr>
          <w:trHeight w:val="540"/>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28E38CA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3.2.2</w:t>
            </w:r>
          </w:p>
        </w:tc>
        <w:tc>
          <w:tcPr>
            <w:tcW w:w="4109" w:type="dxa"/>
            <w:tcBorders>
              <w:top w:val="nil"/>
              <w:left w:val="nil"/>
              <w:bottom w:val="single" w:sz="4" w:space="0" w:color="000000"/>
              <w:right w:val="nil"/>
            </w:tcBorders>
            <w:shd w:val="clear" w:color="auto" w:fill="DDEBF7"/>
          </w:tcPr>
          <w:p w14:paraId="3C98EF0A" w14:textId="3D665355"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3.2.2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Promovimi dhe përfshirja e orëve/kurseve/aktiviteteve jashtëkurrikulare për inovacionin në sistemin parauniversitar</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521727D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ASCAP</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5D5FB7A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nil"/>
              <w:left w:val="nil"/>
              <w:bottom w:val="single" w:sz="4" w:space="0" w:color="000000"/>
              <w:right w:val="nil"/>
            </w:tcBorders>
            <w:shd w:val="clear" w:color="auto" w:fill="FFFFFF"/>
          </w:tcPr>
          <w:p w14:paraId="3C1527A8"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129F3565"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00D0239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16,389,061</w:t>
            </w:r>
          </w:p>
        </w:tc>
        <w:tc>
          <w:tcPr>
            <w:tcW w:w="936" w:type="dxa"/>
            <w:tcBorders>
              <w:top w:val="nil"/>
              <w:left w:val="nil"/>
              <w:bottom w:val="single" w:sz="4" w:space="0" w:color="000000"/>
              <w:right w:val="single" w:sz="4" w:space="0" w:color="000000"/>
            </w:tcBorders>
            <w:shd w:val="clear" w:color="auto" w:fill="auto"/>
            <w:vAlign w:val="center"/>
          </w:tcPr>
          <w:p w14:paraId="4BF2C8D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3C0F267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16,389,061</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2C44549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2,059,060</w:t>
            </w:r>
          </w:p>
        </w:tc>
        <w:tc>
          <w:tcPr>
            <w:tcW w:w="817" w:type="dxa"/>
            <w:tcBorders>
              <w:top w:val="nil"/>
              <w:left w:val="single" w:sz="4" w:space="0" w:color="000000"/>
              <w:bottom w:val="single" w:sz="4" w:space="0" w:color="000000"/>
              <w:right w:val="single" w:sz="4" w:space="0" w:color="000000"/>
            </w:tcBorders>
            <w:vAlign w:val="center"/>
          </w:tcPr>
          <w:p w14:paraId="546CF94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73A3A78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685FC41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-14,330,001</w:t>
            </w:r>
          </w:p>
        </w:tc>
      </w:tr>
      <w:tr w:rsidR="00DC69E1" w:rsidRPr="00E266CD" w14:paraId="09152FAC" w14:textId="77777777" w:rsidTr="00697028">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58C39D9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63819B38" w14:textId="3508563D"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176F32">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3.2</w:t>
            </w:r>
          </w:p>
        </w:tc>
        <w:tc>
          <w:tcPr>
            <w:tcW w:w="1267" w:type="dxa"/>
            <w:gridSpan w:val="2"/>
            <w:tcBorders>
              <w:top w:val="nil"/>
              <w:left w:val="nil"/>
              <w:bottom w:val="nil"/>
              <w:right w:val="single" w:sz="4" w:space="0" w:color="000000"/>
            </w:tcBorders>
            <w:shd w:val="clear" w:color="auto" w:fill="D9D9D9"/>
            <w:vAlign w:val="center"/>
          </w:tcPr>
          <w:p w14:paraId="7E2CACB9"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1544" w:type="dxa"/>
            <w:gridSpan w:val="2"/>
            <w:tcBorders>
              <w:top w:val="nil"/>
              <w:left w:val="nil"/>
              <w:bottom w:val="nil"/>
              <w:right w:val="single" w:sz="4" w:space="0" w:color="000000"/>
            </w:tcBorders>
            <w:shd w:val="clear" w:color="auto" w:fill="D9D9D9"/>
            <w:vAlign w:val="center"/>
          </w:tcPr>
          <w:p w14:paraId="12EB3F4E" w14:textId="77777777" w:rsidR="00DC69E1" w:rsidRPr="00E266CD" w:rsidRDefault="00DC69E1" w:rsidP="00DC69E1">
            <w:pPr>
              <w:spacing w:after="0" w:line="240" w:lineRule="auto"/>
              <w:jc w:val="center"/>
              <w:rPr>
                <w:rFonts w:ascii="Garamond" w:eastAsia="Times New Roman" w:hAnsi="Garamond"/>
                <w:b/>
                <w:color w:val="000000"/>
                <w:sz w:val="10"/>
                <w:szCs w:val="10"/>
              </w:rPr>
            </w:pPr>
          </w:p>
        </w:tc>
        <w:tc>
          <w:tcPr>
            <w:tcW w:w="593" w:type="dxa"/>
            <w:tcBorders>
              <w:top w:val="nil"/>
              <w:left w:val="nil"/>
              <w:bottom w:val="nil"/>
              <w:right w:val="single" w:sz="4" w:space="0" w:color="000000"/>
            </w:tcBorders>
            <w:shd w:val="clear" w:color="auto" w:fill="D9D9D9"/>
            <w:vAlign w:val="center"/>
          </w:tcPr>
          <w:p w14:paraId="65E83DD1"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19987AC2"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09AA134F"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23,337,869</w:t>
            </w:r>
          </w:p>
        </w:tc>
        <w:tc>
          <w:tcPr>
            <w:tcW w:w="936" w:type="dxa"/>
            <w:tcBorders>
              <w:top w:val="nil"/>
              <w:left w:val="nil"/>
              <w:bottom w:val="nil"/>
              <w:right w:val="single" w:sz="4" w:space="0" w:color="000000"/>
            </w:tcBorders>
            <w:shd w:val="clear" w:color="auto" w:fill="D9D9D9"/>
            <w:vAlign w:val="center"/>
          </w:tcPr>
          <w:p w14:paraId="5CB38554"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1082" w:type="dxa"/>
            <w:tcBorders>
              <w:top w:val="nil"/>
              <w:left w:val="nil"/>
              <w:bottom w:val="nil"/>
              <w:right w:val="single" w:sz="4" w:space="0" w:color="000000"/>
            </w:tcBorders>
            <w:shd w:val="clear" w:color="auto" w:fill="D9D9D9"/>
            <w:vAlign w:val="center"/>
          </w:tcPr>
          <w:p w14:paraId="6E0EDA3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23,337,869</w:t>
            </w:r>
          </w:p>
        </w:tc>
        <w:tc>
          <w:tcPr>
            <w:tcW w:w="876" w:type="dxa"/>
            <w:tcBorders>
              <w:top w:val="nil"/>
              <w:left w:val="nil"/>
              <w:bottom w:val="nil"/>
              <w:right w:val="single" w:sz="4" w:space="0" w:color="000000"/>
            </w:tcBorders>
            <w:shd w:val="clear" w:color="auto" w:fill="D9D9D9"/>
            <w:vAlign w:val="center"/>
          </w:tcPr>
          <w:p w14:paraId="4AD6E6CB"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6,734,274</w:t>
            </w:r>
          </w:p>
        </w:tc>
        <w:tc>
          <w:tcPr>
            <w:tcW w:w="817" w:type="dxa"/>
            <w:tcBorders>
              <w:top w:val="nil"/>
              <w:left w:val="nil"/>
              <w:bottom w:val="nil"/>
              <w:right w:val="nil"/>
            </w:tcBorders>
            <w:shd w:val="clear" w:color="auto" w:fill="D9D9D9"/>
            <w:vAlign w:val="center"/>
          </w:tcPr>
          <w:p w14:paraId="3160E02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51" w:type="dxa"/>
            <w:tcBorders>
              <w:top w:val="nil"/>
              <w:left w:val="nil"/>
              <w:bottom w:val="nil"/>
              <w:right w:val="single" w:sz="4" w:space="0" w:color="000000"/>
            </w:tcBorders>
            <w:shd w:val="clear" w:color="auto" w:fill="D9D9D9"/>
            <w:vAlign w:val="center"/>
          </w:tcPr>
          <w:p w14:paraId="6C84DD6F"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nil"/>
              <w:right w:val="single" w:sz="4" w:space="0" w:color="000000"/>
            </w:tcBorders>
            <w:shd w:val="clear" w:color="auto" w:fill="D9D9D9"/>
            <w:vAlign w:val="center"/>
          </w:tcPr>
          <w:p w14:paraId="402FE94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-16,603,595</w:t>
            </w:r>
          </w:p>
        </w:tc>
      </w:tr>
      <w:tr w:rsidR="00DC69E1" w:rsidRPr="00E266CD" w14:paraId="31584BFF" w14:textId="77777777" w:rsidTr="00697028">
        <w:trPr>
          <w:trHeight w:val="420"/>
          <w:jc w:val="center"/>
        </w:trPr>
        <w:tc>
          <w:tcPr>
            <w:tcW w:w="698" w:type="dxa"/>
            <w:tcBorders>
              <w:top w:val="single" w:sz="8" w:space="0" w:color="000000"/>
              <w:left w:val="single" w:sz="8" w:space="0" w:color="000000"/>
              <w:bottom w:val="single" w:sz="4" w:space="0" w:color="000000"/>
              <w:right w:val="single" w:sz="4" w:space="0" w:color="000000"/>
            </w:tcBorders>
            <w:shd w:val="clear" w:color="auto" w:fill="auto"/>
            <w:vAlign w:val="center"/>
          </w:tcPr>
          <w:p w14:paraId="0CD29C06"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3.3</w:t>
            </w:r>
          </w:p>
        </w:tc>
        <w:tc>
          <w:tcPr>
            <w:tcW w:w="4109" w:type="dxa"/>
            <w:tcBorders>
              <w:top w:val="single" w:sz="4" w:space="0" w:color="000000"/>
              <w:left w:val="nil"/>
              <w:bottom w:val="single" w:sz="4" w:space="0" w:color="000000"/>
              <w:right w:val="nil"/>
            </w:tcBorders>
            <w:shd w:val="clear" w:color="auto" w:fill="FCE4D6"/>
          </w:tcPr>
          <w:p w14:paraId="06B8510C" w14:textId="28383B29"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 xml:space="preserve">3.3 Objektivi </w:t>
            </w:r>
            <w:r w:rsidR="00176F32">
              <w:rPr>
                <w:rFonts w:ascii="Garamond" w:eastAsia="Times New Roman" w:hAnsi="Garamond"/>
                <w:color w:val="000000"/>
                <w:sz w:val="10"/>
                <w:szCs w:val="10"/>
              </w:rPr>
              <w:t>s</w:t>
            </w:r>
            <w:r w:rsidRPr="00E266CD">
              <w:rPr>
                <w:rFonts w:ascii="Garamond" w:eastAsia="Times New Roman" w:hAnsi="Garamond"/>
                <w:color w:val="000000"/>
                <w:sz w:val="10"/>
                <w:szCs w:val="10"/>
              </w:rPr>
              <w:t>pecifik 3: Zhvillimi i kompetencës digjitale</w:t>
            </w:r>
          </w:p>
        </w:tc>
        <w:tc>
          <w:tcPr>
            <w:tcW w:w="1267" w:type="dxa"/>
            <w:gridSpan w:val="2"/>
            <w:tcBorders>
              <w:top w:val="single" w:sz="4" w:space="0" w:color="000000"/>
              <w:left w:val="single" w:sz="4" w:space="0" w:color="000000"/>
              <w:bottom w:val="single" w:sz="4" w:space="0" w:color="000000"/>
              <w:right w:val="single" w:sz="4" w:space="0" w:color="000000"/>
            </w:tcBorders>
            <w:shd w:val="clear" w:color="auto" w:fill="FCE4D6"/>
            <w:vAlign w:val="center"/>
          </w:tcPr>
          <w:p w14:paraId="6809FC0B"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AKSHI, ASCAP</w:t>
            </w:r>
          </w:p>
        </w:tc>
        <w:tc>
          <w:tcPr>
            <w:tcW w:w="1544" w:type="dxa"/>
            <w:gridSpan w:val="2"/>
            <w:tcBorders>
              <w:top w:val="single" w:sz="4" w:space="0" w:color="000000"/>
              <w:left w:val="nil"/>
              <w:bottom w:val="single" w:sz="4" w:space="0" w:color="000000"/>
              <w:right w:val="single" w:sz="4" w:space="0" w:color="000000"/>
            </w:tcBorders>
            <w:shd w:val="clear" w:color="auto" w:fill="FCE4D6"/>
            <w:vAlign w:val="center"/>
          </w:tcPr>
          <w:p w14:paraId="62172529"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ASCAP</w:t>
            </w:r>
          </w:p>
        </w:tc>
        <w:tc>
          <w:tcPr>
            <w:tcW w:w="593" w:type="dxa"/>
            <w:tcBorders>
              <w:top w:val="single" w:sz="4" w:space="0" w:color="000000"/>
              <w:left w:val="nil"/>
              <w:bottom w:val="single" w:sz="4" w:space="0" w:color="000000"/>
              <w:right w:val="single" w:sz="4" w:space="0" w:color="000000"/>
            </w:tcBorders>
            <w:shd w:val="clear" w:color="auto" w:fill="FCE4D6"/>
          </w:tcPr>
          <w:p w14:paraId="2CF976B4"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single" w:sz="4" w:space="0" w:color="000000"/>
              <w:left w:val="nil"/>
              <w:bottom w:val="single" w:sz="4" w:space="0" w:color="000000"/>
              <w:right w:val="single" w:sz="4" w:space="0" w:color="000000"/>
            </w:tcBorders>
            <w:shd w:val="clear" w:color="auto" w:fill="FCE4D6"/>
          </w:tcPr>
          <w:p w14:paraId="794BA4F0"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single" w:sz="4" w:space="0" w:color="000000"/>
              <w:left w:val="nil"/>
              <w:bottom w:val="single" w:sz="4" w:space="0" w:color="000000"/>
              <w:right w:val="single" w:sz="4" w:space="0" w:color="000000"/>
            </w:tcBorders>
            <w:shd w:val="clear" w:color="auto" w:fill="FCE4D6"/>
          </w:tcPr>
          <w:p w14:paraId="66038B50"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936" w:type="dxa"/>
            <w:tcBorders>
              <w:top w:val="single" w:sz="4" w:space="0" w:color="000000"/>
              <w:left w:val="nil"/>
              <w:bottom w:val="single" w:sz="4" w:space="0" w:color="000000"/>
              <w:right w:val="single" w:sz="4" w:space="0" w:color="000000"/>
            </w:tcBorders>
            <w:shd w:val="clear" w:color="auto" w:fill="FCE4D6"/>
          </w:tcPr>
          <w:p w14:paraId="31046D48"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1082" w:type="dxa"/>
            <w:tcBorders>
              <w:top w:val="single" w:sz="4" w:space="0" w:color="000000"/>
              <w:left w:val="nil"/>
              <w:bottom w:val="single" w:sz="4" w:space="0" w:color="000000"/>
              <w:right w:val="single" w:sz="4" w:space="0" w:color="000000"/>
            </w:tcBorders>
            <w:shd w:val="clear" w:color="auto" w:fill="FCE4D6"/>
          </w:tcPr>
          <w:p w14:paraId="11E1283E"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76" w:type="dxa"/>
            <w:tcBorders>
              <w:top w:val="single" w:sz="4" w:space="0" w:color="000000"/>
              <w:left w:val="nil"/>
              <w:bottom w:val="single" w:sz="4" w:space="0" w:color="000000"/>
              <w:right w:val="single" w:sz="4" w:space="0" w:color="000000"/>
            </w:tcBorders>
            <w:shd w:val="clear" w:color="auto" w:fill="FCE4D6"/>
          </w:tcPr>
          <w:p w14:paraId="05D19823"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17" w:type="dxa"/>
            <w:tcBorders>
              <w:top w:val="single" w:sz="4" w:space="0" w:color="000000"/>
              <w:left w:val="nil"/>
              <w:bottom w:val="single" w:sz="4" w:space="0" w:color="000000"/>
              <w:right w:val="nil"/>
            </w:tcBorders>
            <w:shd w:val="clear" w:color="auto" w:fill="FCE4D6"/>
          </w:tcPr>
          <w:p w14:paraId="54C62060"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51" w:type="dxa"/>
            <w:tcBorders>
              <w:top w:val="single" w:sz="4" w:space="0" w:color="000000"/>
              <w:left w:val="nil"/>
              <w:bottom w:val="single" w:sz="4" w:space="0" w:color="000000"/>
              <w:right w:val="single" w:sz="4" w:space="0" w:color="000000"/>
            </w:tcBorders>
            <w:shd w:val="clear" w:color="auto" w:fill="FCE4D6"/>
          </w:tcPr>
          <w:p w14:paraId="4FD4DC6A"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c>
          <w:tcPr>
            <w:tcW w:w="889" w:type="dxa"/>
            <w:tcBorders>
              <w:top w:val="single" w:sz="4" w:space="0" w:color="000000"/>
              <w:left w:val="nil"/>
              <w:bottom w:val="single" w:sz="4" w:space="0" w:color="000000"/>
              <w:right w:val="single" w:sz="4" w:space="0" w:color="000000"/>
            </w:tcBorders>
            <w:shd w:val="clear" w:color="auto" w:fill="FCE4D6"/>
          </w:tcPr>
          <w:p w14:paraId="3418AAAC" w14:textId="77777777" w:rsidR="00DC69E1" w:rsidRPr="00E266CD" w:rsidRDefault="00DC69E1" w:rsidP="00DC69E1">
            <w:pPr>
              <w:spacing w:after="0" w:line="240" w:lineRule="auto"/>
              <w:rPr>
                <w:rFonts w:ascii="Garamond" w:hAnsi="Garamond"/>
                <w:color w:val="000000"/>
                <w:sz w:val="10"/>
                <w:szCs w:val="10"/>
              </w:rPr>
            </w:pPr>
            <w:r w:rsidRPr="00E266CD">
              <w:rPr>
                <w:rFonts w:ascii="Garamond" w:hAnsi="Garamond"/>
                <w:color w:val="000000"/>
                <w:sz w:val="10"/>
                <w:szCs w:val="10"/>
              </w:rPr>
              <w:t> </w:t>
            </w:r>
          </w:p>
        </w:tc>
      </w:tr>
      <w:tr w:rsidR="00DC69E1" w:rsidRPr="00E266CD" w14:paraId="0C71F2C2" w14:textId="77777777" w:rsidTr="00697028">
        <w:trPr>
          <w:trHeight w:val="317"/>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2368425E"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3.3.1</w:t>
            </w:r>
          </w:p>
        </w:tc>
        <w:tc>
          <w:tcPr>
            <w:tcW w:w="4109" w:type="dxa"/>
            <w:tcBorders>
              <w:top w:val="single" w:sz="4" w:space="0" w:color="000000"/>
              <w:left w:val="nil"/>
              <w:bottom w:val="single" w:sz="4" w:space="0" w:color="000000"/>
              <w:right w:val="nil"/>
            </w:tcBorders>
            <w:shd w:val="clear" w:color="auto" w:fill="DDEBF7"/>
          </w:tcPr>
          <w:p w14:paraId="71C6C39F" w14:textId="127FD61B"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3.3.1</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Përmirësimi i kurrikulës, futja e TIK-ut në klasën e parë</w:t>
            </w:r>
          </w:p>
        </w:tc>
        <w:tc>
          <w:tcPr>
            <w:tcW w:w="126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714BA2CB"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ASCAP</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7DB145A5"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nil"/>
              <w:left w:val="nil"/>
              <w:bottom w:val="single" w:sz="4" w:space="0" w:color="000000"/>
              <w:right w:val="nil"/>
            </w:tcBorders>
            <w:shd w:val="clear" w:color="auto" w:fill="FFFFFF"/>
          </w:tcPr>
          <w:p w14:paraId="14C9CD8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1CDF180D"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35AA7A4C"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68,090,389</w:t>
            </w:r>
          </w:p>
        </w:tc>
        <w:tc>
          <w:tcPr>
            <w:tcW w:w="936" w:type="dxa"/>
            <w:tcBorders>
              <w:top w:val="nil"/>
              <w:left w:val="nil"/>
              <w:bottom w:val="single" w:sz="4" w:space="0" w:color="000000"/>
              <w:right w:val="single" w:sz="4" w:space="0" w:color="000000"/>
            </w:tcBorders>
            <w:shd w:val="clear" w:color="auto" w:fill="auto"/>
            <w:vAlign w:val="center"/>
          </w:tcPr>
          <w:p w14:paraId="68228BB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105646EB"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68,090,389</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58EB66A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64,590,388</w:t>
            </w:r>
          </w:p>
        </w:tc>
        <w:tc>
          <w:tcPr>
            <w:tcW w:w="817" w:type="dxa"/>
            <w:tcBorders>
              <w:top w:val="nil"/>
              <w:left w:val="single" w:sz="4" w:space="0" w:color="000000"/>
              <w:bottom w:val="single" w:sz="4" w:space="0" w:color="000000"/>
              <w:right w:val="single" w:sz="4" w:space="0" w:color="000000"/>
            </w:tcBorders>
            <w:vAlign w:val="center"/>
          </w:tcPr>
          <w:p w14:paraId="59CD36B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30B8A02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35E42526"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-3,500,001</w:t>
            </w:r>
          </w:p>
        </w:tc>
      </w:tr>
      <w:tr w:rsidR="00DC69E1" w:rsidRPr="00E266CD" w14:paraId="221CFF67" w14:textId="77777777" w:rsidTr="00697028">
        <w:trPr>
          <w:trHeight w:val="264"/>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0A7AA8B0"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3.3.2</w:t>
            </w:r>
          </w:p>
        </w:tc>
        <w:tc>
          <w:tcPr>
            <w:tcW w:w="4109" w:type="dxa"/>
            <w:tcBorders>
              <w:top w:val="nil"/>
              <w:left w:val="nil"/>
              <w:bottom w:val="single" w:sz="4" w:space="0" w:color="000000"/>
              <w:right w:val="nil"/>
            </w:tcBorders>
            <w:shd w:val="clear" w:color="auto" w:fill="DDEBF7"/>
          </w:tcPr>
          <w:p w14:paraId="1EA621DC" w14:textId="4D458C58"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3.3.2</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Zhvillimi i kompetencave digjitale të mësuesve përmes trajnimeve</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666DB80E"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ASCAP</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1A3AE7B3"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w:t>
            </w:r>
          </w:p>
        </w:tc>
        <w:tc>
          <w:tcPr>
            <w:tcW w:w="593" w:type="dxa"/>
            <w:tcBorders>
              <w:top w:val="nil"/>
              <w:left w:val="nil"/>
              <w:bottom w:val="single" w:sz="4" w:space="0" w:color="000000"/>
              <w:right w:val="nil"/>
            </w:tcBorders>
            <w:shd w:val="clear" w:color="auto" w:fill="FFFFFF"/>
          </w:tcPr>
          <w:p w14:paraId="60D7861B"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4740AFF8"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17ABA818"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12,905,804</w:t>
            </w:r>
          </w:p>
        </w:tc>
        <w:tc>
          <w:tcPr>
            <w:tcW w:w="936" w:type="dxa"/>
            <w:tcBorders>
              <w:top w:val="nil"/>
              <w:left w:val="nil"/>
              <w:bottom w:val="single" w:sz="4" w:space="0" w:color="000000"/>
              <w:right w:val="single" w:sz="4" w:space="0" w:color="000000"/>
            </w:tcBorders>
            <w:shd w:val="clear" w:color="auto" w:fill="auto"/>
            <w:vAlign w:val="center"/>
          </w:tcPr>
          <w:p w14:paraId="2F5C62E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1082" w:type="dxa"/>
            <w:tcBorders>
              <w:top w:val="nil"/>
              <w:left w:val="nil"/>
              <w:bottom w:val="single" w:sz="4" w:space="0" w:color="000000"/>
              <w:right w:val="single" w:sz="8" w:space="0" w:color="000000"/>
            </w:tcBorders>
            <w:shd w:val="clear" w:color="auto" w:fill="auto"/>
            <w:vAlign w:val="center"/>
          </w:tcPr>
          <w:p w14:paraId="064A3A7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12,905,804</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68B2A4B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3,345,805</w:t>
            </w:r>
          </w:p>
        </w:tc>
        <w:tc>
          <w:tcPr>
            <w:tcW w:w="817" w:type="dxa"/>
            <w:tcBorders>
              <w:top w:val="nil"/>
              <w:left w:val="single" w:sz="4" w:space="0" w:color="000000"/>
              <w:bottom w:val="single" w:sz="4" w:space="0" w:color="000000"/>
              <w:right w:val="single" w:sz="4" w:space="0" w:color="000000"/>
            </w:tcBorders>
            <w:vAlign w:val="center"/>
          </w:tcPr>
          <w:p w14:paraId="2865585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52FA0DD7"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5DF1D8F4"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-9,559,999</w:t>
            </w:r>
          </w:p>
        </w:tc>
      </w:tr>
      <w:tr w:rsidR="00DC69E1" w:rsidRPr="00E266CD" w14:paraId="2241FB19" w14:textId="77777777" w:rsidTr="00697028">
        <w:trPr>
          <w:trHeight w:val="397"/>
          <w:jc w:val="center"/>
        </w:trPr>
        <w:tc>
          <w:tcPr>
            <w:tcW w:w="698" w:type="dxa"/>
            <w:tcBorders>
              <w:top w:val="nil"/>
              <w:left w:val="single" w:sz="8" w:space="0" w:color="000000"/>
              <w:bottom w:val="single" w:sz="4" w:space="0" w:color="000000"/>
              <w:right w:val="single" w:sz="4" w:space="0" w:color="000000"/>
            </w:tcBorders>
            <w:shd w:val="clear" w:color="auto" w:fill="auto"/>
            <w:vAlign w:val="center"/>
          </w:tcPr>
          <w:p w14:paraId="4D7EE86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3.3.3</w:t>
            </w:r>
          </w:p>
        </w:tc>
        <w:tc>
          <w:tcPr>
            <w:tcW w:w="4109" w:type="dxa"/>
            <w:tcBorders>
              <w:top w:val="nil"/>
              <w:left w:val="nil"/>
              <w:bottom w:val="single" w:sz="4" w:space="0" w:color="000000"/>
              <w:right w:val="nil"/>
            </w:tcBorders>
            <w:shd w:val="clear" w:color="auto" w:fill="DDEBF7"/>
          </w:tcPr>
          <w:p w14:paraId="18A7D83F" w14:textId="5C7BF95E" w:rsidR="00DC69E1" w:rsidRPr="00E266CD" w:rsidRDefault="00DC69E1" w:rsidP="00DC69E1">
            <w:pPr>
              <w:spacing w:after="0" w:line="240" w:lineRule="auto"/>
              <w:rPr>
                <w:rFonts w:ascii="Garamond" w:eastAsia="Times New Roman" w:hAnsi="Garamond"/>
                <w:color w:val="000000"/>
                <w:sz w:val="10"/>
                <w:szCs w:val="10"/>
              </w:rPr>
            </w:pPr>
            <w:r w:rsidRPr="00E266CD">
              <w:rPr>
                <w:rFonts w:ascii="Garamond" w:eastAsia="Times New Roman" w:hAnsi="Garamond"/>
                <w:color w:val="000000"/>
                <w:sz w:val="10"/>
                <w:szCs w:val="10"/>
              </w:rPr>
              <w:t>3.3.3</w:t>
            </w:r>
            <w:r w:rsidR="007715D0" w:rsidRPr="00E266CD">
              <w:rPr>
                <w:rFonts w:ascii="Garamond" w:eastAsia="Times New Roman" w:hAnsi="Garamond"/>
                <w:color w:val="000000"/>
                <w:sz w:val="10"/>
                <w:szCs w:val="10"/>
              </w:rPr>
              <w:t xml:space="preserve"> </w:t>
            </w:r>
            <w:r w:rsidRPr="00E266CD">
              <w:rPr>
                <w:rFonts w:ascii="Garamond" w:eastAsia="Times New Roman" w:hAnsi="Garamond"/>
                <w:color w:val="000000"/>
                <w:sz w:val="10"/>
                <w:szCs w:val="10"/>
              </w:rPr>
              <w:t xml:space="preserve">Përmirësimi i infrastrukturës, </w:t>
            </w:r>
            <w:r w:rsidR="00176F32">
              <w:rPr>
                <w:rFonts w:ascii="Garamond" w:eastAsia="Times New Roman" w:hAnsi="Garamond"/>
                <w:i/>
                <w:color w:val="000000"/>
                <w:sz w:val="10"/>
                <w:szCs w:val="10"/>
              </w:rPr>
              <w:t>s</w:t>
            </w:r>
            <w:r w:rsidRPr="00E266CD">
              <w:rPr>
                <w:rFonts w:ascii="Garamond" w:eastAsia="Times New Roman" w:hAnsi="Garamond"/>
                <w:i/>
                <w:color w:val="000000"/>
                <w:sz w:val="10"/>
                <w:szCs w:val="10"/>
              </w:rPr>
              <w:t>mart lab</w:t>
            </w:r>
            <w:r w:rsidRPr="00E266CD">
              <w:rPr>
                <w:rFonts w:ascii="Garamond" w:eastAsia="Times New Roman" w:hAnsi="Garamond"/>
                <w:color w:val="000000"/>
                <w:sz w:val="10"/>
                <w:szCs w:val="10"/>
              </w:rPr>
              <w:t>-eve dhe pajisjeve të tjera të nevojshme</w:t>
            </w:r>
          </w:p>
        </w:tc>
        <w:tc>
          <w:tcPr>
            <w:tcW w:w="1267" w:type="dxa"/>
            <w:gridSpan w:val="2"/>
            <w:tcBorders>
              <w:top w:val="nil"/>
              <w:left w:val="single" w:sz="8" w:space="0" w:color="000000"/>
              <w:bottom w:val="single" w:sz="8" w:space="0" w:color="000000"/>
              <w:right w:val="single" w:sz="8" w:space="0" w:color="000000"/>
            </w:tcBorders>
            <w:shd w:val="clear" w:color="auto" w:fill="auto"/>
            <w:vAlign w:val="center"/>
          </w:tcPr>
          <w:p w14:paraId="7A1FAE44"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MAS, AKSHI</w:t>
            </w:r>
          </w:p>
        </w:tc>
        <w:tc>
          <w:tcPr>
            <w:tcW w:w="1544" w:type="dxa"/>
            <w:gridSpan w:val="2"/>
            <w:tcBorders>
              <w:top w:val="nil"/>
              <w:left w:val="single" w:sz="4" w:space="0" w:color="000000"/>
              <w:bottom w:val="single" w:sz="4" w:space="0" w:color="000000"/>
              <w:right w:val="single" w:sz="4" w:space="0" w:color="000000"/>
            </w:tcBorders>
            <w:shd w:val="clear" w:color="auto" w:fill="auto"/>
            <w:vAlign w:val="center"/>
          </w:tcPr>
          <w:p w14:paraId="2C6D6E8D"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ASCAP</w:t>
            </w:r>
          </w:p>
        </w:tc>
        <w:tc>
          <w:tcPr>
            <w:tcW w:w="593" w:type="dxa"/>
            <w:tcBorders>
              <w:top w:val="nil"/>
              <w:left w:val="nil"/>
              <w:bottom w:val="single" w:sz="4" w:space="0" w:color="000000"/>
              <w:right w:val="nil"/>
            </w:tcBorders>
            <w:shd w:val="clear" w:color="auto" w:fill="FFFFFF"/>
          </w:tcPr>
          <w:p w14:paraId="7D36D6D5"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2023</w:t>
            </w:r>
          </w:p>
        </w:tc>
        <w:tc>
          <w:tcPr>
            <w:tcW w:w="872" w:type="dxa"/>
            <w:tcBorders>
              <w:top w:val="nil"/>
              <w:left w:val="single" w:sz="4" w:space="0" w:color="000000"/>
              <w:bottom w:val="single" w:sz="4" w:space="0" w:color="000000"/>
              <w:right w:val="nil"/>
            </w:tcBorders>
            <w:shd w:val="clear" w:color="auto" w:fill="FFFFFF"/>
          </w:tcPr>
          <w:p w14:paraId="3BDCB1C0" w14:textId="77777777" w:rsidR="00DC69E1" w:rsidRPr="00E266CD" w:rsidRDefault="00DC69E1" w:rsidP="00DC69E1">
            <w:pPr>
              <w:spacing w:after="0" w:line="240" w:lineRule="auto"/>
              <w:jc w:val="right"/>
              <w:rPr>
                <w:rFonts w:ascii="Garamond" w:eastAsia="Times New Roman" w:hAnsi="Garamond"/>
                <w:color w:val="000000"/>
                <w:sz w:val="10"/>
                <w:szCs w:val="10"/>
              </w:rPr>
            </w:pPr>
            <w:r w:rsidRPr="00E266CD">
              <w:rPr>
                <w:rFonts w:ascii="Garamond" w:eastAsia="Times New Roman" w:hAnsi="Garamond"/>
                <w:color w:val="000000"/>
                <w:sz w:val="10"/>
                <w:szCs w:val="10"/>
              </w:rPr>
              <w:t>2030</w:t>
            </w:r>
          </w:p>
        </w:tc>
        <w:tc>
          <w:tcPr>
            <w:tcW w:w="1196" w:type="dxa"/>
            <w:tcBorders>
              <w:top w:val="nil"/>
              <w:left w:val="single" w:sz="8" w:space="0" w:color="000000"/>
              <w:bottom w:val="single" w:sz="4" w:space="0" w:color="000000"/>
              <w:right w:val="single" w:sz="4" w:space="0" w:color="000000"/>
            </w:tcBorders>
            <w:shd w:val="clear" w:color="auto" w:fill="auto"/>
            <w:vAlign w:val="center"/>
          </w:tcPr>
          <w:p w14:paraId="1C9BDCB5"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1,359,147</w:t>
            </w:r>
          </w:p>
        </w:tc>
        <w:tc>
          <w:tcPr>
            <w:tcW w:w="936" w:type="dxa"/>
            <w:tcBorders>
              <w:top w:val="nil"/>
              <w:left w:val="nil"/>
              <w:bottom w:val="single" w:sz="4" w:space="0" w:color="000000"/>
              <w:right w:val="single" w:sz="4" w:space="0" w:color="000000"/>
            </w:tcBorders>
            <w:shd w:val="clear" w:color="auto" w:fill="auto"/>
            <w:vAlign w:val="center"/>
          </w:tcPr>
          <w:p w14:paraId="226EC9F2"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757,150,000</w:t>
            </w:r>
          </w:p>
        </w:tc>
        <w:tc>
          <w:tcPr>
            <w:tcW w:w="1082" w:type="dxa"/>
            <w:tcBorders>
              <w:top w:val="nil"/>
              <w:left w:val="nil"/>
              <w:bottom w:val="single" w:sz="4" w:space="0" w:color="000000"/>
              <w:right w:val="single" w:sz="8" w:space="0" w:color="000000"/>
            </w:tcBorders>
            <w:shd w:val="clear" w:color="auto" w:fill="auto"/>
            <w:vAlign w:val="center"/>
          </w:tcPr>
          <w:p w14:paraId="0F46199D"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758,509,147</w:t>
            </w:r>
          </w:p>
        </w:tc>
        <w:tc>
          <w:tcPr>
            <w:tcW w:w="876" w:type="dxa"/>
            <w:tcBorders>
              <w:top w:val="single" w:sz="8" w:space="0" w:color="000000"/>
              <w:left w:val="nil"/>
              <w:bottom w:val="single" w:sz="4" w:space="0" w:color="000000"/>
              <w:right w:val="single" w:sz="4" w:space="0" w:color="000000"/>
            </w:tcBorders>
            <w:shd w:val="clear" w:color="auto" w:fill="auto"/>
            <w:vAlign w:val="center"/>
          </w:tcPr>
          <w:p w14:paraId="0F516791"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545,359,152</w:t>
            </w:r>
          </w:p>
        </w:tc>
        <w:tc>
          <w:tcPr>
            <w:tcW w:w="817" w:type="dxa"/>
            <w:tcBorders>
              <w:top w:val="nil"/>
              <w:left w:val="single" w:sz="4" w:space="0" w:color="000000"/>
              <w:bottom w:val="single" w:sz="4" w:space="0" w:color="000000"/>
              <w:right w:val="single" w:sz="4" w:space="0" w:color="000000"/>
            </w:tcBorders>
            <w:vAlign w:val="center"/>
          </w:tcPr>
          <w:p w14:paraId="40FEDCC0"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213,150,000</w:t>
            </w:r>
          </w:p>
        </w:tc>
        <w:tc>
          <w:tcPr>
            <w:tcW w:w="851" w:type="dxa"/>
            <w:tcBorders>
              <w:top w:val="nil"/>
              <w:left w:val="single" w:sz="4" w:space="0" w:color="000000"/>
              <w:bottom w:val="single" w:sz="4" w:space="0" w:color="000000"/>
              <w:right w:val="single" w:sz="8" w:space="0" w:color="000000"/>
            </w:tcBorders>
            <w:shd w:val="clear" w:color="auto" w:fill="auto"/>
            <w:vAlign w:val="center"/>
          </w:tcPr>
          <w:p w14:paraId="0C6778A3"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0</w:t>
            </w:r>
          </w:p>
        </w:tc>
        <w:tc>
          <w:tcPr>
            <w:tcW w:w="889" w:type="dxa"/>
            <w:tcBorders>
              <w:top w:val="single" w:sz="8" w:space="0" w:color="000000"/>
              <w:left w:val="nil"/>
              <w:bottom w:val="single" w:sz="4" w:space="0" w:color="000000"/>
              <w:right w:val="single" w:sz="8" w:space="0" w:color="000000"/>
            </w:tcBorders>
            <w:shd w:val="clear" w:color="auto" w:fill="auto"/>
            <w:vAlign w:val="center"/>
          </w:tcPr>
          <w:p w14:paraId="788BB23E" w14:textId="77777777" w:rsidR="00DC69E1" w:rsidRPr="00E266CD" w:rsidRDefault="00DC69E1" w:rsidP="00DC69E1">
            <w:pPr>
              <w:spacing w:after="0" w:line="240" w:lineRule="auto"/>
              <w:jc w:val="center"/>
              <w:rPr>
                <w:rFonts w:ascii="Garamond" w:hAnsi="Garamond"/>
                <w:color w:val="000000"/>
                <w:sz w:val="10"/>
                <w:szCs w:val="10"/>
              </w:rPr>
            </w:pPr>
            <w:r w:rsidRPr="00E266CD">
              <w:rPr>
                <w:rFonts w:ascii="Garamond" w:hAnsi="Garamond"/>
                <w:color w:val="000000"/>
                <w:sz w:val="10"/>
                <w:szCs w:val="10"/>
              </w:rPr>
              <w:t>5</w:t>
            </w:r>
          </w:p>
        </w:tc>
      </w:tr>
      <w:tr w:rsidR="00DC69E1" w:rsidRPr="00E266CD" w14:paraId="27E9D73D" w14:textId="77777777" w:rsidTr="00697028">
        <w:trPr>
          <w:trHeight w:val="255"/>
          <w:jc w:val="center"/>
        </w:trPr>
        <w:tc>
          <w:tcPr>
            <w:tcW w:w="698" w:type="dxa"/>
            <w:tcBorders>
              <w:top w:val="nil"/>
              <w:left w:val="single" w:sz="8" w:space="0" w:color="000000"/>
              <w:bottom w:val="nil"/>
              <w:right w:val="single" w:sz="4" w:space="0" w:color="000000"/>
            </w:tcBorders>
            <w:shd w:val="clear" w:color="auto" w:fill="D9D9D9"/>
            <w:vAlign w:val="center"/>
          </w:tcPr>
          <w:p w14:paraId="584AAA40"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nil"/>
              <w:bottom w:val="nil"/>
              <w:right w:val="single" w:sz="4" w:space="0" w:color="000000"/>
            </w:tcBorders>
            <w:shd w:val="clear" w:color="auto" w:fill="D9D9D9"/>
            <w:vAlign w:val="center"/>
          </w:tcPr>
          <w:p w14:paraId="43722D9F" w14:textId="4E3DA170"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176F32">
              <w:rPr>
                <w:rFonts w:ascii="Garamond" w:eastAsia="Times New Roman" w:hAnsi="Garamond"/>
                <w:b/>
                <w:color w:val="FF0000"/>
                <w:sz w:val="10"/>
                <w:szCs w:val="10"/>
              </w:rPr>
              <w:t>ja e</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o</w:t>
            </w:r>
            <w:r w:rsidRPr="00E266CD">
              <w:rPr>
                <w:rFonts w:ascii="Garamond" w:eastAsia="Times New Roman" w:hAnsi="Garamond"/>
                <w:b/>
                <w:color w:val="FF0000"/>
                <w:sz w:val="10"/>
                <w:szCs w:val="10"/>
              </w:rPr>
              <w:t>bjektivi</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specifik 3.3</w:t>
            </w:r>
          </w:p>
        </w:tc>
        <w:tc>
          <w:tcPr>
            <w:tcW w:w="1267" w:type="dxa"/>
            <w:gridSpan w:val="2"/>
            <w:tcBorders>
              <w:top w:val="nil"/>
              <w:left w:val="nil"/>
              <w:bottom w:val="nil"/>
              <w:right w:val="single" w:sz="4" w:space="0" w:color="000000"/>
            </w:tcBorders>
            <w:shd w:val="clear" w:color="auto" w:fill="D9D9D9"/>
            <w:vAlign w:val="center"/>
          </w:tcPr>
          <w:p w14:paraId="0E4CF479"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544" w:type="dxa"/>
            <w:gridSpan w:val="2"/>
            <w:tcBorders>
              <w:top w:val="nil"/>
              <w:left w:val="nil"/>
              <w:bottom w:val="nil"/>
              <w:right w:val="single" w:sz="4" w:space="0" w:color="000000"/>
            </w:tcBorders>
            <w:shd w:val="clear" w:color="auto" w:fill="D9D9D9"/>
            <w:vAlign w:val="center"/>
          </w:tcPr>
          <w:p w14:paraId="394B72E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593" w:type="dxa"/>
            <w:tcBorders>
              <w:top w:val="nil"/>
              <w:left w:val="nil"/>
              <w:bottom w:val="nil"/>
              <w:right w:val="single" w:sz="4" w:space="0" w:color="000000"/>
            </w:tcBorders>
            <w:shd w:val="clear" w:color="auto" w:fill="D9D9D9"/>
            <w:vAlign w:val="center"/>
          </w:tcPr>
          <w:p w14:paraId="1E845440"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872" w:type="dxa"/>
            <w:tcBorders>
              <w:top w:val="nil"/>
              <w:left w:val="nil"/>
              <w:bottom w:val="nil"/>
              <w:right w:val="single" w:sz="4" w:space="0" w:color="000000"/>
            </w:tcBorders>
            <w:shd w:val="clear" w:color="auto" w:fill="D9D9D9"/>
            <w:vAlign w:val="center"/>
          </w:tcPr>
          <w:p w14:paraId="55A0DB8A"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96" w:type="dxa"/>
            <w:tcBorders>
              <w:top w:val="nil"/>
              <w:left w:val="nil"/>
              <w:bottom w:val="nil"/>
              <w:right w:val="single" w:sz="4" w:space="0" w:color="000000"/>
            </w:tcBorders>
            <w:shd w:val="clear" w:color="auto" w:fill="D9D9D9"/>
            <w:vAlign w:val="center"/>
          </w:tcPr>
          <w:p w14:paraId="17131121"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82,355,339</w:t>
            </w:r>
          </w:p>
        </w:tc>
        <w:tc>
          <w:tcPr>
            <w:tcW w:w="936" w:type="dxa"/>
            <w:tcBorders>
              <w:top w:val="nil"/>
              <w:left w:val="nil"/>
              <w:bottom w:val="nil"/>
              <w:right w:val="single" w:sz="4" w:space="0" w:color="000000"/>
            </w:tcBorders>
            <w:shd w:val="clear" w:color="auto" w:fill="D9D9D9"/>
            <w:vAlign w:val="center"/>
          </w:tcPr>
          <w:p w14:paraId="5184EA3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757,150,000</w:t>
            </w:r>
          </w:p>
        </w:tc>
        <w:tc>
          <w:tcPr>
            <w:tcW w:w="1082" w:type="dxa"/>
            <w:tcBorders>
              <w:top w:val="nil"/>
              <w:left w:val="nil"/>
              <w:bottom w:val="nil"/>
              <w:right w:val="single" w:sz="4" w:space="0" w:color="000000"/>
            </w:tcBorders>
            <w:shd w:val="clear" w:color="auto" w:fill="D9D9D9"/>
            <w:vAlign w:val="center"/>
          </w:tcPr>
          <w:p w14:paraId="731A27E7"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839,505,339</w:t>
            </w:r>
          </w:p>
        </w:tc>
        <w:tc>
          <w:tcPr>
            <w:tcW w:w="876" w:type="dxa"/>
            <w:tcBorders>
              <w:top w:val="nil"/>
              <w:left w:val="nil"/>
              <w:bottom w:val="single" w:sz="4" w:space="0" w:color="000000"/>
              <w:right w:val="single" w:sz="4" w:space="0" w:color="000000"/>
            </w:tcBorders>
            <w:shd w:val="clear" w:color="auto" w:fill="D9D9D9"/>
            <w:vAlign w:val="center"/>
          </w:tcPr>
          <w:p w14:paraId="4D79C6A6"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613,295,345</w:t>
            </w:r>
          </w:p>
        </w:tc>
        <w:tc>
          <w:tcPr>
            <w:tcW w:w="817" w:type="dxa"/>
            <w:tcBorders>
              <w:top w:val="nil"/>
              <w:left w:val="nil"/>
              <w:bottom w:val="single" w:sz="4" w:space="0" w:color="000000"/>
              <w:right w:val="nil"/>
            </w:tcBorders>
            <w:shd w:val="clear" w:color="auto" w:fill="D9D9D9"/>
            <w:vAlign w:val="center"/>
          </w:tcPr>
          <w:p w14:paraId="53C6A05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213,150,000</w:t>
            </w:r>
          </w:p>
        </w:tc>
        <w:tc>
          <w:tcPr>
            <w:tcW w:w="851" w:type="dxa"/>
            <w:tcBorders>
              <w:top w:val="nil"/>
              <w:left w:val="nil"/>
              <w:bottom w:val="single" w:sz="4" w:space="0" w:color="000000"/>
              <w:right w:val="single" w:sz="4" w:space="0" w:color="000000"/>
            </w:tcBorders>
            <w:shd w:val="clear" w:color="auto" w:fill="D9D9D9"/>
            <w:vAlign w:val="center"/>
          </w:tcPr>
          <w:p w14:paraId="06027291"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nil"/>
              <w:left w:val="nil"/>
              <w:bottom w:val="single" w:sz="4" w:space="0" w:color="000000"/>
              <w:right w:val="single" w:sz="4" w:space="0" w:color="000000"/>
            </w:tcBorders>
            <w:shd w:val="clear" w:color="auto" w:fill="D9D9D9"/>
            <w:vAlign w:val="center"/>
          </w:tcPr>
          <w:p w14:paraId="26F1DE4C"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-13,059,994</w:t>
            </w:r>
          </w:p>
        </w:tc>
      </w:tr>
      <w:tr w:rsidR="00DC69E1" w:rsidRPr="00E266CD" w14:paraId="1C4D88F3" w14:textId="77777777" w:rsidTr="00697028">
        <w:trPr>
          <w:trHeight w:val="279"/>
          <w:jc w:val="center"/>
        </w:trPr>
        <w:tc>
          <w:tcPr>
            <w:tcW w:w="698" w:type="dxa"/>
            <w:tcBorders>
              <w:top w:val="single" w:sz="8" w:space="0" w:color="000000"/>
              <w:left w:val="single" w:sz="8" w:space="0" w:color="000000"/>
              <w:bottom w:val="single" w:sz="8" w:space="0" w:color="000000"/>
              <w:right w:val="single" w:sz="4" w:space="0" w:color="000000"/>
            </w:tcBorders>
            <w:shd w:val="clear" w:color="auto" w:fill="D9D9D9"/>
            <w:vAlign w:val="center"/>
          </w:tcPr>
          <w:p w14:paraId="50F2F987"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single" w:sz="8" w:space="0" w:color="000000"/>
              <w:left w:val="single" w:sz="4" w:space="0" w:color="000000"/>
              <w:bottom w:val="single" w:sz="8" w:space="0" w:color="000000"/>
              <w:right w:val="single" w:sz="4" w:space="0" w:color="000000"/>
            </w:tcBorders>
            <w:shd w:val="clear" w:color="auto" w:fill="D9D9D9"/>
            <w:vAlign w:val="center"/>
          </w:tcPr>
          <w:p w14:paraId="145B9CFE" w14:textId="2FB126C8"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176F32">
              <w:rPr>
                <w:rFonts w:ascii="Garamond" w:eastAsia="Times New Roman" w:hAnsi="Garamond"/>
                <w:b/>
                <w:color w:val="FF0000"/>
                <w:sz w:val="10"/>
                <w:szCs w:val="10"/>
              </w:rPr>
              <w:t>ja</w:t>
            </w:r>
            <w:r w:rsidRPr="00E266CD">
              <w:rPr>
                <w:rFonts w:ascii="Garamond" w:eastAsia="Times New Roman" w:hAnsi="Garamond"/>
                <w:b/>
                <w:color w:val="FF0000"/>
                <w:sz w:val="10"/>
                <w:szCs w:val="10"/>
              </w:rPr>
              <w:t xml:space="preserve"> totale</w:t>
            </w:r>
            <w:r w:rsidR="00176F32">
              <w:rPr>
                <w:rFonts w:ascii="Garamond" w:eastAsia="Times New Roman" w:hAnsi="Garamond"/>
                <w:b/>
                <w:color w:val="FF0000"/>
                <w:sz w:val="10"/>
                <w:szCs w:val="10"/>
              </w:rPr>
              <w:t xml:space="preserve"> e</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q</w:t>
            </w:r>
            <w:r w:rsidRPr="00E266CD">
              <w:rPr>
                <w:rFonts w:ascii="Garamond" w:eastAsia="Times New Roman" w:hAnsi="Garamond"/>
                <w:b/>
                <w:color w:val="FF0000"/>
                <w:sz w:val="10"/>
                <w:szCs w:val="10"/>
              </w:rPr>
              <w:t>ëllimi</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të</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p</w:t>
            </w:r>
            <w:r w:rsidRPr="00E266CD">
              <w:rPr>
                <w:rFonts w:ascii="Garamond" w:eastAsia="Times New Roman" w:hAnsi="Garamond"/>
                <w:b/>
                <w:color w:val="FF0000"/>
                <w:sz w:val="10"/>
                <w:szCs w:val="10"/>
              </w:rPr>
              <w:t>olitikës III (objektiva</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 xml:space="preserve"> </w:t>
            </w:r>
          </w:p>
          <w:p w14:paraId="19A273CC" w14:textId="00B80C01"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specifik</w:t>
            </w:r>
            <w:r w:rsidR="00176F32">
              <w:rPr>
                <w:rFonts w:ascii="Garamond" w:eastAsia="Times New Roman" w:hAnsi="Garamond"/>
                <w:b/>
                <w:color w:val="FF0000"/>
                <w:sz w:val="10"/>
                <w:szCs w:val="10"/>
              </w:rPr>
              <w:t>ë</w:t>
            </w:r>
            <w:r w:rsidRPr="00E266CD">
              <w:rPr>
                <w:rFonts w:ascii="Garamond" w:eastAsia="Times New Roman" w:hAnsi="Garamond"/>
                <w:b/>
                <w:color w:val="FF0000"/>
                <w:sz w:val="10"/>
                <w:szCs w:val="10"/>
              </w:rPr>
              <w:t xml:space="preserve"> 3.1+3.2+3.3)</w:t>
            </w:r>
          </w:p>
        </w:tc>
        <w:tc>
          <w:tcPr>
            <w:tcW w:w="436" w:type="dxa"/>
            <w:tcBorders>
              <w:top w:val="single" w:sz="8" w:space="0" w:color="000000"/>
              <w:left w:val="single" w:sz="4" w:space="0" w:color="000000"/>
              <w:bottom w:val="single" w:sz="8" w:space="0" w:color="000000"/>
              <w:right w:val="nil"/>
            </w:tcBorders>
            <w:shd w:val="clear" w:color="auto" w:fill="D9D9D9"/>
            <w:vAlign w:val="center"/>
          </w:tcPr>
          <w:p w14:paraId="08412371"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837" w:type="dxa"/>
            <w:gridSpan w:val="2"/>
            <w:tcBorders>
              <w:top w:val="single" w:sz="8" w:space="0" w:color="000000"/>
              <w:left w:val="nil"/>
              <w:bottom w:val="single" w:sz="8" w:space="0" w:color="000000"/>
              <w:right w:val="nil"/>
            </w:tcBorders>
            <w:shd w:val="clear" w:color="auto" w:fill="D9D9D9"/>
            <w:vAlign w:val="center"/>
          </w:tcPr>
          <w:p w14:paraId="45F960B8"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1131" w:type="dxa"/>
            <w:gridSpan w:val="2"/>
            <w:tcBorders>
              <w:top w:val="single" w:sz="8" w:space="0" w:color="000000"/>
              <w:left w:val="nil"/>
              <w:bottom w:val="single" w:sz="8" w:space="0" w:color="000000"/>
              <w:right w:val="nil"/>
            </w:tcBorders>
            <w:shd w:val="clear" w:color="auto" w:fill="D9D9D9"/>
            <w:vAlign w:val="center"/>
          </w:tcPr>
          <w:p w14:paraId="0B00554E"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872" w:type="dxa"/>
            <w:tcBorders>
              <w:top w:val="single" w:sz="8" w:space="0" w:color="000000"/>
              <w:left w:val="nil"/>
              <w:bottom w:val="single" w:sz="8" w:space="0" w:color="000000"/>
              <w:right w:val="single" w:sz="4" w:space="0" w:color="000000"/>
            </w:tcBorders>
            <w:shd w:val="clear" w:color="auto" w:fill="D9D9D9"/>
            <w:vAlign w:val="center"/>
          </w:tcPr>
          <w:p w14:paraId="26D53860" w14:textId="77777777" w:rsidR="00DC69E1" w:rsidRPr="00E266CD" w:rsidRDefault="00DC69E1" w:rsidP="00DC69E1">
            <w:pPr>
              <w:spacing w:after="0" w:line="240" w:lineRule="auto"/>
              <w:jc w:val="center"/>
              <w:rPr>
                <w:rFonts w:ascii="Garamond" w:eastAsia="Times New Roman" w:hAnsi="Garamond"/>
                <w:b/>
                <w:color w:val="FF0000"/>
                <w:sz w:val="10"/>
                <w:szCs w:val="10"/>
              </w:rPr>
            </w:pPr>
          </w:p>
        </w:tc>
        <w:tc>
          <w:tcPr>
            <w:tcW w:w="1196" w:type="dxa"/>
            <w:tcBorders>
              <w:top w:val="single" w:sz="8" w:space="0" w:color="000000"/>
              <w:left w:val="single" w:sz="4" w:space="0" w:color="000000"/>
              <w:bottom w:val="single" w:sz="8" w:space="0" w:color="000000"/>
              <w:right w:val="single" w:sz="4" w:space="0" w:color="000000"/>
            </w:tcBorders>
            <w:shd w:val="clear" w:color="auto" w:fill="D9D9D9"/>
            <w:vAlign w:val="center"/>
          </w:tcPr>
          <w:p w14:paraId="5CE086B3" w14:textId="77777777"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136,777,484</w:t>
            </w:r>
          </w:p>
        </w:tc>
        <w:tc>
          <w:tcPr>
            <w:tcW w:w="936" w:type="dxa"/>
            <w:tcBorders>
              <w:top w:val="single" w:sz="8" w:space="0" w:color="000000"/>
              <w:left w:val="single" w:sz="4" w:space="0" w:color="000000"/>
              <w:bottom w:val="single" w:sz="8" w:space="0" w:color="000000"/>
              <w:right w:val="single" w:sz="4" w:space="0" w:color="000000"/>
            </w:tcBorders>
            <w:shd w:val="clear" w:color="auto" w:fill="D9D9D9"/>
            <w:vAlign w:val="center"/>
          </w:tcPr>
          <w:p w14:paraId="2C9C7A56" w14:textId="77777777"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1,120,101,472</w:t>
            </w:r>
          </w:p>
        </w:tc>
        <w:tc>
          <w:tcPr>
            <w:tcW w:w="1082" w:type="dxa"/>
            <w:tcBorders>
              <w:top w:val="single" w:sz="8" w:space="0" w:color="000000"/>
              <w:left w:val="single" w:sz="4" w:space="0" w:color="000000"/>
              <w:bottom w:val="single" w:sz="8" w:space="0" w:color="000000"/>
              <w:right w:val="nil"/>
            </w:tcBorders>
            <w:shd w:val="clear" w:color="auto" w:fill="D9D9D9"/>
            <w:vAlign w:val="center"/>
          </w:tcPr>
          <w:p w14:paraId="0A0E1202" w14:textId="77777777" w:rsidR="00DC69E1" w:rsidRPr="00E266CD" w:rsidRDefault="00DC69E1" w:rsidP="00DC69E1">
            <w:pPr>
              <w:spacing w:after="0" w:line="240" w:lineRule="auto"/>
              <w:jc w:val="center"/>
              <w:rPr>
                <w:rFonts w:ascii="Garamond" w:eastAsia="Times New Roman" w:hAnsi="Garamond"/>
                <w:b/>
                <w:color w:val="FF0000"/>
                <w:sz w:val="10"/>
                <w:szCs w:val="10"/>
              </w:rPr>
            </w:pPr>
            <w:r w:rsidRPr="00E266CD">
              <w:rPr>
                <w:rFonts w:ascii="Garamond" w:eastAsia="Times New Roman" w:hAnsi="Garamond"/>
                <w:b/>
                <w:color w:val="FF0000"/>
                <w:sz w:val="10"/>
                <w:szCs w:val="10"/>
              </w:rPr>
              <w:t>1,256,878,956</w:t>
            </w:r>
          </w:p>
        </w:tc>
        <w:tc>
          <w:tcPr>
            <w:tcW w:w="8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D58541"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887,817,496</w:t>
            </w:r>
          </w:p>
        </w:tc>
        <w:tc>
          <w:tcPr>
            <w:tcW w:w="81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66071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336,101,472</w:t>
            </w:r>
          </w:p>
        </w:tc>
        <w:tc>
          <w:tcPr>
            <w:tcW w:w="85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2B26E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0</w:t>
            </w:r>
          </w:p>
        </w:tc>
        <w:tc>
          <w:tcPr>
            <w:tcW w:w="889" w:type="dxa"/>
            <w:tcBorders>
              <w:top w:val="single" w:sz="4" w:space="0" w:color="000000"/>
              <w:left w:val="single" w:sz="4" w:space="0" w:color="000000"/>
              <w:bottom w:val="nil"/>
              <w:right w:val="single" w:sz="4" w:space="0" w:color="000000"/>
            </w:tcBorders>
            <w:shd w:val="clear" w:color="auto" w:fill="D9D9D9"/>
            <w:vAlign w:val="center"/>
          </w:tcPr>
          <w:p w14:paraId="6580E13B"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-35,159,988</w:t>
            </w:r>
          </w:p>
        </w:tc>
      </w:tr>
      <w:tr w:rsidR="00DC69E1" w:rsidRPr="00E266CD" w14:paraId="0FD54284" w14:textId="77777777" w:rsidTr="00697028">
        <w:trPr>
          <w:trHeight w:val="435"/>
          <w:jc w:val="center"/>
        </w:trPr>
        <w:tc>
          <w:tcPr>
            <w:tcW w:w="698" w:type="dxa"/>
            <w:tcBorders>
              <w:top w:val="nil"/>
              <w:left w:val="single" w:sz="8" w:space="0" w:color="000000"/>
              <w:bottom w:val="single" w:sz="8" w:space="0" w:color="000000"/>
              <w:right w:val="nil"/>
            </w:tcBorders>
            <w:shd w:val="clear" w:color="auto" w:fill="A9D08E"/>
            <w:vAlign w:val="bottom"/>
          </w:tcPr>
          <w:p w14:paraId="658B970F" w14:textId="77777777" w:rsidR="00DC69E1" w:rsidRPr="00E266CD" w:rsidRDefault="00DC69E1" w:rsidP="00DC69E1">
            <w:pPr>
              <w:spacing w:after="0" w:line="240" w:lineRule="auto"/>
              <w:jc w:val="center"/>
              <w:rPr>
                <w:rFonts w:ascii="Garamond" w:eastAsia="Times New Roman" w:hAnsi="Garamond"/>
                <w:b/>
                <w:color w:val="000000"/>
                <w:sz w:val="10"/>
                <w:szCs w:val="10"/>
              </w:rPr>
            </w:pPr>
            <w:r w:rsidRPr="00E266CD">
              <w:rPr>
                <w:rFonts w:ascii="Garamond" w:eastAsia="Times New Roman" w:hAnsi="Garamond"/>
                <w:b/>
                <w:color w:val="000000"/>
                <w:sz w:val="10"/>
                <w:szCs w:val="10"/>
              </w:rPr>
              <w:t> </w:t>
            </w:r>
          </w:p>
        </w:tc>
        <w:tc>
          <w:tcPr>
            <w:tcW w:w="4109" w:type="dxa"/>
            <w:tcBorders>
              <w:top w:val="nil"/>
              <w:left w:val="single" w:sz="4" w:space="0" w:color="000000"/>
              <w:bottom w:val="single" w:sz="8" w:space="0" w:color="000000"/>
              <w:right w:val="single" w:sz="4" w:space="0" w:color="000000"/>
            </w:tcBorders>
            <w:shd w:val="clear" w:color="auto" w:fill="A9D08E"/>
            <w:vAlign w:val="center"/>
          </w:tcPr>
          <w:p w14:paraId="372F10E9" w14:textId="15F8B957" w:rsidR="00DC69E1" w:rsidRPr="00E266CD" w:rsidRDefault="00DC69E1" w:rsidP="00DC69E1">
            <w:pPr>
              <w:spacing w:after="0" w:line="240" w:lineRule="auto"/>
              <w:rPr>
                <w:rFonts w:ascii="Garamond" w:eastAsia="Times New Roman" w:hAnsi="Garamond"/>
                <w:b/>
                <w:color w:val="FF0000"/>
                <w:sz w:val="10"/>
                <w:szCs w:val="10"/>
              </w:rPr>
            </w:pPr>
            <w:r w:rsidRPr="00E266CD">
              <w:rPr>
                <w:rFonts w:ascii="Garamond" w:eastAsia="Times New Roman" w:hAnsi="Garamond"/>
                <w:b/>
                <w:color w:val="FF0000"/>
                <w:sz w:val="10"/>
                <w:szCs w:val="10"/>
              </w:rPr>
              <w:t>Kosto</w:t>
            </w:r>
            <w:r w:rsidR="00176F32">
              <w:rPr>
                <w:rFonts w:ascii="Garamond" w:eastAsia="Times New Roman" w:hAnsi="Garamond"/>
                <w:b/>
                <w:color w:val="FF0000"/>
                <w:sz w:val="10"/>
                <w:szCs w:val="10"/>
              </w:rPr>
              <w:t>ja</w:t>
            </w:r>
            <w:r w:rsidRPr="00E266CD">
              <w:rPr>
                <w:rFonts w:ascii="Garamond" w:eastAsia="Times New Roman" w:hAnsi="Garamond"/>
                <w:b/>
                <w:color w:val="FF0000"/>
                <w:sz w:val="10"/>
                <w:szCs w:val="10"/>
              </w:rPr>
              <w:t xml:space="preserve"> </w:t>
            </w:r>
            <w:r w:rsidR="00176F32">
              <w:rPr>
                <w:rFonts w:ascii="Garamond" w:eastAsia="Times New Roman" w:hAnsi="Garamond"/>
                <w:b/>
                <w:color w:val="FF0000"/>
                <w:sz w:val="10"/>
                <w:szCs w:val="10"/>
              </w:rPr>
              <w:t>t</w:t>
            </w:r>
            <w:r w:rsidRPr="00E266CD">
              <w:rPr>
                <w:rFonts w:ascii="Garamond" w:eastAsia="Times New Roman" w:hAnsi="Garamond"/>
                <w:b/>
                <w:color w:val="FF0000"/>
                <w:sz w:val="10"/>
                <w:szCs w:val="10"/>
              </w:rPr>
              <w:t>otale e Planit të Veprimit = QP I + QP II + QP III</w:t>
            </w:r>
          </w:p>
        </w:tc>
        <w:tc>
          <w:tcPr>
            <w:tcW w:w="1267" w:type="dxa"/>
            <w:gridSpan w:val="2"/>
            <w:tcBorders>
              <w:top w:val="nil"/>
              <w:left w:val="nil"/>
              <w:bottom w:val="single" w:sz="8" w:space="0" w:color="000000"/>
              <w:right w:val="nil"/>
            </w:tcBorders>
            <w:shd w:val="clear" w:color="auto" w:fill="A9D08E"/>
            <w:vAlign w:val="bottom"/>
          </w:tcPr>
          <w:p w14:paraId="23A89B27"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1544" w:type="dxa"/>
            <w:gridSpan w:val="2"/>
            <w:tcBorders>
              <w:top w:val="nil"/>
              <w:left w:val="nil"/>
              <w:bottom w:val="single" w:sz="8" w:space="0" w:color="000000"/>
              <w:right w:val="nil"/>
            </w:tcBorders>
            <w:shd w:val="clear" w:color="auto" w:fill="A9D08E"/>
            <w:vAlign w:val="bottom"/>
          </w:tcPr>
          <w:p w14:paraId="1654FF36"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593" w:type="dxa"/>
            <w:tcBorders>
              <w:top w:val="nil"/>
              <w:left w:val="nil"/>
              <w:bottom w:val="single" w:sz="8" w:space="0" w:color="000000"/>
              <w:right w:val="nil"/>
            </w:tcBorders>
            <w:shd w:val="clear" w:color="auto" w:fill="A9D08E"/>
            <w:vAlign w:val="bottom"/>
          </w:tcPr>
          <w:p w14:paraId="55CF7E80"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872" w:type="dxa"/>
            <w:tcBorders>
              <w:top w:val="nil"/>
              <w:left w:val="nil"/>
              <w:bottom w:val="single" w:sz="8" w:space="0" w:color="000000"/>
              <w:right w:val="single" w:sz="4" w:space="0" w:color="000000"/>
            </w:tcBorders>
            <w:shd w:val="clear" w:color="auto" w:fill="A9D08E"/>
            <w:vAlign w:val="bottom"/>
          </w:tcPr>
          <w:p w14:paraId="1434E412" w14:textId="77777777" w:rsidR="00DC69E1" w:rsidRPr="00E266CD" w:rsidRDefault="00DC69E1" w:rsidP="00DC69E1">
            <w:pPr>
              <w:spacing w:after="0" w:line="240" w:lineRule="auto"/>
              <w:jc w:val="center"/>
              <w:rPr>
                <w:rFonts w:ascii="Garamond" w:eastAsia="Times New Roman" w:hAnsi="Garamond"/>
                <w:color w:val="000000"/>
                <w:sz w:val="10"/>
                <w:szCs w:val="10"/>
              </w:rPr>
            </w:pPr>
            <w:r w:rsidRPr="00E266CD">
              <w:rPr>
                <w:rFonts w:ascii="Garamond" w:eastAsia="Times New Roman" w:hAnsi="Garamond"/>
                <w:color w:val="000000"/>
                <w:sz w:val="10"/>
                <w:szCs w:val="10"/>
              </w:rPr>
              <w:t> </w:t>
            </w:r>
          </w:p>
        </w:tc>
        <w:tc>
          <w:tcPr>
            <w:tcW w:w="1196" w:type="dxa"/>
            <w:tcBorders>
              <w:top w:val="nil"/>
              <w:left w:val="single" w:sz="4" w:space="0" w:color="000000"/>
              <w:bottom w:val="single" w:sz="8" w:space="0" w:color="000000"/>
              <w:right w:val="single" w:sz="4" w:space="0" w:color="000000"/>
            </w:tcBorders>
            <w:shd w:val="clear" w:color="auto" w:fill="A9D08E"/>
          </w:tcPr>
          <w:p w14:paraId="4C1E4BC6" w14:textId="77777777" w:rsidR="00DC69E1" w:rsidRPr="00E266CD" w:rsidRDefault="00DC69E1" w:rsidP="00DC69E1">
            <w:pPr>
              <w:spacing w:after="0" w:line="240" w:lineRule="auto"/>
              <w:rPr>
                <w:rFonts w:ascii="Garamond" w:hAnsi="Garamond"/>
                <w:b/>
                <w:color w:val="FF0000"/>
                <w:sz w:val="10"/>
                <w:szCs w:val="10"/>
              </w:rPr>
            </w:pPr>
            <w:r w:rsidRPr="00E266CD">
              <w:rPr>
                <w:rFonts w:ascii="Garamond" w:hAnsi="Garamond"/>
                <w:b/>
                <w:color w:val="FF0000"/>
                <w:sz w:val="10"/>
                <w:szCs w:val="10"/>
              </w:rPr>
              <w:t>5,358,821,292</w:t>
            </w:r>
          </w:p>
        </w:tc>
        <w:tc>
          <w:tcPr>
            <w:tcW w:w="936" w:type="dxa"/>
            <w:tcBorders>
              <w:top w:val="nil"/>
              <w:left w:val="single" w:sz="4" w:space="0" w:color="000000"/>
              <w:bottom w:val="single" w:sz="8" w:space="0" w:color="000000"/>
              <w:right w:val="single" w:sz="4" w:space="0" w:color="000000"/>
            </w:tcBorders>
            <w:shd w:val="clear" w:color="auto" w:fill="A9D08E"/>
          </w:tcPr>
          <w:p w14:paraId="414DBE7A" w14:textId="77777777" w:rsidR="00DC69E1" w:rsidRPr="00E266CD" w:rsidRDefault="00DC69E1" w:rsidP="00DC69E1">
            <w:pPr>
              <w:spacing w:after="0" w:line="240" w:lineRule="auto"/>
              <w:rPr>
                <w:rFonts w:ascii="Garamond" w:hAnsi="Garamond"/>
                <w:b/>
                <w:color w:val="FF0000"/>
                <w:sz w:val="10"/>
                <w:szCs w:val="10"/>
              </w:rPr>
            </w:pPr>
            <w:r w:rsidRPr="00E266CD">
              <w:rPr>
                <w:rFonts w:ascii="Garamond" w:hAnsi="Garamond"/>
                <w:b/>
                <w:color w:val="FF0000"/>
                <w:sz w:val="10"/>
                <w:szCs w:val="10"/>
              </w:rPr>
              <w:t>24,014,924,798</w:t>
            </w:r>
          </w:p>
        </w:tc>
        <w:tc>
          <w:tcPr>
            <w:tcW w:w="1082" w:type="dxa"/>
            <w:tcBorders>
              <w:top w:val="nil"/>
              <w:left w:val="single" w:sz="4" w:space="0" w:color="000000"/>
              <w:bottom w:val="single" w:sz="8" w:space="0" w:color="000000"/>
              <w:right w:val="single" w:sz="4" w:space="0" w:color="000000"/>
            </w:tcBorders>
            <w:shd w:val="clear" w:color="auto" w:fill="A9D08E"/>
          </w:tcPr>
          <w:p w14:paraId="5E91161A" w14:textId="77777777" w:rsidR="00DC69E1" w:rsidRPr="00E266CD" w:rsidRDefault="00DC69E1" w:rsidP="00DC69E1">
            <w:pPr>
              <w:spacing w:after="0" w:line="240" w:lineRule="auto"/>
              <w:rPr>
                <w:rFonts w:ascii="Garamond" w:hAnsi="Garamond"/>
                <w:b/>
                <w:color w:val="FF0000"/>
                <w:sz w:val="10"/>
                <w:szCs w:val="10"/>
              </w:rPr>
            </w:pPr>
            <w:r w:rsidRPr="00E266CD">
              <w:rPr>
                <w:rFonts w:ascii="Garamond" w:hAnsi="Garamond"/>
                <w:b/>
                <w:color w:val="FF0000"/>
                <w:sz w:val="10"/>
                <w:szCs w:val="10"/>
              </w:rPr>
              <w:t>29,373,746,090</w:t>
            </w:r>
          </w:p>
        </w:tc>
        <w:tc>
          <w:tcPr>
            <w:tcW w:w="876" w:type="dxa"/>
            <w:tcBorders>
              <w:top w:val="single" w:sz="4" w:space="0" w:color="000000"/>
              <w:left w:val="single" w:sz="4" w:space="0" w:color="000000"/>
              <w:bottom w:val="single" w:sz="8" w:space="0" w:color="000000"/>
              <w:right w:val="single" w:sz="4" w:space="0" w:color="000000"/>
            </w:tcBorders>
            <w:shd w:val="clear" w:color="auto" w:fill="A9D08E"/>
            <w:vAlign w:val="center"/>
          </w:tcPr>
          <w:p w14:paraId="7F09BDBB"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11,742,714,906</w:t>
            </w:r>
          </w:p>
        </w:tc>
        <w:tc>
          <w:tcPr>
            <w:tcW w:w="817" w:type="dxa"/>
            <w:tcBorders>
              <w:top w:val="single" w:sz="4" w:space="0" w:color="000000"/>
              <w:left w:val="single" w:sz="4" w:space="0" w:color="000000"/>
              <w:bottom w:val="single" w:sz="8" w:space="0" w:color="000000"/>
              <w:right w:val="single" w:sz="4" w:space="0" w:color="000000"/>
            </w:tcBorders>
            <w:shd w:val="clear" w:color="auto" w:fill="A9D08E"/>
            <w:vAlign w:val="center"/>
          </w:tcPr>
          <w:p w14:paraId="33C0AA6B"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3,233,093,672</w:t>
            </w:r>
          </w:p>
        </w:tc>
        <w:tc>
          <w:tcPr>
            <w:tcW w:w="851" w:type="dxa"/>
            <w:tcBorders>
              <w:top w:val="single" w:sz="4" w:space="0" w:color="000000"/>
              <w:left w:val="single" w:sz="4" w:space="0" w:color="000000"/>
              <w:bottom w:val="single" w:sz="8" w:space="0" w:color="000000"/>
              <w:right w:val="single" w:sz="4" w:space="0" w:color="000000"/>
            </w:tcBorders>
            <w:shd w:val="clear" w:color="auto" w:fill="A9D08E"/>
            <w:vAlign w:val="center"/>
          </w:tcPr>
          <w:p w14:paraId="01568B8A"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5,940,000,000</w:t>
            </w:r>
          </w:p>
        </w:tc>
        <w:tc>
          <w:tcPr>
            <w:tcW w:w="889" w:type="dxa"/>
            <w:tcBorders>
              <w:top w:val="single" w:sz="8" w:space="0" w:color="000000"/>
              <w:left w:val="single" w:sz="4" w:space="0" w:color="000000"/>
              <w:bottom w:val="single" w:sz="8" w:space="0" w:color="000000"/>
              <w:right w:val="single" w:sz="4" w:space="0" w:color="000000"/>
            </w:tcBorders>
            <w:shd w:val="clear" w:color="auto" w:fill="A9D08E"/>
            <w:vAlign w:val="center"/>
          </w:tcPr>
          <w:p w14:paraId="7033D73D" w14:textId="77777777" w:rsidR="00DC69E1" w:rsidRPr="00E266CD" w:rsidRDefault="00DC69E1" w:rsidP="00DC69E1">
            <w:pPr>
              <w:spacing w:after="0" w:line="240" w:lineRule="auto"/>
              <w:jc w:val="center"/>
              <w:rPr>
                <w:rFonts w:ascii="Garamond" w:hAnsi="Garamond"/>
                <w:b/>
                <w:bCs/>
                <w:color w:val="FF0000"/>
                <w:sz w:val="10"/>
                <w:szCs w:val="10"/>
              </w:rPr>
            </w:pPr>
            <w:r w:rsidRPr="00E266CD">
              <w:rPr>
                <w:rFonts w:ascii="Garamond" w:hAnsi="Garamond"/>
                <w:b/>
                <w:bCs/>
                <w:color w:val="FF0000"/>
                <w:sz w:val="10"/>
                <w:szCs w:val="10"/>
              </w:rPr>
              <w:t>-8,457,937,512</w:t>
            </w:r>
          </w:p>
        </w:tc>
      </w:tr>
    </w:tbl>
    <w:p w14:paraId="03656AA5" w14:textId="77777777" w:rsidR="00DC69E1" w:rsidRPr="00E266CD" w:rsidRDefault="00DC69E1" w:rsidP="00DC69E1">
      <w:pPr>
        <w:pStyle w:val="TEKSTIIII"/>
      </w:pPr>
    </w:p>
    <w:p w14:paraId="41A3598D" w14:textId="77777777" w:rsidR="007B4732" w:rsidRPr="00E266CD" w:rsidRDefault="007B4732" w:rsidP="00176F32">
      <w:pPr>
        <w:pStyle w:val="TEKSTIIII"/>
        <w:ind w:firstLine="0"/>
        <w:sectPr w:rsidR="007B4732" w:rsidRPr="00E266CD" w:rsidSect="00C176AB">
          <w:pgSz w:w="16839" w:h="11907" w:orient="landscape" w:code="9"/>
          <w:pgMar w:top="1418" w:right="1418" w:bottom="1418" w:left="1418" w:header="1304" w:footer="1134" w:gutter="0"/>
          <w:pgNumType w:start="0"/>
          <w:cols w:space="720"/>
          <w:titlePg/>
          <w:docGrid w:linePitch="360"/>
        </w:sectPr>
      </w:pPr>
    </w:p>
    <w:p w14:paraId="5517627A" w14:textId="30C71AE0" w:rsidR="00E34C80" w:rsidRPr="00E266CD" w:rsidRDefault="00417E27" w:rsidP="00E34C80">
      <w:pPr>
        <w:pStyle w:val="TEKSTIIII"/>
        <w:jc w:val="center"/>
      </w:pPr>
      <w:bookmarkStart w:id="103" w:name="_Toc135703217"/>
      <w:r w:rsidRPr="00E266CD">
        <w:t>ANEKS 2</w:t>
      </w:r>
    </w:p>
    <w:p w14:paraId="32AF4A5E" w14:textId="45F3A2A8" w:rsidR="00A63DCF" w:rsidRPr="00E266CD" w:rsidRDefault="00417E27" w:rsidP="00E34C80">
      <w:pPr>
        <w:pStyle w:val="TEKSTIIII"/>
        <w:jc w:val="center"/>
      </w:pPr>
      <w:r w:rsidRPr="00E266CD">
        <w:t>TREGUESIT E MONITORIMIT TË DOKUMENTIT TË STRATEGJISË</w:t>
      </w:r>
      <w:bookmarkEnd w:id="103"/>
    </w:p>
    <w:p w14:paraId="09C4D151" w14:textId="77777777" w:rsidR="00A63DCF" w:rsidRPr="00E266CD" w:rsidRDefault="00A63DCF" w:rsidP="00A63DCF">
      <w:pPr>
        <w:pStyle w:val="TEKSTIIII"/>
        <w:rPr>
          <w:rFonts w:ascii="Times New Roman" w:eastAsia="Times New Roman" w:hAnsi="Times New Roman"/>
        </w:rPr>
      </w:pPr>
    </w:p>
    <w:p w14:paraId="5E9EC9BF" w14:textId="68FB481B" w:rsidR="00A63DCF" w:rsidRPr="00E266CD" w:rsidRDefault="00A63DCF" w:rsidP="00A63DCF">
      <w:pPr>
        <w:pStyle w:val="TEKSTIIII"/>
      </w:pPr>
      <w:r w:rsidRPr="00E266CD">
        <w:t>Treguesit e Monitorimit të SKKSHTI</w:t>
      </w:r>
      <w:r w:rsidR="00176F32">
        <w:t>-së</w:t>
      </w:r>
      <w:r w:rsidRPr="00E266CD">
        <w:t xml:space="preserve"> do të bazohen në përdorimin e një numri treguesish kryesorë të performancës</w:t>
      </w:r>
      <w:r w:rsidR="00176F32">
        <w:t>,</w:t>
      </w:r>
      <w:r w:rsidRPr="00E266CD">
        <w:t xml:space="preserve"> në lidhje me qëllimet e politikës dhe objektivat specifikë të planit të veprimit, siç pasqyrohen në këtë të fundit. Progresi i zbatimit të SKKSHTI</w:t>
      </w:r>
      <w:r w:rsidR="00176F32">
        <w:t>-së</w:t>
      </w:r>
      <w:r w:rsidRPr="00E266CD">
        <w:t xml:space="preserve"> do të monitorohet dhe vlerësohet duke matur periodikisht treguesit, të cilët janë vendosur në përputhje me qëllimet dhe objektivat e politikës përkatëse. Më poshtë</w:t>
      </w:r>
      <w:r w:rsidR="00176F32">
        <w:t>,</w:t>
      </w:r>
      <w:r w:rsidRPr="00E266CD">
        <w:t xml:space="preserve"> tabela e </w:t>
      </w:r>
      <w:r w:rsidR="00176F32" w:rsidRPr="00E266CD">
        <w:t xml:space="preserve">treguesve kryesorë të performancës </w:t>
      </w:r>
      <w:r w:rsidRPr="00E266CD">
        <w:t>sipas tre qëllimeve të politikës të SKKSHTI</w:t>
      </w:r>
      <w:r w:rsidR="00176F32">
        <w:t>-së</w:t>
      </w:r>
      <w:r w:rsidRPr="00E266CD">
        <w:t>.</w:t>
      </w:r>
    </w:p>
    <w:p w14:paraId="0CAE7C81" w14:textId="77777777" w:rsidR="00DC69E1" w:rsidRPr="00E266CD" w:rsidRDefault="00DC69E1" w:rsidP="00A63DCF">
      <w:pPr>
        <w:pStyle w:val="TEKSTIIII"/>
      </w:pPr>
    </w:p>
    <w:p w14:paraId="1CEB2BB8" w14:textId="3AB8DE7A" w:rsidR="00681134" w:rsidRPr="00E266CD" w:rsidRDefault="00681134" w:rsidP="00681134">
      <w:pPr>
        <w:keepNext/>
        <w:pBdr>
          <w:top w:val="nil"/>
          <w:left w:val="nil"/>
          <w:bottom w:val="nil"/>
          <w:right w:val="nil"/>
          <w:between w:val="nil"/>
        </w:pBdr>
        <w:rPr>
          <w:rFonts w:ascii="Garamond" w:eastAsia="Times New Roman" w:hAnsi="Garamond"/>
          <w:i/>
          <w:color w:val="000000"/>
          <w:sz w:val="18"/>
          <w:szCs w:val="18"/>
        </w:rPr>
      </w:pPr>
      <w:r w:rsidRPr="00E266CD">
        <w:rPr>
          <w:rFonts w:ascii="Garamond" w:eastAsia="Times New Roman" w:hAnsi="Garamond"/>
          <w:i/>
          <w:color w:val="000000"/>
          <w:sz w:val="18"/>
          <w:szCs w:val="18"/>
        </w:rPr>
        <w:t>Tabela: Treguesit e Monitorimit të</w:t>
      </w:r>
      <w:r w:rsidR="007715D0" w:rsidRPr="00E266CD">
        <w:rPr>
          <w:rFonts w:ascii="Garamond" w:eastAsia="Times New Roman" w:hAnsi="Garamond"/>
          <w:i/>
          <w:color w:val="000000"/>
          <w:sz w:val="18"/>
          <w:szCs w:val="18"/>
        </w:rPr>
        <w:t xml:space="preserve"> </w:t>
      </w:r>
      <w:r w:rsidRPr="00E266CD">
        <w:rPr>
          <w:rFonts w:ascii="Garamond" w:eastAsia="Times New Roman" w:hAnsi="Garamond"/>
          <w:i/>
          <w:color w:val="000000"/>
          <w:sz w:val="18"/>
          <w:szCs w:val="18"/>
        </w:rPr>
        <w:t>SKKSHTI 2023</w:t>
      </w:r>
      <w:r w:rsidR="00BC4813" w:rsidRPr="00E266CD">
        <w:rPr>
          <w:rFonts w:ascii="Garamond" w:eastAsia="Times New Roman" w:hAnsi="Garamond"/>
          <w:sz w:val="24"/>
          <w:szCs w:val="24"/>
        </w:rPr>
        <w:t>–</w:t>
      </w:r>
      <w:r w:rsidRPr="00E266CD">
        <w:rPr>
          <w:rFonts w:ascii="Garamond" w:eastAsia="Times New Roman" w:hAnsi="Garamond"/>
          <w:i/>
          <w:color w:val="000000"/>
          <w:sz w:val="18"/>
          <w:szCs w:val="18"/>
        </w:rPr>
        <w:t>2030</w:t>
      </w:r>
    </w:p>
    <w:tbl>
      <w:tblPr>
        <w:tblStyle w:val="4"/>
        <w:tblW w:w="9810" w:type="dxa"/>
        <w:jc w:val="center"/>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A0" w:firstRow="1" w:lastRow="0" w:firstColumn="1" w:lastColumn="0" w:noHBand="0" w:noVBand="1"/>
      </w:tblPr>
      <w:tblGrid>
        <w:gridCol w:w="1190"/>
        <w:gridCol w:w="2604"/>
        <w:gridCol w:w="1803"/>
        <w:gridCol w:w="1855"/>
        <w:gridCol w:w="2358"/>
      </w:tblGrid>
      <w:tr w:rsidR="00681134" w:rsidRPr="00E266CD" w14:paraId="65CEC4CD" w14:textId="77777777" w:rsidTr="006811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04F8F6EE" w14:textId="77777777" w:rsidR="00681134" w:rsidRPr="00E266CD" w:rsidRDefault="00681134" w:rsidP="00695B0D">
            <w:pPr>
              <w:pBdr>
                <w:top w:val="nil"/>
                <w:left w:val="nil"/>
                <w:bottom w:val="nil"/>
                <w:right w:val="nil"/>
                <w:between w:val="nil"/>
              </w:pBdr>
              <w:rPr>
                <w:rFonts w:ascii="Garamond" w:eastAsia="Times New Roman" w:hAnsi="Garamond"/>
                <w:sz w:val="18"/>
                <w:szCs w:val="18"/>
              </w:rPr>
            </w:pPr>
            <w:r w:rsidRPr="00E266CD">
              <w:rPr>
                <w:rFonts w:ascii="Garamond" w:eastAsia="Times New Roman" w:hAnsi="Garamond"/>
                <w:b w:val="0"/>
                <w:color w:val="000000"/>
                <w:sz w:val="18"/>
                <w:szCs w:val="18"/>
              </w:rPr>
              <w:t>Nr.</w:t>
            </w:r>
          </w:p>
        </w:tc>
        <w:tc>
          <w:tcPr>
            <w:tcW w:w="2604" w:type="dxa"/>
          </w:tcPr>
          <w:p w14:paraId="5E25CE11" w14:textId="77777777" w:rsidR="00681134" w:rsidRPr="00E266CD" w:rsidRDefault="00681134" w:rsidP="00695B0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b w:val="0"/>
                <w:sz w:val="18"/>
                <w:szCs w:val="18"/>
              </w:rPr>
              <w:t>Treguesit</w:t>
            </w:r>
          </w:p>
        </w:tc>
        <w:tc>
          <w:tcPr>
            <w:tcW w:w="1803" w:type="dxa"/>
          </w:tcPr>
          <w:p w14:paraId="6B5F588F" w14:textId="729F5436" w:rsidR="00681134" w:rsidRPr="00E266CD" w:rsidRDefault="00681134" w:rsidP="00695B0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b w:val="0"/>
                <w:sz w:val="18"/>
                <w:szCs w:val="18"/>
              </w:rPr>
              <w:t xml:space="preserve">Vlera </w:t>
            </w:r>
            <w:r w:rsidR="00E34C80" w:rsidRPr="00E266CD">
              <w:rPr>
                <w:rFonts w:ascii="Garamond" w:eastAsia="Times New Roman" w:hAnsi="Garamond"/>
                <w:b w:val="0"/>
                <w:sz w:val="18"/>
                <w:szCs w:val="18"/>
              </w:rPr>
              <w:t>b</w:t>
            </w:r>
            <w:r w:rsidRPr="00E266CD">
              <w:rPr>
                <w:rFonts w:ascii="Garamond" w:eastAsia="Times New Roman" w:hAnsi="Garamond"/>
                <w:b w:val="0"/>
                <w:sz w:val="18"/>
                <w:szCs w:val="18"/>
              </w:rPr>
              <w:t>azë</w:t>
            </w:r>
          </w:p>
        </w:tc>
        <w:tc>
          <w:tcPr>
            <w:tcW w:w="1855" w:type="dxa"/>
          </w:tcPr>
          <w:p w14:paraId="43D565DA" w14:textId="77777777" w:rsidR="00681134" w:rsidRPr="00E266CD" w:rsidRDefault="00681134" w:rsidP="00695B0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b w:val="0"/>
                <w:sz w:val="18"/>
                <w:szCs w:val="18"/>
              </w:rPr>
              <w:t>Vlera e synuar 2030</w:t>
            </w:r>
          </w:p>
        </w:tc>
        <w:tc>
          <w:tcPr>
            <w:tcW w:w="2358" w:type="dxa"/>
          </w:tcPr>
          <w:p w14:paraId="6CB1386E" w14:textId="77777777" w:rsidR="00681134" w:rsidRPr="00E266CD" w:rsidRDefault="00681134" w:rsidP="00695B0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b w:val="0"/>
                <w:sz w:val="18"/>
                <w:szCs w:val="18"/>
              </w:rPr>
              <w:t>Burimi i verifikimit</w:t>
            </w:r>
          </w:p>
        </w:tc>
      </w:tr>
      <w:tr w:rsidR="00681134" w:rsidRPr="00E266CD" w14:paraId="738F52CD" w14:textId="77777777" w:rsidTr="00176F32">
        <w:trPr>
          <w:cnfStyle w:val="000000100000" w:firstRow="0" w:lastRow="0" w:firstColumn="0" w:lastColumn="0" w:oddVBand="0" w:evenVBand="0" w:oddHBand="1" w:evenHBand="0" w:firstRowFirstColumn="0" w:firstRowLastColumn="0" w:lastRowFirstColumn="0" w:lastRowLastColumn="0"/>
          <w:trHeight w:val="876"/>
          <w:jc w:val="center"/>
        </w:trPr>
        <w:tc>
          <w:tcPr>
            <w:cnfStyle w:val="001000000000" w:firstRow="0" w:lastRow="0" w:firstColumn="1" w:lastColumn="0" w:oddVBand="0" w:evenVBand="0" w:oddHBand="0" w:evenHBand="0" w:firstRowFirstColumn="0" w:firstRowLastColumn="0" w:lastRowFirstColumn="0" w:lastRowLastColumn="0"/>
            <w:tcW w:w="9810" w:type="dxa"/>
            <w:gridSpan w:val="5"/>
          </w:tcPr>
          <w:p w14:paraId="379894C0" w14:textId="5A67C998" w:rsidR="00681134" w:rsidRPr="00176F32" w:rsidRDefault="00681134" w:rsidP="00176F32">
            <w:pPr>
              <w:spacing w:line="276" w:lineRule="auto"/>
              <w:rPr>
                <w:rFonts w:ascii="Garamond" w:eastAsia="Times New Roman" w:hAnsi="Garamond"/>
                <w:b/>
                <w:sz w:val="18"/>
                <w:szCs w:val="18"/>
              </w:rPr>
            </w:pPr>
            <w:r w:rsidRPr="00E266CD">
              <w:rPr>
                <w:rFonts w:ascii="Garamond" w:eastAsia="Times New Roman" w:hAnsi="Garamond"/>
                <w:b/>
                <w:sz w:val="18"/>
                <w:szCs w:val="18"/>
              </w:rPr>
              <w:t xml:space="preserve">Qëllimi i </w:t>
            </w:r>
            <w:r w:rsidR="00176F32">
              <w:rPr>
                <w:rFonts w:ascii="Garamond" w:eastAsia="Times New Roman" w:hAnsi="Garamond"/>
                <w:b/>
                <w:sz w:val="18"/>
                <w:szCs w:val="18"/>
              </w:rPr>
              <w:t>p</w:t>
            </w:r>
            <w:r w:rsidRPr="00E266CD">
              <w:rPr>
                <w:rFonts w:ascii="Garamond" w:eastAsia="Times New Roman" w:hAnsi="Garamond"/>
                <w:b/>
                <w:sz w:val="18"/>
                <w:szCs w:val="18"/>
              </w:rPr>
              <w:t>olitikës 1:</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Rritja e efikasitetit dhe qëndrueshmërisë së sistemit për mbështetjen e kërkimit shkencor, t</w:t>
            </w:r>
            <w:r w:rsidR="00BF1624" w:rsidRPr="00E266CD">
              <w:rPr>
                <w:rFonts w:ascii="Garamond" w:eastAsia="Times New Roman" w:hAnsi="Garamond"/>
                <w:b/>
                <w:sz w:val="18"/>
                <w:szCs w:val="18"/>
              </w:rPr>
              <w:t>ë</w:t>
            </w:r>
            <w:r w:rsidRPr="00E266CD">
              <w:rPr>
                <w:rFonts w:ascii="Garamond" w:eastAsia="Times New Roman" w:hAnsi="Garamond"/>
                <w:b/>
                <w:sz w:val="18"/>
                <w:szCs w:val="18"/>
              </w:rPr>
              <w:t xml:space="preserve"> integruar n</w:t>
            </w:r>
            <w:r w:rsidR="00BF1624" w:rsidRPr="00E266CD">
              <w:rPr>
                <w:rFonts w:ascii="Garamond" w:eastAsia="Times New Roman" w:hAnsi="Garamond"/>
                <w:b/>
                <w:sz w:val="18"/>
                <w:szCs w:val="18"/>
              </w:rPr>
              <w:t>ë</w:t>
            </w:r>
            <w:r w:rsidRPr="00E266CD">
              <w:rPr>
                <w:rFonts w:ascii="Garamond" w:eastAsia="Times New Roman" w:hAnsi="Garamond"/>
                <w:b/>
                <w:sz w:val="18"/>
                <w:szCs w:val="18"/>
              </w:rPr>
              <w:t xml:space="preserve"> nivel ndërkombëtar,</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në të gjithë spektrin e fushave të shkencave natyrore, inxhinierike dhe teknologjike, mjekësore, bujqësore, sociale dhe humane</w:t>
            </w:r>
          </w:p>
        </w:tc>
      </w:tr>
      <w:tr w:rsidR="00681134" w:rsidRPr="00E266CD" w14:paraId="720428D4"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5C68867F"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w:t>
            </w:r>
          </w:p>
        </w:tc>
        <w:tc>
          <w:tcPr>
            <w:tcW w:w="2604" w:type="dxa"/>
          </w:tcPr>
          <w:p w14:paraId="30FC9213" w14:textId="0C6F3524"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Indeksi evropian i inovacionit/</w:t>
            </w:r>
            <w:r w:rsidR="00176F32">
              <w:rPr>
                <w:rFonts w:ascii="Garamond" w:eastAsia="Times New Roman" w:hAnsi="Garamond"/>
                <w:sz w:val="18"/>
                <w:szCs w:val="18"/>
              </w:rPr>
              <w:t>p</w:t>
            </w:r>
            <w:r w:rsidRPr="00E266CD">
              <w:rPr>
                <w:rFonts w:ascii="Garamond" w:eastAsia="Times New Roman" w:hAnsi="Garamond"/>
                <w:sz w:val="18"/>
                <w:szCs w:val="18"/>
              </w:rPr>
              <w:t xml:space="preserve">erformanca e Shqipërisë në EU </w:t>
            </w:r>
            <w:r w:rsidRPr="00E266CD">
              <w:rPr>
                <w:rFonts w:ascii="Garamond" w:eastAsia="Times New Roman" w:hAnsi="Garamond"/>
                <w:i/>
                <w:sz w:val="18"/>
                <w:szCs w:val="18"/>
              </w:rPr>
              <w:t>Innovation Scoreboard</w:t>
            </w:r>
          </w:p>
        </w:tc>
        <w:tc>
          <w:tcPr>
            <w:tcW w:w="1803" w:type="dxa"/>
          </w:tcPr>
          <w:p w14:paraId="647CB7DE"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2022 </w:t>
            </w:r>
          </w:p>
          <w:p w14:paraId="1FA6BF1B"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41.7/160</w:t>
            </w:r>
          </w:p>
        </w:tc>
        <w:tc>
          <w:tcPr>
            <w:tcW w:w="1855" w:type="dxa"/>
          </w:tcPr>
          <w:p w14:paraId="5AFE2129"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78/160</w:t>
            </w:r>
          </w:p>
        </w:tc>
        <w:tc>
          <w:tcPr>
            <w:tcW w:w="2358" w:type="dxa"/>
          </w:tcPr>
          <w:p w14:paraId="624AFE21" w14:textId="0B6238A0"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Raporti </w:t>
            </w:r>
            <w:r w:rsidR="00176F32">
              <w:rPr>
                <w:rFonts w:ascii="Garamond" w:eastAsia="Times New Roman" w:hAnsi="Garamond"/>
                <w:sz w:val="18"/>
                <w:szCs w:val="18"/>
              </w:rPr>
              <w:t>v</w:t>
            </w:r>
            <w:r w:rsidRPr="00E266CD">
              <w:rPr>
                <w:rFonts w:ascii="Garamond" w:eastAsia="Times New Roman" w:hAnsi="Garamond"/>
                <w:sz w:val="18"/>
                <w:szCs w:val="18"/>
              </w:rPr>
              <w:t xml:space="preserve">jetor i Komisionit Evropian “Rezultatet </w:t>
            </w:r>
            <w:r w:rsidR="00176F32" w:rsidRPr="00E266CD">
              <w:rPr>
                <w:rFonts w:ascii="Garamond" w:eastAsia="Times New Roman" w:hAnsi="Garamond"/>
                <w:sz w:val="18"/>
                <w:szCs w:val="18"/>
              </w:rPr>
              <w:t xml:space="preserve">Evropiane </w:t>
            </w:r>
            <w:r w:rsidRPr="00E266CD">
              <w:rPr>
                <w:rFonts w:ascii="Garamond" w:eastAsia="Times New Roman" w:hAnsi="Garamond"/>
                <w:sz w:val="18"/>
                <w:szCs w:val="18"/>
              </w:rPr>
              <w:t xml:space="preserve">të Inovacionit </w:t>
            </w:r>
            <w:r w:rsidR="00BC4813" w:rsidRPr="00E266CD">
              <w:rPr>
                <w:rFonts w:ascii="Garamond" w:eastAsia="Times New Roman" w:hAnsi="Garamond"/>
                <w:sz w:val="18"/>
                <w:szCs w:val="18"/>
              </w:rPr>
              <w:t>“</w:t>
            </w:r>
            <w:r w:rsidRPr="00E266CD">
              <w:rPr>
                <w:rFonts w:ascii="Garamond" w:eastAsia="Times New Roman" w:hAnsi="Garamond"/>
                <w:i/>
                <w:sz w:val="18"/>
                <w:szCs w:val="18"/>
              </w:rPr>
              <w:t>European Innovation Scoreboard</w:t>
            </w:r>
            <w:r w:rsidRPr="00E266CD">
              <w:rPr>
                <w:rFonts w:ascii="Garamond" w:eastAsia="Times New Roman" w:hAnsi="Garamond"/>
                <w:sz w:val="18"/>
                <w:szCs w:val="18"/>
              </w:rPr>
              <w:t xml:space="preserve">” </w:t>
            </w:r>
          </w:p>
        </w:tc>
      </w:tr>
      <w:tr w:rsidR="00681134" w:rsidRPr="00E266CD" w14:paraId="1FF8B219"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249F3BFD"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2.</w:t>
            </w:r>
          </w:p>
        </w:tc>
        <w:tc>
          <w:tcPr>
            <w:tcW w:w="2604" w:type="dxa"/>
          </w:tcPr>
          <w:p w14:paraId="0BCD0CD7"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buxhetit të shtetit dedikuar për kërkimin shkencor</w:t>
            </w:r>
          </w:p>
        </w:tc>
        <w:tc>
          <w:tcPr>
            <w:tcW w:w="1803" w:type="dxa"/>
          </w:tcPr>
          <w:p w14:paraId="547242DC"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2022 </w:t>
            </w:r>
          </w:p>
          <w:p w14:paraId="3E7BD8F3"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0.3%</w:t>
            </w:r>
          </w:p>
        </w:tc>
        <w:tc>
          <w:tcPr>
            <w:tcW w:w="1855" w:type="dxa"/>
          </w:tcPr>
          <w:p w14:paraId="303EB2C0"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1%</w:t>
            </w:r>
          </w:p>
        </w:tc>
        <w:tc>
          <w:tcPr>
            <w:tcW w:w="2358" w:type="dxa"/>
          </w:tcPr>
          <w:p w14:paraId="705C4CBC" w14:textId="2086DDAE"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MFE</w:t>
            </w:r>
            <w:r w:rsidR="00176F32">
              <w:rPr>
                <w:rFonts w:ascii="Garamond" w:eastAsia="Times New Roman" w:hAnsi="Garamond"/>
                <w:sz w:val="18"/>
                <w:szCs w:val="18"/>
              </w:rPr>
              <w:t>-së</w:t>
            </w:r>
            <w:r w:rsidRPr="00E266CD">
              <w:rPr>
                <w:rFonts w:ascii="Garamond" w:eastAsia="Times New Roman" w:hAnsi="Garamond"/>
                <w:sz w:val="18"/>
                <w:szCs w:val="18"/>
              </w:rPr>
              <w:t>/MAS</w:t>
            </w:r>
            <w:r w:rsidR="00176F32">
              <w:rPr>
                <w:rFonts w:ascii="Garamond" w:eastAsia="Times New Roman" w:hAnsi="Garamond"/>
                <w:sz w:val="18"/>
                <w:szCs w:val="18"/>
              </w:rPr>
              <w:t>-it</w:t>
            </w:r>
          </w:p>
        </w:tc>
      </w:tr>
      <w:tr w:rsidR="00681134" w:rsidRPr="00E266CD" w14:paraId="653FF3DE" w14:textId="77777777" w:rsidTr="00176F32">
        <w:trPr>
          <w:trHeight w:val="534"/>
          <w:jc w:val="center"/>
        </w:trPr>
        <w:tc>
          <w:tcPr>
            <w:cnfStyle w:val="001000000000" w:firstRow="0" w:lastRow="0" w:firstColumn="1" w:lastColumn="0" w:oddVBand="0" w:evenVBand="0" w:oddHBand="0" w:evenHBand="0" w:firstRowFirstColumn="0" w:firstRowLastColumn="0" w:lastRowFirstColumn="0" w:lastRowLastColumn="0"/>
            <w:tcW w:w="1190" w:type="dxa"/>
          </w:tcPr>
          <w:p w14:paraId="22D52ED8" w14:textId="59C3905B" w:rsidR="00681134" w:rsidRPr="00E266CD" w:rsidRDefault="00681134" w:rsidP="00695B0D">
            <w:pPr>
              <w:pBdr>
                <w:top w:val="nil"/>
                <w:left w:val="nil"/>
                <w:bottom w:val="nil"/>
                <w:right w:val="nil"/>
                <w:between w:val="nil"/>
              </w:pBdr>
              <w:rPr>
                <w:rFonts w:ascii="Garamond" w:eastAsia="Times New Roman" w:hAnsi="Garamond"/>
                <w:b/>
                <w:color w:val="FFFFFF" w:themeColor="background1"/>
                <w:sz w:val="18"/>
                <w:szCs w:val="18"/>
              </w:rPr>
            </w:pPr>
            <w:r w:rsidRPr="00E266CD">
              <w:rPr>
                <w:rFonts w:ascii="Garamond" w:eastAsia="Times New Roman" w:hAnsi="Garamond"/>
                <w:b/>
                <w:color w:val="FFFFFF" w:themeColor="background1"/>
                <w:sz w:val="18"/>
                <w:szCs w:val="18"/>
              </w:rPr>
              <w:t xml:space="preserve">Objektivi </w:t>
            </w:r>
            <w:r w:rsidR="00176F32">
              <w:rPr>
                <w:rFonts w:ascii="Garamond" w:eastAsia="Times New Roman" w:hAnsi="Garamond"/>
                <w:b/>
                <w:color w:val="FFFFFF" w:themeColor="background1"/>
                <w:sz w:val="18"/>
                <w:szCs w:val="18"/>
              </w:rPr>
              <w:t>s</w:t>
            </w:r>
            <w:r w:rsidRPr="00E266CD">
              <w:rPr>
                <w:rFonts w:ascii="Garamond" w:eastAsia="Times New Roman" w:hAnsi="Garamond"/>
                <w:b/>
                <w:color w:val="FFFFFF" w:themeColor="background1"/>
                <w:sz w:val="18"/>
                <w:szCs w:val="18"/>
              </w:rPr>
              <w:t xml:space="preserve">pecifik 1.1 </w:t>
            </w:r>
          </w:p>
        </w:tc>
        <w:tc>
          <w:tcPr>
            <w:tcW w:w="8620" w:type="dxa"/>
            <w:gridSpan w:val="4"/>
          </w:tcPr>
          <w:p w14:paraId="3A0B7979" w14:textId="5E4003E9" w:rsidR="00681134" w:rsidRPr="00E266CD" w:rsidRDefault="00681134" w:rsidP="00176F32">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Plotësimi dhe zbatimi i kuadrit ligjor dhe rregullator për të garantuar cilësinë, etikën dhe efektivitetin në zhvillimin dhe aplikimin e kërkimit në përputhje me fushat prioritare</w:t>
            </w:r>
          </w:p>
        </w:tc>
      </w:tr>
      <w:tr w:rsidR="00681134" w:rsidRPr="00E266CD" w14:paraId="7B0093FC"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617B6E7A"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1.1a</w:t>
            </w:r>
          </w:p>
        </w:tc>
        <w:tc>
          <w:tcPr>
            <w:tcW w:w="2604" w:type="dxa"/>
          </w:tcPr>
          <w:p w14:paraId="574A2E90" w14:textId="58E2D8A3"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Ligji “Për shkencën në Republikën e Shqipërisë”</w:t>
            </w:r>
            <w:r w:rsidR="00176F32">
              <w:rPr>
                <w:rFonts w:ascii="Garamond" w:eastAsia="Times New Roman" w:hAnsi="Garamond"/>
                <w:sz w:val="18"/>
                <w:szCs w:val="18"/>
              </w:rPr>
              <w:t>,</w:t>
            </w:r>
            <w:r w:rsidRPr="00E266CD">
              <w:rPr>
                <w:rFonts w:ascii="Garamond" w:eastAsia="Times New Roman" w:hAnsi="Garamond"/>
                <w:sz w:val="18"/>
                <w:szCs w:val="18"/>
              </w:rPr>
              <w:t xml:space="preserve"> i përfunduar dhe miratuar</w:t>
            </w:r>
          </w:p>
        </w:tc>
        <w:tc>
          <w:tcPr>
            <w:tcW w:w="1803" w:type="dxa"/>
          </w:tcPr>
          <w:p w14:paraId="53E927E6"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32AC7760"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Ligji jo i miratuar</w:t>
            </w:r>
          </w:p>
        </w:tc>
        <w:tc>
          <w:tcPr>
            <w:tcW w:w="1855" w:type="dxa"/>
          </w:tcPr>
          <w:p w14:paraId="1D6C6908"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Ligji i përfunduar dhe miratuar</w:t>
            </w:r>
          </w:p>
        </w:tc>
        <w:tc>
          <w:tcPr>
            <w:tcW w:w="2358" w:type="dxa"/>
          </w:tcPr>
          <w:p w14:paraId="63061280" w14:textId="1499927D"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461DD490"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603A226E"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1.1b</w:t>
            </w:r>
          </w:p>
        </w:tc>
        <w:tc>
          <w:tcPr>
            <w:tcW w:w="2604" w:type="dxa"/>
          </w:tcPr>
          <w:p w14:paraId="3147C7C7" w14:textId="77777777"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Struktura Kombëtare e Koordinimit të Politikave mbi SHTI e ngritur dhe funksionale</w:t>
            </w:r>
          </w:p>
          <w:p w14:paraId="29C7F3C3"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p>
        </w:tc>
        <w:tc>
          <w:tcPr>
            <w:tcW w:w="1803" w:type="dxa"/>
          </w:tcPr>
          <w:p w14:paraId="76DF4AD7" w14:textId="77777777" w:rsidR="00681134" w:rsidRPr="00E266CD" w:rsidRDefault="00681134" w:rsidP="00695B0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6F47137D" w14:textId="77777777" w:rsidR="00681134" w:rsidRPr="00E266CD" w:rsidRDefault="00681134" w:rsidP="00695B0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Struktura jo e ngritur</w:t>
            </w:r>
          </w:p>
        </w:tc>
        <w:tc>
          <w:tcPr>
            <w:tcW w:w="1855" w:type="dxa"/>
          </w:tcPr>
          <w:p w14:paraId="14C38625" w14:textId="6B0DB563" w:rsidR="00681134" w:rsidRPr="00E266CD" w:rsidRDefault="00681134" w:rsidP="00695B0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Struktura mbi koordinimin e </w:t>
            </w:r>
            <w:r w:rsidR="00176F32">
              <w:rPr>
                <w:rFonts w:ascii="Garamond" w:eastAsia="Times New Roman" w:hAnsi="Garamond"/>
                <w:sz w:val="18"/>
                <w:szCs w:val="18"/>
              </w:rPr>
              <w:t>p</w:t>
            </w:r>
            <w:r w:rsidRPr="00E266CD">
              <w:rPr>
                <w:rFonts w:ascii="Garamond" w:eastAsia="Times New Roman" w:hAnsi="Garamond"/>
                <w:sz w:val="18"/>
                <w:szCs w:val="18"/>
              </w:rPr>
              <w:t>olitikave mbi SHTI funksionale</w:t>
            </w:r>
          </w:p>
        </w:tc>
        <w:tc>
          <w:tcPr>
            <w:tcW w:w="2358" w:type="dxa"/>
          </w:tcPr>
          <w:p w14:paraId="2BFDE3ED" w14:textId="277DE7A2" w:rsidR="00681134" w:rsidRPr="00E266CD" w:rsidRDefault="00681134" w:rsidP="00695B0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463B49B3"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01706D83"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1.1.c</w:t>
            </w:r>
          </w:p>
        </w:tc>
        <w:tc>
          <w:tcPr>
            <w:tcW w:w="2604" w:type="dxa"/>
          </w:tcPr>
          <w:p w14:paraId="5125DBDB" w14:textId="228C67E8"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Kuadri ligjor dhe rregullator mbi shkencën, teknologjinë dhe inovacionin</w:t>
            </w:r>
            <w:r w:rsidR="00176F32">
              <w:rPr>
                <w:rFonts w:ascii="Garamond" w:eastAsia="Times New Roman" w:hAnsi="Garamond"/>
                <w:sz w:val="18"/>
                <w:szCs w:val="18"/>
              </w:rPr>
              <w:t>,</w:t>
            </w:r>
            <w:r w:rsidRPr="00E266CD">
              <w:rPr>
                <w:rFonts w:ascii="Garamond" w:eastAsia="Times New Roman" w:hAnsi="Garamond"/>
                <w:sz w:val="18"/>
                <w:szCs w:val="18"/>
              </w:rPr>
              <w:t xml:space="preserve"> i harmonizuar dhe në përputhje me direktivat dhe rregulloret e BE</w:t>
            </w:r>
            <w:r w:rsidR="00176F32">
              <w:rPr>
                <w:rFonts w:ascii="Garamond" w:eastAsia="Times New Roman" w:hAnsi="Garamond"/>
                <w:sz w:val="18"/>
                <w:szCs w:val="18"/>
              </w:rPr>
              <w:t>-së,</w:t>
            </w:r>
            <w:r w:rsidRPr="00E266CD">
              <w:rPr>
                <w:rFonts w:ascii="Garamond" w:eastAsia="Times New Roman" w:hAnsi="Garamond"/>
                <w:sz w:val="18"/>
                <w:szCs w:val="18"/>
              </w:rPr>
              <w:t xml:space="preserve"> në kuadër të kapitullit 25 “Shkenca dhe kërkimi shkencor”</w:t>
            </w:r>
          </w:p>
          <w:p w14:paraId="34705347"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03" w:type="dxa"/>
          </w:tcPr>
          <w:p w14:paraId="54378D41"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7232D4DF"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Hartimi i tabelave të përputhshmërisë</w:t>
            </w:r>
          </w:p>
        </w:tc>
        <w:tc>
          <w:tcPr>
            <w:tcW w:w="1855" w:type="dxa"/>
          </w:tcPr>
          <w:p w14:paraId="231D5C2F" w14:textId="42304EEC"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Kuadri ligjor dhe rregullator mbi SHTI i harmonizuar dhe në përputhje me direktivat dhe rregulloret e BE</w:t>
            </w:r>
            <w:r w:rsidR="00176F32">
              <w:rPr>
                <w:rFonts w:ascii="Garamond" w:eastAsia="Times New Roman" w:hAnsi="Garamond"/>
                <w:sz w:val="18"/>
                <w:szCs w:val="18"/>
              </w:rPr>
              <w:t>-së</w:t>
            </w:r>
          </w:p>
        </w:tc>
        <w:tc>
          <w:tcPr>
            <w:tcW w:w="2358" w:type="dxa"/>
          </w:tcPr>
          <w:p w14:paraId="38664394" w14:textId="3271325F"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4EACFE50"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6B87360F"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1.1.e</w:t>
            </w:r>
          </w:p>
        </w:tc>
        <w:tc>
          <w:tcPr>
            <w:tcW w:w="2604" w:type="dxa"/>
          </w:tcPr>
          <w:p w14:paraId="3D31DC14"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Kodi i Etikës në kërkimin shkencor i hartuar dhe miratuar</w:t>
            </w:r>
          </w:p>
        </w:tc>
        <w:tc>
          <w:tcPr>
            <w:tcW w:w="1803" w:type="dxa"/>
          </w:tcPr>
          <w:p w14:paraId="3CD4C435"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4977F008"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Kodi i Etikës në kërkimin shkencor jo i hartuar</w:t>
            </w:r>
          </w:p>
        </w:tc>
        <w:tc>
          <w:tcPr>
            <w:tcW w:w="1855" w:type="dxa"/>
          </w:tcPr>
          <w:p w14:paraId="19404763" w14:textId="525087CE"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Kodi i Etikës</w:t>
            </w:r>
            <w:r w:rsidR="00176F32">
              <w:rPr>
                <w:rFonts w:ascii="Garamond" w:eastAsia="Times New Roman" w:hAnsi="Garamond"/>
                <w:sz w:val="18"/>
                <w:szCs w:val="18"/>
              </w:rPr>
              <w:t>,</w:t>
            </w:r>
            <w:r w:rsidRPr="00E266CD">
              <w:rPr>
                <w:rFonts w:ascii="Garamond" w:eastAsia="Times New Roman" w:hAnsi="Garamond"/>
                <w:sz w:val="18"/>
                <w:szCs w:val="18"/>
              </w:rPr>
              <w:t xml:space="preserve"> i miratuar dhe në fuqi</w:t>
            </w:r>
          </w:p>
        </w:tc>
        <w:tc>
          <w:tcPr>
            <w:tcW w:w="2358" w:type="dxa"/>
          </w:tcPr>
          <w:p w14:paraId="51FF6AB2" w14:textId="3C638C63"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r w:rsidRPr="00E266CD">
              <w:rPr>
                <w:rFonts w:ascii="Garamond" w:eastAsia="Times New Roman" w:hAnsi="Garamond"/>
                <w:sz w:val="18"/>
                <w:szCs w:val="18"/>
              </w:rPr>
              <w:t>, AKKSHI</w:t>
            </w:r>
            <w:r w:rsidR="00BC4813" w:rsidRPr="00E266CD">
              <w:rPr>
                <w:rFonts w:ascii="Garamond" w:eastAsia="Times New Roman" w:hAnsi="Garamond"/>
                <w:sz w:val="18"/>
                <w:szCs w:val="18"/>
              </w:rPr>
              <w:t>-it</w:t>
            </w:r>
          </w:p>
        </w:tc>
      </w:tr>
      <w:tr w:rsidR="00681134" w:rsidRPr="00E266CD" w14:paraId="3CEDD172"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5DA5201F"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 xml:space="preserve">1.1.f </w:t>
            </w:r>
          </w:p>
        </w:tc>
        <w:tc>
          <w:tcPr>
            <w:tcW w:w="2604" w:type="dxa"/>
          </w:tcPr>
          <w:p w14:paraId="22CE3608" w14:textId="7890C038"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Paketa e akteve nënligjore</w:t>
            </w:r>
            <w:r w:rsidR="00176F32">
              <w:rPr>
                <w:rFonts w:ascii="Garamond" w:eastAsia="Times New Roman" w:hAnsi="Garamond"/>
                <w:sz w:val="18"/>
                <w:szCs w:val="18"/>
              </w:rPr>
              <w:t>,</w:t>
            </w:r>
            <w:r w:rsidRPr="00E266CD">
              <w:rPr>
                <w:rFonts w:ascii="Garamond" w:eastAsia="Times New Roman" w:hAnsi="Garamond"/>
                <w:sz w:val="18"/>
                <w:szCs w:val="18"/>
              </w:rPr>
              <w:t xml:space="preserve"> lidhur me ligjin “Për shkencën në Republikën e Shqipërisë”</w:t>
            </w:r>
            <w:r w:rsidR="00404635">
              <w:rPr>
                <w:rFonts w:ascii="Garamond" w:eastAsia="Times New Roman" w:hAnsi="Garamond"/>
                <w:sz w:val="18"/>
                <w:szCs w:val="18"/>
              </w:rPr>
              <w:t>,</w:t>
            </w:r>
            <w:r w:rsidRPr="00E266CD">
              <w:rPr>
                <w:rFonts w:ascii="Garamond" w:eastAsia="Times New Roman" w:hAnsi="Garamond"/>
                <w:sz w:val="18"/>
                <w:szCs w:val="18"/>
              </w:rPr>
              <w:t xml:space="preserve"> e finalizuar dhe miratuar</w:t>
            </w:r>
          </w:p>
        </w:tc>
        <w:tc>
          <w:tcPr>
            <w:tcW w:w="1803" w:type="dxa"/>
          </w:tcPr>
          <w:p w14:paraId="5BFB928B"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5D31BCD4"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Paketa e akteve nënligjore jo e hartuar</w:t>
            </w:r>
          </w:p>
        </w:tc>
        <w:tc>
          <w:tcPr>
            <w:tcW w:w="1855" w:type="dxa"/>
          </w:tcPr>
          <w:p w14:paraId="58260527"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Paketa e akteve nënligjore e finalizuar dhe miratuar</w:t>
            </w:r>
          </w:p>
        </w:tc>
        <w:tc>
          <w:tcPr>
            <w:tcW w:w="2358" w:type="dxa"/>
          </w:tcPr>
          <w:p w14:paraId="45A097D6" w14:textId="2AC2A794"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651A647A"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0A88E10D"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1.1.g</w:t>
            </w:r>
          </w:p>
        </w:tc>
        <w:tc>
          <w:tcPr>
            <w:tcW w:w="2604" w:type="dxa"/>
          </w:tcPr>
          <w:p w14:paraId="402E7302" w14:textId="642B0B12"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Plani kombëtar për promovimin e barazisë gjinore në shkencë, teknologji dhe inovacion</w:t>
            </w:r>
            <w:r w:rsidR="00404635">
              <w:rPr>
                <w:rFonts w:ascii="Garamond" w:eastAsia="Times New Roman" w:hAnsi="Garamond"/>
                <w:sz w:val="18"/>
                <w:szCs w:val="18"/>
              </w:rPr>
              <w:t>,</w:t>
            </w:r>
            <w:r w:rsidRPr="00E266CD">
              <w:rPr>
                <w:rFonts w:ascii="Garamond" w:eastAsia="Times New Roman" w:hAnsi="Garamond"/>
                <w:sz w:val="18"/>
                <w:szCs w:val="18"/>
              </w:rPr>
              <w:t xml:space="preserve"> i hartuar dhe miratuar</w:t>
            </w:r>
          </w:p>
        </w:tc>
        <w:tc>
          <w:tcPr>
            <w:tcW w:w="1803" w:type="dxa"/>
          </w:tcPr>
          <w:p w14:paraId="50FEF1E9"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5F935DD8" w14:textId="73E31E32"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Plani </w:t>
            </w:r>
            <w:r w:rsidR="00750D3B">
              <w:rPr>
                <w:rFonts w:ascii="Garamond" w:eastAsia="Times New Roman" w:hAnsi="Garamond"/>
                <w:sz w:val="18"/>
                <w:szCs w:val="18"/>
              </w:rPr>
              <w:t>k</w:t>
            </w:r>
            <w:r w:rsidRPr="00E266CD">
              <w:rPr>
                <w:rFonts w:ascii="Garamond" w:eastAsia="Times New Roman" w:hAnsi="Garamond"/>
                <w:sz w:val="18"/>
                <w:szCs w:val="18"/>
              </w:rPr>
              <w:t>ombëtar për promovimin e barazisë gjinore në shkencë, teknologji dhe inovacion</w:t>
            </w:r>
            <w:r w:rsidR="00750D3B">
              <w:rPr>
                <w:rFonts w:ascii="Garamond" w:eastAsia="Times New Roman" w:hAnsi="Garamond"/>
                <w:sz w:val="18"/>
                <w:szCs w:val="18"/>
              </w:rPr>
              <w:t>,</w:t>
            </w:r>
            <w:r w:rsidRPr="00E266CD">
              <w:rPr>
                <w:rFonts w:ascii="Garamond" w:eastAsia="Times New Roman" w:hAnsi="Garamond"/>
                <w:sz w:val="18"/>
                <w:szCs w:val="18"/>
              </w:rPr>
              <w:t xml:space="preserve"> jo i hartuar</w:t>
            </w:r>
          </w:p>
        </w:tc>
        <w:tc>
          <w:tcPr>
            <w:tcW w:w="1855" w:type="dxa"/>
          </w:tcPr>
          <w:p w14:paraId="33841E62" w14:textId="13920F2B"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Plani Kombëtar për </w:t>
            </w:r>
            <w:r w:rsidR="00176F32" w:rsidRPr="00E266CD">
              <w:rPr>
                <w:rFonts w:ascii="Garamond" w:eastAsia="Times New Roman" w:hAnsi="Garamond"/>
                <w:sz w:val="18"/>
                <w:szCs w:val="18"/>
              </w:rPr>
              <w:t xml:space="preserve">Promovimin </w:t>
            </w:r>
            <w:r w:rsidRPr="00E266CD">
              <w:rPr>
                <w:rFonts w:ascii="Garamond" w:eastAsia="Times New Roman" w:hAnsi="Garamond"/>
                <w:sz w:val="18"/>
                <w:szCs w:val="18"/>
              </w:rPr>
              <w:t xml:space="preserve">e </w:t>
            </w:r>
            <w:r w:rsidR="00176F32" w:rsidRPr="00E266CD">
              <w:rPr>
                <w:rFonts w:ascii="Garamond" w:eastAsia="Times New Roman" w:hAnsi="Garamond"/>
                <w:sz w:val="18"/>
                <w:szCs w:val="18"/>
              </w:rPr>
              <w:t xml:space="preserve">Barazisë Gjinore </w:t>
            </w:r>
            <w:r w:rsidRPr="00E266CD">
              <w:rPr>
                <w:rFonts w:ascii="Garamond" w:eastAsia="Times New Roman" w:hAnsi="Garamond"/>
                <w:sz w:val="18"/>
                <w:szCs w:val="18"/>
              </w:rPr>
              <w:t>në SHTI i miratuar dhe në fuqi</w:t>
            </w:r>
          </w:p>
        </w:tc>
        <w:tc>
          <w:tcPr>
            <w:tcW w:w="2358" w:type="dxa"/>
          </w:tcPr>
          <w:p w14:paraId="6E8E5331" w14:textId="210B9E10"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2591E518"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408D88E4" w14:textId="725848D5" w:rsidR="00681134" w:rsidRPr="00E266CD" w:rsidRDefault="00681134" w:rsidP="00695B0D">
            <w:pPr>
              <w:pBdr>
                <w:top w:val="nil"/>
                <w:left w:val="nil"/>
                <w:bottom w:val="nil"/>
                <w:right w:val="nil"/>
                <w:between w:val="nil"/>
              </w:pBdr>
              <w:rPr>
                <w:rFonts w:ascii="Garamond" w:eastAsia="Times New Roman" w:hAnsi="Garamond"/>
                <w:b/>
                <w:color w:val="FFFFFF" w:themeColor="background1"/>
                <w:sz w:val="18"/>
                <w:szCs w:val="18"/>
              </w:rPr>
            </w:pPr>
            <w:r w:rsidRPr="00E266CD">
              <w:rPr>
                <w:rFonts w:ascii="Garamond" w:eastAsia="Times New Roman" w:hAnsi="Garamond"/>
                <w:b/>
                <w:color w:val="FFFFFF" w:themeColor="background1"/>
                <w:sz w:val="18"/>
                <w:szCs w:val="18"/>
              </w:rPr>
              <w:t>Objektiv</w:t>
            </w:r>
            <w:r w:rsidR="00750D3B">
              <w:rPr>
                <w:rFonts w:ascii="Garamond" w:eastAsia="Times New Roman" w:hAnsi="Garamond"/>
                <w:b/>
                <w:color w:val="FFFFFF" w:themeColor="background1"/>
                <w:sz w:val="18"/>
                <w:szCs w:val="18"/>
              </w:rPr>
              <w:t>i</w:t>
            </w:r>
            <w:r w:rsidRPr="00E266CD">
              <w:rPr>
                <w:rFonts w:ascii="Garamond" w:eastAsia="Times New Roman" w:hAnsi="Garamond"/>
                <w:b/>
                <w:color w:val="FFFFFF" w:themeColor="background1"/>
                <w:sz w:val="18"/>
                <w:szCs w:val="18"/>
              </w:rPr>
              <w:t xml:space="preserve"> </w:t>
            </w:r>
            <w:r w:rsidR="00404635">
              <w:rPr>
                <w:rFonts w:ascii="Garamond" w:eastAsia="Times New Roman" w:hAnsi="Garamond"/>
                <w:b/>
                <w:color w:val="FFFFFF" w:themeColor="background1"/>
                <w:sz w:val="18"/>
                <w:szCs w:val="18"/>
              </w:rPr>
              <w:t>s</w:t>
            </w:r>
            <w:r w:rsidRPr="00E266CD">
              <w:rPr>
                <w:rFonts w:ascii="Garamond" w:eastAsia="Times New Roman" w:hAnsi="Garamond"/>
                <w:b/>
                <w:color w:val="FFFFFF" w:themeColor="background1"/>
                <w:sz w:val="18"/>
                <w:szCs w:val="18"/>
              </w:rPr>
              <w:t>pecifik 1.2</w:t>
            </w:r>
          </w:p>
        </w:tc>
        <w:tc>
          <w:tcPr>
            <w:tcW w:w="8620" w:type="dxa"/>
            <w:gridSpan w:val="4"/>
          </w:tcPr>
          <w:p w14:paraId="10C9743D" w14:textId="6B0A5AEC" w:rsidR="00681134" w:rsidRPr="00E266CD" w:rsidRDefault="00681134" w:rsidP="00695B0D">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Përmirësimi i kapaciteteve njerëzore dhe infrastrukturës mbështetëse</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të kërkimit shkencor për rritjen e performancës në programet kombëtare dhe ndërkombëtare</w:t>
            </w:r>
          </w:p>
          <w:p w14:paraId="1B7D00BC"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8"/>
                <w:szCs w:val="18"/>
              </w:rPr>
            </w:pPr>
          </w:p>
        </w:tc>
      </w:tr>
      <w:tr w:rsidR="00681134" w:rsidRPr="00E266CD" w14:paraId="31D222F7"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690E976B"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1.2 a</w:t>
            </w:r>
          </w:p>
        </w:tc>
        <w:tc>
          <w:tcPr>
            <w:tcW w:w="2604" w:type="dxa"/>
          </w:tcPr>
          <w:p w14:paraId="6FD3CB92" w14:textId="77777777"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kërkuesve shkencorë të trajnuar mbi shkrimin dhe aplikimin në projekte kombëtare/ ndërkombëtare</w:t>
            </w:r>
          </w:p>
          <w:p w14:paraId="2B3588DE"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p>
        </w:tc>
        <w:tc>
          <w:tcPr>
            <w:tcW w:w="1803" w:type="dxa"/>
          </w:tcPr>
          <w:p w14:paraId="3FD0649F"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38B0F58A"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77C8776F" w14:textId="7E938266"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tc>
        <w:tc>
          <w:tcPr>
            <w:tcW w:w="2358" w:type="dxa"/>
          </w:tcPr>
          <w:p w14:paraId="609AE864" w14:textId="47D0236F"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03E72704"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65942104"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1.2 b</w:t>
            </w:r>
          </w:p>
        </w:tc>
        <w:tc>
          <w:tcPr>
            <w:tcW w:w="2604" w:type="dxa"/>
          </w:tcPr>
          <w:p w14:paraId="7EC374A2"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grave dhe vajzave drejtuese të projekteve shkencore kombëtare të kërkimit</w:t>
            </w:r>
          </w:p>
        </w:tc>
        <w:tc>
          <w:tcPr>
            <w:tcW w:w="1803" w:type="dxa"/>
          </w:tcPr>
          <w:p w14:paraId="2B5E776B"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2021</w:t>
            </w:r>
          </w:p>
          <w:p w14:paraId="6218146B"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55%</w:t>
            </w:r>
          </w:p>
        </w:tc>
        <w:tc>
          <w:tcPr>
            <w:tcW w:w="1855" w:type="dxa"/>
          </w:tcPr>
          <w:p w14:paraId="50D430D3" w14:textId="6B5ACB0A"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tc>
        <w:tc>
          <w:tcPr>
            <w:tcW w:w="2358" w:type="dxa"/>
          </w:tcPr>
          <w:p w14:paraId="7761F454" w14:textId="58D7E711"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3DEEFF98"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55D07887"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1.2 c</w:t>
            </w:r>
          </w:p>
        </w:tc>
        <w:tc>
          <w:tcPr>
            <w:tcW w:w="2604" w:type="dxa"/>
          </w:tcPr>
          <w:p w14:paraId="39ACB619" w14:textId="5D60C72F"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Harta Kombëtare e </w:t>
            </w:r>
            <w:r w:rsidR="00520A1C" w:rsidRPr="00E266CD">
              <w:rPr>
                <w:rFonts w:ascii="Garamond" w:eastAsia="Times New Roman" w:hAnsi="Garamond"/>
                <w:sz w:val="18"/>
                <w:szCs w:val="18"/>
              </w:rPr>
              <w:t>Infrastrukturës</w:t>
            </w:r>
            <w:r w:rsidRPr="00E266CD">
              <w:rPr>
                <w:rFonts w:ascii="Garamond" w:eastAsia="Times New Roman" w:hAnsi="Garamond"/>
                <w:sz w:val="18"/>
                <w:szCs w:val="18"/>
              </w:rPr>
              <w:t xml:space="preserve"> së Kërkimit Shkencor në Shqipëri e krijuar në përputhje me ESFRI (</w:t>
            </w:r>
            <w:r w:rsidRPr="00E266CD">
              <w:rPr>
                <w:rFonts w:ascii="Garamond" w:eastAsia="Times New Roman" w:hAnsi="Garamond"/>
                <w:i/>
                <w:sz w:val="18"/>
                <w:szCs w:val="18"/>
              </w:rPr>
              <w:t>European Strategic Framework of Research Infrastructure</w:t>
            </w:r>
            <w:r w:rsidR="00520A1C" w:rsidRPr="00E266CD">
              <w:rPr>
                <w:rFonts w:ascii="Garamond" w:eastAsia="Times New Roman" w:hAnsi="Garamond"/>
                <w:sz w:val="18"/>
                <w:szCs w:val="18"/>
              </w:rPr>
              <w:t>)</w:t>
            </w:r>
          </w:p>
        </w:tc>
        <w:tc>
          <w:tcPr>
            <w:tcW w:w="1803" w:type="dxa"/>
          </w:tcPr>
          <w:p w14:paraId="31D2BBDE"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7C7E04DE"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Harta jo e krijuar</w:t>
            </w:r>
          </w:p>
        </w:tc>
        <w:tc>
          <w:tcPr>
            <w:tcW w:w="1855" w:type="dxa"/>
          </w:tcPr>
          <w:p w14:paraId="098DB4F5" w14:textId="152C21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Harta Kombëtare e In</w:t>
            </w:r>
            <w:r w:rsidR="00520A1C" w:rsidRPr="00E266CD">
              <w:rPr>
                <w:rFonts w:ascii="Garamond" w:eastAsia="Times New Roman" w:hAnsi="Garamond"/>
                <w:sz w:val="18"/>
                <w:szCs w:val="18"/>
              </w:rPr>
              <w:t>f</w:t>
            </w:r>
            <w:r w:rsidRPr="00E266CD">
              <w:rPr>
                <w:rFonts w:ascii="Garamond" w:eastAsia="Times New Roman" w:hAnsi="Garamond"/>
                <w:sz w:val="18"/>
                <w:szCs w:val="18"/>
              </w:rPr>
              <w:t>rastrukturës së Kërkimit Shkencor</w:t>
            </w:r>
            <w:r w:rsidR="00750D3B">
              <w:rPr>
                <w:rFonts w:ascii="Garamond" w:eastAsia="Times New Roman" w:hAnsi="Garamond"/>
                <w:sz w:val="18"/>
                <w:szCs w:val="18"/>
              </w:rPr>
              <w:t>,</w:t>
            </w:r>
            <w:r w:rsidRPr="00E266CD">
              <w:rPr>
                <w:rFonts w:ascii="Garamond" w:eastAsia="Times New Roman" w:hAnsi="Garamond"/>
                <w:sz w:val="18"/>
                <w:szCs w:val="18"/>
              </w:rPr>
              <w:t xml:space="preserve"> e krijuar në përputhje me ESFRI</w:t>
            </w:r>
          </w:p>
        </w:tc>
        <w:tc>
          <w:tcPr>
            <w:tcW w:w="2358" w:type="dxa"/>
          </w:tcPr>
          <w:p w14:paraId="1C63DBAB" w14:textId="59A00F1D"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3132C3B6"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14D04735"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1.2.c</w:t>
            </w:r>
          </w:p>
        </w:tc>
        <w:tc>
          <w:tcPr>
            <w:tcW w:w="2604" w:type="dxa"/>
          </w:tcPr>
          <w:p w14:paraId="15487FB1" w14:textId="04EF4031"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personelit akademik të IAL</w:t>
            </w:r>
            <w:r w:rsidR="00750D3B">
              <w:rPr>
                <w:rFonts w:ascii="Garamond" w:eastAsia="Times New Roman" w:hAnsi="Garamond"/>
                <w:sz w:val="18"/>
                <w:szCs w:val="18"/>
              </w:rPr>
              <w:t>-ve</w:t>
            </w:r>
            <w:r w:rsidRPr="00E266CD">
              <w:rPr>
                <w:rFonts w:ascii="Garamond" w:eastAsia="Times New Roman" w:hAnsi="Garamond"/>
                <w:sz w:val="18"/>
                <w:szCs w:val="18"/>
              </w:rPr>
              <w:t xml:space="preserve"> trajnuar lidhur me aplikimin në programe ndërkombëtare</w:t>
            </w:r>
          </w:p>
        </w:tc>
        <w:tc>
          <w:tcPr>
            <w:tcW w:w="1803" w:type="dxa"/>
          </w:tcPr>
          <w:p w14:paraId="19576F10"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4A4C7069"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71813D70" w14:textId="2AF5AD2B"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 xml:space="preserve">ritës </w:t>
            </w:r>
          </w:p>
          <w:p w14:paraId="061EF4F7" w14:textId="486EDE6D"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 mbi vitin paraardhës</w:t>
            </w:r>
            <w:r w:rsidR="007715D0" w:rsidRPr="00E266CD">
              <w:rPr>
                <w:rFonts w:ascii="Garamond" w:eastAsia="Times New Roman" w:hAnsi="Garamond"/>
                <w:sz w:val="18"/>
                <w:szCs w:val="18"/>
              </w:rPr>
              <w:t xml:space="preserve"> </w:t>
            </w:r>
          </w:p>
        </w:tc>
        <w:tc>
          <w:tcPr>
            <w:tcW w:w="2358" w:type="dxa"/>
          </w:tcPr>
          <w:p w14:paraId="6CA86432" w14:textId="21A179A2"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p w14:paraId="1318C269"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p w14:paraId="37E6ED84"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r>
      <w:tr w:rsidR="00681134" w:rsidRPr="00E266CD" w14:paraId="7D1FD67C"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038AE008"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1.2.d</w:t>
            </w:r>
          </w:p>
        </w:tc>
        <w:tc>
          <w:tcPr>
            <w:tcW w:w="2604" w:type="dxa"/>
          </w:tcPr>
          <w:p w14:paraId="01C14E41" w14:textId="2D66DE89"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Numri i kërkuesve shqiptarë që kanë përfituar nga programet e shkëmbimit/mobilitetit në kërkim</w:t>
            </w:r>
          </w:p>
        </w:tc>
        <w:tc>
          <w:tcPr>
            <w:tcW w:w="1803" w:type="dxa"/>
          </w:tcPr>
          <w:p w14:paraId="6FE3C1B1"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0F8A9858"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530327E2" w14:textId="7A095541"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p w14:paraId="3B1DE09E" w14:textId="276CDB4A"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 mbi vitin paraardhës</w:t>
            </w:r>
            <w:r w:rsidR="007715D0" w:rsidRPr="00E266CD">
              <w:rPr>
                <w:rFonts w:ascii="Garamond" w:eastAsia="Times New Roman" w:hAnsi="Garamond"/>
                <w:sz w:val="18"/>
                <w:szCs w:val="18"/>
              </w:rPr>
              <w:t xml:space="preserve"> </w:t>
            </w:r>
          </w:p>
        </w:tc>
        <w:tc>
          <w:tcPr>
            <w:tcW w:w="2358" w:type="dxa"/>
          </w:tcPr>
          <w:p w14:paraId="043EED3C" w14:textId="3B834A19"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341A26E2"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49743C05" w14:textId="057EF3B6" w:rsidR="00681134" w:rsidRPr="00E266CD" w:rsidRDefault="00681134" w:rsidP="00695B0D">
            <w:pPr>
              <w:pBdr>
                <w:top w:val="nil"/>
                <w:left w:val="nil"/>
                <w:bottom w:val="nil"/>
                <w:right w:val="nil"/>
                <w:between w:val="nil"/>
              </w:pBdr>
              <w:rPr>
                <w:rFonts w:ascii="Garamond" w:eastAsia="Times New Roman" w:hAnsi="Garamond"/>
                <w:b/>
                <w:color w:val="FFFFFF" w:themeColor="background1"/>
                <w:sz w:val="18"/>
                <w:szCs w:val="18"/>
              </w:rPr>
            </w:pPr>
            <w:r w:rsidRPr="00E266CD">
              <w:rPr>
                <w:rFonts w:ascii="Garamond" w:eastAsia="Times New Roman" w:hAnsi="Garamond"/>
                <w:b/>
                <w:color w:val="FFFFFF" w:themeColor="background1"/>
                <w:sz w:val="18"/>
                <w:szCs w:val="18"/>
              </w:rPr>
              <w:t>Objektiv</w:t>
            </w:r>
            <w:r w:rsidR="00750D3B">
              <w:rPr>
                <w:rFonts w:ascii="Garamond" w:eastAsia="Times New Roman" w:hAnsi="Garamond"/>
                <w:b/>
                <w:color w:val="FFFFFF" w:themeColor="background1"/>
                <w:sz w:val="18"/>
                <w:szCs w:val="18"/>
              </w:rPr>
              <w:t>i</w:t>
            </w:r>
            <w:r w:rsidRPr="00E266CD">
              <w:rPr>
                <w:rFonts w:ascii="Garamond" w:eastAsia="Times New Roman" w:hAnsi="Garamond"/>
                <w:b/>
                <w:color w:val="FFFFFF" w:themeColor="background1"/>
                <w:sz w:val="18"/>
                <w:szCs w:val="18"/>
              </w:rPr>
              <w:t xml:space="preserve"> </w:t>
            </w:r>
            <w:r w:rsidR="00750D3B">
              <w:rPr>
                <w:rFonts w:ascii="Garamond" w:eastAsia="Times New Roman" w:hAnsi="Garamond"/>
                <w:b/>
                <w:color w:val="FFFFFF" w:themeColor="background1"/>
                <w:sz w:val="18"/>
                <w:szCs w:val="18"/>
              </w:rPr>
              <w:t>s</w:t>
            </w:r>
            <w:r w:rsidRPr="00E266CD">
              <w:rPr>
                <w:rFonts w:ascii="Garamond" w:eastAsia="Times New Roman" w:hAnsi="Garamond"/>
                <w:b/>
                <w:color w:val="FFFFFF" w:themeColor="background1"/>
                <w:sz w:val="18"/>
                <w:szCs w:val="18"/>
              </w:rPr>
              <w:t xml:space="preserve">pecifik 1.3 </w:t>
            </w:r>
          </w:p>
        </w:tc>
        <w:tc>
          <w:tcPr>
            <w:tcW w:w="8620" w:type="dxa"/>
            <w:gridSpan w:val="4"/>
          </w:tcPr>
          <w:p w14:paraId="0B2F7817" w14:textId="77777777" w:rsidR="00681134" w:rsidRPr="00E266CD" w:rsidRDefault="00681134" w:rsidP="00695B0D">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Përmirësimi i mbledhjes, përpunimit, interpretimit dhe publikimi i treguesve statistikorë dhe të tjerë të kërkimit, zhvillimit të teknologjisë dhe inovacionit</w:t>
            </w:r>
          </w:p>
          <w:p w14:paraId="371ECFE4" w14:textId="77777777" w:rsidR="00681134" w:rsidRPr="00E266CD" w:rsidRDefault="00681134" w:rsidP="00695B0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8"/>
                <w:szCs w:val="18"/>
              </w:rPr>
            </w:pPr>
          </w:p>
        </w:tc>
      </w:tr>
      <w:tr w:rsidR="00681134" w:rsidRPr="00E266CD" w14:paraId="0FA9FC42"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6A5289C2"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1.3 a</w:t>
            </w:r>
          </w:p>
        </w:tc>
        <w:tc>
          <w:tcPr>
            <w:tcW w:w="2604" w:type="dxa"/>
          </w:tcPr>
          <w:p w14:paraId="7B7BD9A0" w14:textId="71B9B4AD"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Metodologjia e mbledhjes së të dhënave statistikore në fushën e kërkimit shkencor</w:t>
            </w:r>
            <w:r w:rsidR="00750D3B">
              <w:rPr>
                <w:rFonts w:ascii="Garamond" w:eastAsia="Times New Roman" w:hAnsi="Garamond"/>
                <w:sz w:val="18"/>
                <w:szCs w:val="18"/>
              </w:rPr>
              <w:t>,</w:t>
            </w:r>
            <w:r w:rsidRPr="00E266CD">
              <w:rPr>
                <w:rFonts w:ascii="Garamond" w:eastAsia="Times New Roman" w:hAnsi="Garamond"/>
                <w:sz w:val="18"/>
                <w:szCs w:val="18"/>
              </w:rPr>
              <w:t xml:space="preserve"> e hartuar dhe miratuar</w:t>
            </w:r>
          </w:p>
          <w:p w14:paraId="5958BC85" w14:textId="77777777"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p>
        </w:tc>
        <w:tc>
          <w:tcPr>
            <w:tcW w:w="1803" w:type="dxa"/>
          </w:tcPr>
          <w:p w14:paraId="3C451BA6"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42428745"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Metodologjia jo e hartuar</w:t>
            </w:r>
          </w:p>
        </w:tc>
        <w:tc>
          <w:tcPr>
            <w:tcW w:w="1855" w:type="dxa"/>
          </w:tcPr>
          <w:p w14:paraId="0D4C455A" w14:textId="77777777"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Metodologjia e miratuar dhe në fuqi</w:t>
            </w:r>
          </w:p>
        </w:tc>
        <w:tc>
          <w:tcPr>
            <w:tcW w:w="2358" w:type="dxa"/>
          </w:tcPr>
          <w:p w14:paraId="420D34A9" w14:textId="1DB30C43" w:rsidR="00681134" w:rsidRPr="00E266CD" w:rsidRDefault="00681134" w:rsidP="00681134">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r w:rsidRPr="00E266CD">
              <w:rPr>
                <w:rFonts w:ascii="Garamond" w:eastAsia="Times New Roman" w:hAnsi="Garamond"/>
                <w:sz w:val="18"/>
                <w:szCs w:val="18"/>
              </w:rPr>
              <w:t>, INSTAT</w:t>
            </w:r>
            <w:r w:rsidR="00BC4813" w:rsidRPr="00E266CD">
              <w:rPr>
                <w:rFonts w:ascii="Garamond" w:eastAsia="Times New Roman" w:hAnsi="Garamond"/>
                <w:sz w:val="18"/>
                <w:szCs w:val="18"/>
              </w:rPr>
              <w:t>-it</w:t>
            </w:r>
          </w:p>
        </w:tc>
      </w:tr>
      <w:tr w:rsidR="00681134" w:rsidRPr="00E266CD" w14:paraId="545D9DDC"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073F20AF" w14:textId="77777777" w:rsidR="00681134" w:rsidRPr="00E266CD" w:rsidRDefault="00681134" w:rsidP="00695B0D">
            <w:pPr>
              <w:pBdr>
                <w:top w:val="nil"/>
                <w:left w:val="nil"/>
                <w:bottom w:val="nil"/>
                <w:right w:val="nil"/>
                <w:between w:val="nil"/>
              </w:pBdr>
              <w:rPr>
                <w:rFonts w:ascii="Garamond" w:eastAsia="Times New Roman" w:hAnsi="Garamond"/>
                <w:color w:val="FFFFFF" w:themeColor="background1"/>
                <w:sz w:val="18"/>
                <w:szCs w:val="18"/>
              </w:rPr>
            </w:pPr>
            <w:r w:rsidRPr="00E266CD">
              <w:rPr>
                <w:rFonts w:ascii="Garamond" w:eastAsia="Times New Roman" w:hAnsi="Garamond"/>
                <w:color w:val="FFFFFF" w:themeColor="background1"/>
                <w:sz w:val="18"/>
                <w:szCs w:val="18"/>
              </w:rPr>
              <w:t>1.3 b</w:t>
            </w:r>
          </w:p>
        </w:tc>
        <w:tc>
          <w:tcPr>
            <w:tcW w:w="2604" w:type="dxa"/>
          </w:tcPr>
          <w:p w14:paraId="1BD58F9A" w14:textId="108366B8"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stafit të MAS</w:t>
            </w:r>
            <w:r w:rsidR="00750D3B">
              <w:rPr>
                <w:rFonts w:ascii="Garamond" w:eastAsia="Times New Roman" w:hAnsi="Garamond"/>
                <w:sz w:val="18"/>
                <w:szCs w:val="18"/>
              </w:rPr>
              <w:t>-it</w:t>
            </w:r>
            <w:r w:rsidRPr="00E266CD">
              <w:rPr>
                <w:rFonts w:ascii="Garamond" w:eastAsia="Times New Roman" w:hAnsi="Garamond"/>
                <w:sz w:val="18"/>
                <w:szCs w:val="18"/>
              </w:rPr>
              <w:t>, AKKSHI</w:t>
            </w:r>
            <w:r w:rsidR="00750D3B">
              <w:rPr>
                <w:rFonts w:ascii="Garamond" w:eastAsia="Times New Roman" w:hAnsi="Garamond"/>
                <w:sz w:val="18"/>
                <w:szCs w:val="18"/>
              </w:rPr>
              <w:t>-t</w:t>
            </w:r>
            <w:r w:rsidRPr="00E266CD">
              <w:rPr>
                <w:rFonts w:ascii="Garamond" w:eastAsia="Times New Roman" w:hAnsi="Garamond"/>
                <w:sz w:val="18"/>
                <w:szCs w:val="18"/>
              </w:rPr>
              <w:t xml:space="preserve"> të trajnuar mbi mbledhjen, analizën dhe raportimin e standardizuar të statistikave për kërkimin shkencor</w:t>
            </w:r>
          </w:p>
          <w:p w14:paraId="6AF2B8FF" w14:textId="77777777"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03" w:type="dxa"/>
          </w:tcPr>
          <w:p w14:paraId="7CAFF55C"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0564CBD4"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06EC2BCE" w14:textId="77777777"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90%</w:t>
            </w:r>
          </w:p>
        </w:tc>
        <w:tc>
          <w:tcPr>
            <w:tcW w:w="2358" w:type="dxa"/>
          </w:tcPr>
          <w:p w14:paraId="2D59429F" w14:textId="50C70773" w:rsidR="00681134" w:rsidRPr="00E266CD" w:rsidRDefault="00681134" w:rsidP="00681134">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r w:rsidRPr="00E266CD">
              <w:rPr>
                <w:rFonts w:ascii="Garamond" w:eastAsia="Times New Roman" w:hAnsi="Garamond"/>
                <w:sz w:val="18"/>
                <w:szCs w:val="18"/>
              </w:rPr>
              <w:t>, ASPA</w:t>
            </w:r>
            <w:r w:rsidR="00BC4813" w:rsidRPr="00E266CD">
              <w:rPr>
                <w:rFonts w:ascii="Garamond" w:eastAsia="Times New Roman" w:hAnsi="Garamond"/>
                <w:sz w:val="18"/>
                <w:szCs w:val="18"/>
              </w:rPr>
              <w:t>-s</w:t>
            </w:r>
          </w:p>
        </w:tc>
      </w:tr>
      <w:tr w:rsidR="00681134" w:rsidRPr="00E266CD" w14:paraId="561F173F" w14:textId="77777777" w:rsidTr="00750D3B">
        <w:trPr>
          <w:trHeight w:val="660"/>
          <w:jc w:val="center"/>
        </w:trPr>
        <w:tc>
          <w:tcPr>
            <w:cnfStyle w:val="001000000000" w:firstRow="0" w:lastRow="0" w:firstColumn="1" w:lastColumn="0" w:oddVBand="0" w:evenVBand="0" w:oddHBand="0" w:evenHBand="0" w:firstRowFirstColumn="0" w:firstRowLastColumn="0" w:lastRowFirstColumn="0" w:lastRowLastColumn="0"/>
            <w:tcW w:w="9810" w:type="dxa"/>
            <w:gridSpan w:val="5"/>
          </w:tcPr>
          <w:p w14:paraId="463E1100" w14:textId="1C0861F5" w:rsidR="00681134" w:rsidRPr="00E266CD" w:rsidRDefault="00681134" w:rsidP="00750D3B">
            <w:pPr>
              <w:spacing w:line="276" w:lineRule="auto"/>
              <w:rPr>
                <w:rFonts w:ascii="Garamond" w:eastAsia="Times New Roman" w:hAnsi="Garamond"/>
                <w:b/>
                <w:sz w:val="18"/>
                <w:szCs w:val="18"/>
              </w:rPr>
            </w:pPr>
            <w:r w:rsidRPr="00E266CD">
              <w:rPr>
                <w:rFonts w:ascii="Garamond" w:eastAsia="Times New Roman" w:hAnsi="Garamond"/>
                <w:b/>
                <w:sz w:val="18"/>
                <w:szCs w:val="18"/>
              </w:rPr>
              <w:t>Qëllimi i politikës 2:</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Krijimi i një mjedisi që lehtëson dhe inkurajon mekanizmat e ndërveprimit dhe transferimit të teknologjive për bashkëpunim midis komunitetit të kërkimit, ekonomisë,</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inovacionit dhe institucioneve publike</w:t>
            </w:r>
          </w:p>
        </w:tc>
      </w:tr>
      <w:tr w:rsidR="00681134" w:rsidRPr="00E266CD" w14:paraId="796D55A4"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01CBBB76"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2.1.b</w:t>
            </w:r>
          </w:p>
        </w:tc>
        <w:tc>
          <w:tcPr>
            <w:tcW w:w="2604" w:type="dxa"/>
          </w:tcPr>
          <w:p w14:paraId="7FE33CBC" w14:textId="77777777"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Përqindja e projekteve të përbashkëta sipas modelit </w:t>
            </w:r>
            <w:r w:rsidRPr="00E266CD">
              <w:rPr>
                <w:rFonts w:ascii="Garamond" w:eastAsia="Times New Roman" w:hAnsi="Garamond"/>
                <w:i/>
                <w:sz w:val="18"/>
                <w:szCs w:val="18"/>
              </w:rPr>
              <w:t>Quadruple Helix</w:t>
            </w:r>
            <w:r w:rsidRPr="00E266CD">
              <w:rPr>
                <w:rFonts w:ascii="Garamond" w:eastAsia="Times New Roman" w:hAnsi="Garamond"/>
                <w:sz w:val="18"/>
                <w:szCs w:val="18"/>
              </w:rPr>
              <w:t xml:space="preserve"> financuar nga AKKSHI</w:t>
            </w:r>
          </w:p>
          <w:p w14:paraId="4B9DF235" w14:textId="77777777"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03" w:type="dxa"/>
          </w:tcPr>
          <w:p w14:paraId="0561BA0B"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112AE2DC"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354DC181"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50%</w:t>
            </w:r>
          </w:p>
        </w:tc>
        <w:tc>
          <w:tcPr>
            <w:tcW w:w="2358" w:type="dxa"/>
          </w:tcPr>
          <w:p w14:paraId="03053275" w14:textId="7D58CCC3"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7932154F"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727B7C0C"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2.1.c</w:t>
            </w:r>
          </w:p>
        </w:tc>
        <w:tc>
          <w:tcPr>
            <w:tcW w:w="2604" w:type="dxa"/>
          </w:tcPr>
          <w:p w14:paraId="752D2A40" w14:textId="77777777" w:rsidR="00750D3B"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personelit akademik të trajnuar mbi hartimin e projekteve të përbashkëta</w:t>
            </w:r>
          </w:p>
          <w:p w14:paraId="0652D8DE" w14:textId="7BFEB330"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r w:rsidRPr="00E266CD">
              <w:rPr>
                <w:rFonts w:ascii="Garamond" w:eastAsia="Times New Roman" w:hAnsi="Garamond"/>
                <w:i/>
                <w:sz w:val="18"/>
                <w:szCs w:val="18"/>
              </w:rPr>
              <w:t>Quadruple Helix</w:t>
            </w:r>
            <w:r w:rsidRPr="00E266CD">
              <w:rPr>
                <w:rFonts w:ascii="Garamond" w:eastAsia="Times New Roman" w:hAnsi="Garamond"/>
                <w:sz w:val="18"/>
                <w:szCs w:val="18"/>
              </w:rPr>
              <w:t>)</w:t>
            </w:r>
          </w:p>
        </w:tc>
        <w:tc>
          <w:tcPr>
            <w:tcW w:w="1803" w:type="dxa"/>
          </w:tcPr>
          <w:p w14:paraId="33565D8B"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134F6D5F"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6923A11D"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90%</w:t>
            </w:r>
          </w:p>
        </w:tc>
        <w:tc>
          <w:tcPr>
            <w:tcW w:w="2358" w:type="dxa"/>
          </w:tcPr>
          <w:p w14:paraId="16E8B9F1" w14:textId="64B11122"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r w:rsidRPr="00E266CD">
              <w:rPr>
                <w:rFonts w:ascii="Garamond" w:eastAsia="Times New Roman" w:hAnsi="Garamond"/>
                <w:sz w:val="18"/>
                <w:szCs w:val="18"/>
              </w:rPr>
              <w:t>, IAL</w:t>
            </w:r>
            <w:r w:rsidR="00BC4813" w:rsidRPr="00E266CD">
              <w:rPr>
                <w:rFonts w:ascii="Garamond" w:eastAsia="Times New Roman" w:hAnsi="Garamond"/>
                <w:sz w:val="18"/>
                <w:szCs w:val="18"/>
              </w:rPr>
              <w:t>-së</w:t>
            </w:r>
          </w:p>
        </w:tc>
      </w:tr>
      <w:tr w:rsidR="00681134" w:rsidRPr="00E266CD" w14:paraId="3A77C4A2"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116871D6"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2.1.d</w:t>
            </w:r>
          </w:p>
        </w:tc>
        <w:tc>
          <w:tcPr>
            <w:tcW w:w="2604" w:type="dxa"/>
          </w:tcPr>
          <w:p w14:paraId="6EE3D536" w14:textId="6E8A8E1B"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fondeve të AKKSHI</w:t>
            </w:r>
            <w:r w:rsidR="00750D3B">
              <w:rPr>
                <w:rFonts w:ascii="Garamond" w:eastAsia="Times New Roman" w:hAnsi="Garamond"/>
                <w:sz w:val="18"/>
                <w:szCs w:val="18"/>
              </w:rPr>
              <w:t>-t</w:t>
            </w:r>
            <w:r w:rsidRPr="00E266CD">
              <w:rPr>
                <w:rFonts w:ascii="Garamond" w:eastAsia="Times New Roman" w:hAnsi="Garamond"/>
                <w:sz w:val="18"/>
                <w:szCs w:val="18"/>
              </w:rPr>
              <w:t xml:space="preserve"> dedikuar për garantët e përbashkët të komunitetit të kërkuesve shkencor–biznes</w:t>
            </w:r>
          </w:p>
          <w:p w14:paraId="35777AD8" w14:textId="77777777"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03" w:type="dxa"/>
          </w:tcPr>
          <w:p w14:paraId="43B07E9E"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64F65E8B"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5A95F0F5"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2358" w:type="dxa"/>
          </w:tcPr>
          <w:p w14:paraId="4549C783" w14:textId="0E7D34F4"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730C86E1"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1FBF3EBD" w14:textId="2A8683E7" w:rsidR="00681134" w:rsidRPr="00E266CD" w:rsidRDefault="00681134" w:rsidP="00695B0D">
            <w:pPr>
              <w:rPr>
                <w:rFonts w:ascii="Garamond" w:eastAsia="Times New Roman" w:hAnsi="Garamond"/>
                <w:b/>
                <w:sz w:val="18"/>
                <w:szCs w:val="18"/>
              </w:rPr>
            </w:pPr>
            <w:r w:rsidRPr="00E266CD">
              <w:rPr>
                <w:rFonts w:ascii="Garamond" w:eastAsia="Times New Roman" w:hAnsi="Garamond"/>
                <w:b/>
                <w:sz w:val="18"/>
                <w:szCs w:val="18"/>
              </w:rPr>
              <w:t>Objektiv</w:t>
            </w:r>
            <w:r w:rsidR="00750D3B">
              <w:rPr>
                <w:rFonts w:ascii="Garamond" w:eastAsia="Times New Roman" w:hAnsi="Garamond"/>
                <w:b/>
                <w:sz w:val="18"/>
                <w:szCs w:val="18"/>
              </w:rPr>
              <w:t>i</w:t>
            </w:r>
            <w:r w:rsidRPr="00E266CD">
              <w:rPr>
                <w:rFonts w:ascii="Garamond" w:eastAsia="Times New Roman" w:hAnsi="Garamond"/>
                <w:b/>
                <w:sz w:val="18"/>
                <w:szCs w:val="18"/>
              </w:rPr>
              <w:t xml:space="preserve"> specifik 2.3</w:t>
            </w:r>
          </w:p>
        </w:tc>
        <w:tc>
          <w:tcPr>
            <w:tcW w:w="8620" w:type="dxa"/>
            <w:gridSpan w:val="4"/>
          </w:tcPr>
          <w:p w14:paraId="06D6A1DE" w14:textId="547AA0A9"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Rritja e rolit të shkencës dhe inovacionit në zhvillimin teknologjik</w:t>
            </w:r>
          </w:p>
        </w:tc>
      </w:tr>
      <w:tr w:rsidR="00681134" w:rsidRPr="00E266CD" w14:paraId="1E9CA31F"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429F5FA6"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2.3.a</w:t>
            </w:r>
          </w:p>
        </w:tc>
        <w:tc>
          <w:tcPr>
            <w:tcW w:w="2604" w:type="dxa"/>
          </w:tcPr>
          <w:p w14:paraId="77252B28"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projekteve shkencore me ndikim në inovacion dhe zhvillimin teknologjik financuar nga AKKSHI</w:t>
            </w:r>
          </w:p>
        </w:tc>
        <w:tc>
          <w:tcPr>
            <w:tcW w:w="1803" w:type="dxa"/>
          </w:tcPr>
          <w:p w14:paraId="67F5A526"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55CD9A50"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4BA5E466"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2358" w:type="dxa"/>
          </w:tcPr>
          <w:p w14:paraId="36380821" w14:textId="504A796F"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AKKSHI</w:t>
            </w:r>
            <w:r w:rsidR="00BC4813" w:rsidRPr="00E266CD">
              <w:rPr>
                <w:rFonts w:ascii="Garamond" w:eastAsia="Times New Roman" w:hAnsi="Garamond"/>
                <w:sz w:val="18"/>
                <w:szCs w:val="18"/>
              </w:rPr>
              <w:t>-it</w:t>
            </w:r>
          </w:p>
        </w:tc>
      </w:tr>
      <w:tr w:rsidR="00681134" w:rsidRPr="00E266CD" w14:paraId="29078F3C"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7A2A9A86" w14:textId="77777777" w:rsidR="00681134" w:rsidRPr="00E266CD" w:rsidRDefault="00681134" w:rsidP="00695B0D">
            <w:pPr>
              <w:rPr>
                <w:rFonts w:ascii="Garamond" w:eastAsia="Times New Roman" w:hAnsi="Garamond"/>
                <w:b/>
                <w:sz w:val="18"/>
                <w:szCs w:val="18"/>
              </w:rPr>
            </w:pPr>
            <w:r w:rsidRPr="00E266CD">
              <w:rPr>
                <w:rFonts w:ascii="Garamond" w:eastAsia="Times New Roman" w:hAnsi="Garamond"/>
                <w:b/>
                <w:sz w:val="18"/>
                <w:szCs w:val="18"/>
              </w:rPr>
              <w:t>Objektiv Specifik 2.4</w:t>
            </w:r>
          </w:p>
        </w:tc>
        <w:tc>
          <w:tcPr>
            <w:tcW w:w="8620" w:type="dxa"/>
            <w:gridSpan w:val="4"/>
          </w:tcPr>
          <w:p w14:paraId="4F7704B5" w14:textId="77777777" w:rsidR="00681134" w:rsidRPr="00E266CD" w:rsidRDefault="00681134" w:rsidP="00695B0D">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Fuqizimi dhe rritja e kapaciteteve të qendrave të transferimit të teknologjisë për të avancuar njohuritë në një fushë të caktuar ose për të zhvilluar më tej teknologjinë</w:t>
            </w:r>
          </w:p>
          <w:p w14:paraId="23FC81AD" w14:textId="77777777" w:rsidR="00681134" w:rsidRPr="00E266CD" w:rsidRDefault="0068113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p>
        </w:tc>
      </w:tr>
      <w:tr w:rsidR="00681134" w:rsidRPr="00E266CD" w14:paraId="595A9132"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220EABEB"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2.4.a</w:t>
            </w:r>
          </w:p>
        </w:tc>
        <w:tc>
          <w:tcPr>
            <w:tcW w:w="2604" w:type="dxa"/>
          </w:tcPr>
          <w:p w14:paraId="27E615E9" w14:textId="3FEF0AAA"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Numri i qendrave të transferimit të teknologjisë</w:t>
            </w:r>
            <w:r w:rsidR="00750D3B">
              <w:rPr>
                <w:rFonts w:ascii="Garamond" w:eastAsia="Times New Roman" w:hAnsi="Garamond"/>
                <w:sz w:val="18"/>
                <w:szCs w:val="18"/>
              </w:rPr>
              <w:t>,</w:t>
            </w:r>
            <w:r w:rsidRPr="00E266CD">
              <w:rPr>
                <w:rFonts w:ascii="Garamond" w:eastAsia="Times New Roman" w:hAnsi="Garamond"/>
                <w:sz w:val="18"/>
                <w:szCs w:val="18"/>
              </w:rPr>
              <w:t xml:space="preserve"> të ngritura çdo vit</w:t>
            </w:r>
          </w:p>
          <w:p w14:paraId="40E366AF" w14:textId="77777777" w:rsidR="00681134" w:rsidRPr="00E266CD" w:rsidRDefault="00681134" w:rsidP="00681134">
            <w:pPr>
              <w:spacing w:line="276" w:lineRule="auto"/>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03" w:type="dxa"/>
          </w:tcPr>
          <w:p w14:paraId="6EE715A6"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6</w:t>
            </w:r>
          </w:p>
        </w:tc>
        <w:tc>
          <w:tcPr>
            <w:tcW w:w="1855" w:type="dxa"/>
          </w:tcPr>
          <w:p w14:paraId="3236657C" w14:textId="5D807D7C"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tc>
        <w:tc>
          <w:tcPr>
            <w:tcW w:w="2358" w:type="dxa"/>
          </w:tcPr>
          <w:p w14:paraId="6BE01A57" w14:textId="7A71963D"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ML</w:t>
            </w:r>
            <w:r w:rsidR="00BC4813" w:rsidRPr="00E266CD">
              <w:rPr>
                <w:rFonts w:ascii="Garamond" w:eastAsia="Times New Roman" w:hAnsi="Garamond"/>
                <w:sz w:val="18"/>
                <w:szCs w:val="18"/>
              </w:rPr>
              <w:t>-së</w:t>
            </w:r>
          </w:p>
          <w:p w14:paraId="0F5F62B6"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r>
      <w:tr w:rsidR="00681134" w:rsidRPr="00E266CD" w14:paraId="5878C195"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02810408"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2.4.b</w:t>
            </w:r>
          </w:p>
        </w:tc>
        <w:tc>
          <w:tcPr>
            <w:tcW w:w="2604" w:type="dxa"/>
          </w:tcPr>
          <w:p w14:paraId="2A846AB8" w14:textId="747ABD61" w:rsidR="00681134" w:rsidRPr="00E266CD" w:rsidRDefault="00681134" w:rsidP="00681134">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IAL</w:t>
            </w:r>
            <w:r w:rsidR="00750D3B">
              <w:rPr>
                <w:rFonts w:ascii="Garamond" w:eastAsia="Times New Roman" w:hAnsi="Garamond"/>
                <w:sz w:val="18"/>
                <w:szCs w:val="18"/>
              </w:rPr>
              <w:t>-ve</w:t>
            </w:r>
            <w:r w:rsidRPr="00E266CD">
              <w:rPr>
                <w:rFonts w:ascii="Garamond" w:eastAsia="Times New Roman" w:hAnsi="Garamond"/>
                <w:sz w:val="18"/>
                <w:szCs w:val="18"/>
              </w:rPr>
              <w:t xml:space="preserve"> që kanë nënshkruar marrëveshje bashkëpunimi me qendrat e transferimit të teknologjisë</w:t>
            </w:r>
          </w:p>
        </w:tc>
        <w:tc>
          <w:tcPr>
            <w:tcW w:w="1803" w:type="dxa"/>
          </w:tcPr>
          <w:p w14:paraId="34FED715"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2F8E20FD"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7A945403"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70%</w:t>
            </w:r>
          </w:p>
        </w:tc>
        <w:tc>
          <w:tcPr>
            <w:tcW w:w="2358" w:type="dxa"/>
          </w:tcPr>
          <w:p w14:paraId="2767E995" w14:textId="1F9956BC"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IAL</w:t>
            </w:r>
            <w:r w:rsidR="00BC4813" w:rsidRPr="00E266CD">
              <w:rPr>
                <w:rFonts w:ascii="Garamond" w:eastAsia="Times New Roman" w:hAnsi="Garamond"/>
                <w:sz w:val="18"/>
                <w:szCs w:val="18"/>
              </w:rPr>
              <w:t>-së</w:t>
            </w:r>
          </w:p>
        </w:tc>
      </w:tr>
      <w:tr w:rsidR="00681134" w:rsidRPr="00E266CD" w14:paraId="11172590"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10" w:type="dxa"/>
            <w:gridSpan w:val="5"/>
          </w:tcPr>
          <w:p w14:paraId="7A9A6B66" w14:textId="1CCF6815" w:rsidR="00681134" w:rsidRPr="00E266CD" w:rsidRDefault="00681134" w:rsidP="00750D3B">
            <w:pPr>
              <w:spacing w:line="276" w:lineRule="auto"/>
              <w:rPr>
                <w:rFonts w:ascii="Garamond" w:eastAsia="Times New Roman" w:hAnsi="Garamond"/>
                <w:b/>
                <w:sz w:val="18"/>
                <w:szCs w:val="18"/>
              </w:rPr>
            </w:pPr>
            <w:r w:rsidRPr="00E266CD">
              <w:rPr>
                <w:rFonts w:ascii="Garamond" w:eastAsia="Times New Roman" w:hAnsi="Garamond"/>
                <w:b/>
                <w:sz w:val="18"/>
                <w:szCs w:val="18"/>
              </w:rPr>
              <w:t>Qëllimi i politikave 3:</w:t>
            </w:r>
            <w:r w:rsidR="007715D0" w:rsidRPr="00E266CD">
              <w:rPr>
                <w:rFonts w:ascii="Garamond" w:eastAsia="Times New Roman" w:hAnsi="Garamond"/>
                <w:b/>
                <w:sz w:val="18"/>
                <w:szCs w:val="18"/>
              </w:rPr>
              <w:t xml:space="preserve"> </w:t>
            </w:r>
            <w:r w:rsidRPr="00E266CD">
              <w:rPr>
                <w:rFonts w:ascii="Garamond" w:eastAsia="Times New Roman" w:hAnsi="Garamond"/>
                <w:b/>
                <w:sz w:val="18"/>
                <w:szCs w:val="18"/>
              </w:rPr>
              <w:t>Promovimi i kulturës së shkencës dhe inovacionit në edukim për të siguruar një qasje didaktike me theksin në praktikat kërkimore dhe projektet</w:t>
            </w:r>
          </w:p>
        </w:tc>
      </w:tr>
      <w:tr w:rsidR="00681134" w:rsidRPr="00E266CD" w14:paraId="535CC180"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4008C261" w14:textId="6289FB30" w:rsidR="00681134" w:rsidRPr="00E266CD" w:rsidRDefault="00681134" w:rsidP="00695B0D">
            <w:pPr>
              <w:rPr>
                <w:rFonts w:ascii="Garamond" w:eastAsia="Times New Roman" w:hAnsi="Garamond"/>
                <w:b/>
                <w:sz w:val="18"/>
                <w:szCs w:val="18"/>
              </w:rPr>
            </w:pPr>
            <w:r w:rsidRPr="00E266CD">
              <w:rPr>
                <w:rFonts w:ascii="Garamond" w:eastAsia="Times New Roman" w:hAnsi="Garamond"/>
                <w:b/>
                <w:sz w:val="18"/>
                <w:szCs w:val="18"/>
              </w:rPr>
              <w:t>Objektiv</w:t>
            </w:r>
            <w:r w:rsidR="00750D3B">
              <w:rPr>
                <w:rFonts w:ascii="Garamond" w:eastAsia="Times New Roman" w:hAnsi="Garamond"/>
                <w:b/>
                <w:sz w:val="18"/>
                <w:szCs w:val="18"/>
              </w:rPr>
              <w:t>i</w:t>
            </w:r>
            <w:r w:rsidRPr="00E266CD">
              <w:rPr>
                <w:rFonts w:ascii="Garamond" w:eastAsia="Times New Roman" w:hAnsi="Garamond"/>
                <w:b/>
                <w:sz w:val="18"/>
                <w:szCs w:val="18"/>
              </w:rPr>
              <w:t xml:space="preserve"> </w:t>
            </w:r>
            <w:r w:rsidR="00750D3B">
              <w:rPr>
                <w:rFonts w:ascii="Garamond" w:eastAsia="Times New Roman" w:hAnsi="Garamond"/>
                <w:b/>
                <w:sz w:val="18"/>
                <w:szCs w:val="18"/>
              </w:rPr>
              <w:t>s</w:t>
            </w:r>
            <w:r w:rsidRPr="00E266CD">
              <w:rPr>
                <w:rFonts w:ascii="Garamond" w:eastAsia="Times New Roman" w:hAnsi="Garamond"/>
                <w:b/>
                <w:sz w:val="18"/>
                <w:szCs w:val="18"/>
              </w:rPr>
              <w:t>pecifik 3.1</w:t>
            </w:r>
          </w:p>
        </w:tc>
        <w:tc>
          <w:tcPr>
            <w:tcW w:w="8620" w:type="dxa"/>
            <w:gridSpan w:val="4"/>
          </w:tcPr>
          <w:p w14:paraId="2B15DE81" w14:textId="2E3FE5DE" w:rsidR="00681134" w:rsidRPr="00E266CD" w:rsidRDefault="00681134" w:rsidP="00695B0D">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Reformimi i kurrikulës së shkencës në arsimi</w:t>
            </w:r>
            <w:r w:rsidR="00750D3B">
              <w:rPr>
                <w:rFonts w:ascii="Garamond" w:eastAsia="Times New Roman" w:hAnsi="Garamond"/>
                <w:b/>
                <w:sz w:val="18"/>
                <w:szCs w:val="18"/>
              </w:rPr>
              <w:t>n</w:t>
            </w:r>
            <w:r w:rsidRPr="00E266CD">
              <w:rPr>
                <w:rFonts w:ascii="Garamond" w:eastAsia="Times New Roman" w:hAnsi="Garamond"/>
                <w:b/>
                <w:sz w:val="18"/>
                <w:szCs w:val="18"/>
              </w:rPr>
              <w:t xml:space="preserve"> parauniversitar duke përfshire STEM</w:t>
            </w:r>
            <w:r w:rsidR="00750D3B">
              <w:rPr>
                <w:rFonts w:ascii="Garamond" w:eastAsia="Times New Roman" w:hAnsi="Garamond"/>
                <w:b/>
                <w:sz w:val="18"/>
                <w:szCs w:val="18"/>
              </w:rPr>
              <w:t>-in</w:t>
            </w:r>
            <w:r w:rsidRPr="00E266CD">
              <w:rPr>
                <w:rFonts w:ascii="Garamond" w:eastAsia="Times New Roman" w:hAnsi="Garamond"/>
                <w:b/>
                <w:sz w:val="18"/>
                <w:szCs w:val="18"/>
              </w:rPr>
              <w:t xml:space="preserve"> </w:t>
            </w:r>
            <w:r w:rsidR="00BF1624" w:rsidRPr="00E266CD">
              <w:rPr>
                <w:rFonts w:ascii="Garamond" w:eastAsia="Times New Roman" w:hAnsi="Garamond"/>
                <w:b/>
                <w:sz w:val="18"/>
                <w:szCs w:val="18"/>
              </w:rPr>
              <w:t>në</w:t>
            </w:r>
            <w:r w:rsidRPr="00E266CD">
              <w:rPr>
                <w:rFonts w:ascii="Garamond" w:eastAsia="Times New Roman" w:hAnsi="Garamond"/>
                <w:b/>
                <w:sz w:val="18"/>
                <w:szCs w:val="18"/>
              </w:rPr>
              <w:t xml:space="preserve"> edukim</w:t>
            </w:r>
          </w:p>
          <w:p w14:paraId="0105B77C" w14:textId="77777777" w:rsidR="00681134" w:rsidRPr="00E266CD" w:rsidRDefault="0068113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p>
        </w:tc>
      </w:tr>
      <w:tr w:rsidR="00681134" w:rsidRPr="00E266CD" w14:paraId="64595128"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287820D9"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3.1.a</w:t>
            </w:r>
          </w:p>
        </w:tc>
        <w:tc>
          <w:tcPr>
            <w:tcW w:w="2604" w:type="dxa"/>
          </w:tcPr>
          <w:p w14:paraId="2390DF81" w14:textId="386E65A6"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Kurrikula e arsimit parauniversitar e reformuar me qëllim përfshirjen e STEM</w:t>
            </w:r>
            <w:r w:rsidR="00750D3B">
              <w:rPr>
                <w:rFonts w:ascii="Garamond" w:eastAsia="Times New Roman" w:hAnsi="Garamond"/>
                <w:sz w:val="18"/>
                <w:szCs w:val="18"/>
              </w:rPr>
              <w:t>-it</w:t>
            </w:r>
          </w:p>
        </w:tc>
        <w:tc>
          <w:tcPr>
            <w:tcW w:w="1803" w:type="dxa"/>
          </w:tcPr>
          <w:p w14:paraId="07DB13F6"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2021</w:t>
            </w:r>
          </w:p>
          <w:p w14:paraId="7A996B67" w14:textId="7AA8C277" w:rsidR="00681134" w:rsidRPr="00E266CD" w:rsidRDefault="00520A1C" w:rsidP="00520A1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 </w:t>
            </w:r>
            <w:r w:rsidR="00681134" w:rsidRPr="00E266CD">
              <w:rPr>
                <w:rFonts w:ascii="Garamond" w:eastAsia="Times New Roman" w:hAnsi="Garamond"/>
                <w:sz w:val="18"/>
                <w:szCs w:val="18"/>
              </w:rPr>
              <w:t>Kurrikula jo e reformuar</w:t>
            </w:r>
          </w:p>
        </w:tc>
        <w:tc>
          <w:tcPr>
            <w:tcW w:w="1855" w:type="dxa"/>
          </w:tcPr>
          <w:p w14:paraId="6ABA409B" w14:textId="5E9ABA66"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STEM</w:t>
            </w:r>
            <w:r w:rsidR="00750D3B">
              <w:rPr>
                <w:rFonts w:ascii="Garamond" w:eastAsia="Times New Roman" w:hAnsi="Garamond"/>
                <w:sz w:val="18"/>
                <w:szCs w:val="18"/>
              </w:rPr>
              <w:t>-i</w:t>
            </w:r>
            <w:r w:rsidRPr="00E266CD">
              <w:rPr>
                <w:rFonts w:ascii="Garamond" w:eastAsia="Times New Roman" w:hAnsi="Garamond"/>
                <w:sz w:val="18"/>
                <w:szCs w:val="18"/>
              </w:rPr>
              <w:t xml:space="preserve"> i përfshirë në kurrikulën e arsimit parauniversitar</w:t>
            </w:r>
          </w:p>
        </w:tc>
        <w:tc>
          <w:tcPr>
            <w:tcW w:w="2358" w:type="dxa"/>
          </w:tcPr>
          <w:p w14:paraId="064D739F" w14:textId="12D5B3AE"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37354A46"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518B66CA"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3.1.b</w:t>
            </w:r>
          </w:p>
        </w:tc>
        <w:tc>
          <w:tcPr>
            <w:tcW w:w="2604" w:type="dxa"/>
          </w:tcPr>
          <w:p w14:paraId="6BF32580" w14:textId="70EDB81D"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punonjësve të arsimit parauniversitar të trajnuar mbi shkrimin e projekteve kërkimore</w:t>
            </w:r>
          </w:p>
        </w:tc>
        <w:tc>
          <w:tcPr>
            <w:tcW w:w="1803" w:type="dxa"/>
          </w:tcPr>
          <w:p w14:paraId="69F2A2B2"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1C5888F8"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0B8B40B4" w14:textId="1E44D46D"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p w14:paraId="783DEC1D" w14:textId="77777777"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+5% </w:t>
            </w:r>
          </w:p>
        </w:tc>
        <w:tc>
          <w:tcPr>
            <w:tcW w:w="2358" w:type="dxa"/>
          </w:tcPr>
          <w:p w14:paraId="7A98139C" w14:textId="7F2780A9" w:rsidR="00681134" w:rsidRPr="00E266CD" w:rsidRDefault="00681134" w:rsidP="00681134">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7F879079" w14:textId="77777777" w:rsidTr="006811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0" w:type="dxa"/>
          </w:tcPr>
          <w:p w14:paraId="126F29FD"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3.1.c</w:t>
            </w:r>
          </w:p>
        </w:tc>
        <w:tc>
          <w:tcPr>
            <w:tcW w:w="2604" w:type="dxa"/>
          </w:tcPr>
          <w:p w14:paraId="4DAA781F" w14:textId="6ABD214D"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Numri i fushatave të informimit në nivel të arsimit parauniversitar në fushën e shkencës, teknologjisë dhe inovacionit</w:t>
            </w:r>
          </w:p>
        </w:tc>
        <w:tc>
          <w:tcPr>
            <w:tcW w:w="1803" w:type="dxa"/>
          </w:tcPr>
          <w:p w14:paraId="1FCF135B"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70BE9A7C"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r w:rsidR="00332E22" w:rsidRPr="00E266CD">
              <w:rPr>
                <w:rFonts w:ascii="Garamond" w:eastAsia="Times New Roman" w:hAnsi="Garamond"/>
                <w:sz w:val="18"/>
                <w:szCs w:val="18"/>
              </w:rPr>
              <w:t>.</w:t>
            </w:r>
          </w:p>
          <w:p w14:paraId="66265895" w14:textId="59B0DA96" w:rsidR="00332E22" w:rsidRPr="00E266CD" w:rsidRDefault="00332E22"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p>
        </w:tc>
        <w:tc>
          <w:tcPr>
            <w:tcW w:w="1855" w:type="dxa"/>
          </w:tcPr>
          <w:p w14:paraId="682133C1" w14:textId="04F91E25"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 xml:space="preserve">Trend </w:t>
            </w:r>
            <w:r w:rsidR="00750D3B">
              <w:rPr>
                <w:rFonts w:ascii="Garamond" w:eastAsia="Times New Roman" w:hAnsi="Garamond"/>
                <w:sz w:val="18"/>
                <w:szCs w:val="18"/>
              </w:rPr>
              <w:t>r</w:t>
            </w:r>
            <w:r w:rsidRPr="00E266CD">
              <w:rPr>
                <w:rFonts w:ascii="Garamond" w:eastAsia="Times New Roman" w:hAnsi="Garamond"/>
                <w:sz w:val="18"/>
                <w:szCs w:val="18"/>
              </w:rPr>
              <w:t>ritës</w:t>
            </w:r>
          </w:p>
        </w:tc>
        <w:tc>
          <w:tcPr>
            <w:tcW w:w="2358" w:type="dxa"/>
          </w:tcPr>
          <w:p w14:paraId="5CCB54F8" w14:textId="329B4EAA"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Raportet e MAS</w:t>
            </w:r>
            <w:r w:rsidR="00BC4813" w:rsidRPr="00E266CD">
              <w:rPr>
                <w:rFonts w:ascii="Garamond" w:eastAsia="Times New Roman" w:hAnsi="Garamond"/>
                <w:sz w:val="18"/>
                <w:szCs w:val="18"/>
              </w:rPr>
              <w:t>-it</w:t>
            </w:r>
          </w:p>
        </w:tc>
      </w:tr>
      <w:tr w:rsidR="00681134" w:rsidRPr="00E266CD" w14:paraId="16AB59E3" w14:textId="77777777" w:rsidTr="00681134">
        <w:trPr>
          <w:jc w:val="center"/>
        </w:trPr>
        <w:tc>
          <w:tcPr>
            <w:cnfStyle w:val="001000000000" w:firstRow="0" w:lastRow="0" w:firstColumn="1" w:lastColumn="0" w:oddVBand="0" w:evenVBand="0" w:oddHBand="0" w:evenHBand="0" w:firstRowFirstColumn="0" w:firstRowLastColumn="0" w:lastRowFirstColumn="0" w:lastRowLastColumn="0"/>
            <w:tcW w:w="1190" w:type="dxa"/>
          </w:tcPr>
          <w:p w14:paraId="0EBE5EC2" w14:textId="0897B76B" w:rsidR="00681134" w:rsidRPr="00E266CD" w:rsidRDefault="00681134" w:rsidP="00695B0D">
            <w:pPr>
              <w:rPr>
                <w:rFonts w:ascii="Garamond" w:eastAsia="Times New Roman" w:hAnsi="Garamond"/>
                <w:b/>
                <w:sz w:val="18"/>
                <w:szCs w:val="18"/>
              </w:rPr>
            </w:pPr>
            <w:r w:rsidRPr="00E266CD">
              <w:rPr>
                <w:rFonts w:ascii="Garamond" w:eastAsia="Times New Roman" w:hAnsi="Garamond"/>
                <w:b/>
                <w:sz w:val="18"/>
                <w:szCs w:val="18"/>
              </w:rPr>
              <w:t>Objektiv</w:t>
            </w:r>
            <w:r w:rsidR="00750D3B">
              <w:rPr>
                <w:rFonts w:ascii="Garamond" w:eastAsia="Times New Roman" w:hAnsi="Garamond"/>
                <w:b/>
                <w:sz w:val="18"/>
                <w:szCs w:val="18"/>
              </w:rPr>
              <w:t>i</w:t>
            </w:r>
            <w:r w:rsidRPr="00E266CD">
              <w:rPr>
                <w:rFonts w:ascii="Garamond" w:eastAsia="Times New Roman" w:hAnsi="Garamond"/>
                <w:b/>
                <w:sz w:val="18"/>
                <w:szCs w:val="18"/>
              </w:rPr>
              <w:t xml:space="preserve"> specifik 3.2</w:t>
            </w:r>
          </w:p>
        </w:tc>
        <w:tc>
          <w:tcPr>
            <w:tcW w:w="8620" w:type="dxa"/>
            <w:gridSpan w:val="4"/>
          </w:tcPr>
          <w:p w14:paraId="6BFE5262" w14:textId="22B804AA" w:rsidR="00681134" w:rsidRPr="00E266CD" w:rsidRDefault="00681134" w:rsidP="00750D3B">
            <w:pPr>
              <w:spacing w:line="276" w:lineRule="auto"/>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Sensibilizimi n</w:t>
            </w:r>
            <w:r w:rsidR="00BF1624" w:rsidRPr="00E266CD">
              <w:rPr>
                <w:rFonts w:ascii="Garamond" w:eastAsia="Times New Roman" w:hAnsi="Garamond"/>
                <w:b/>
                <w:sz w:val="18"/>
                <w:szCs w:val="18"/>
              </w:rPr>
              <w:t>ë</w:t>
            </w:r>
            <w:r w:rsidRPr="00E266CD">
              <w:rPr>
                <w:rFonts w:ascii="Garamond" w:eastAsia="Times New Roman" w:hAnsi="Garamond"/>
                <w:b/>
                <w:sz w:val="18"/>
                <w:szCs w:val="18"/>
              </w:rPr>
              <w:t xml:space="preserve"> t</w:t>
            </w:r>
            <w:r w:rsidR="00BF1624" w:rsidRPr="00E266CD">
              <w:rPr>
                <w:rFonts w:ascii="Garamond" w:eastAsia="Times New Roman" w:hAnsi="Garamond"/>
                <w:b/>
                <w:sz w:val="18"/>
                <w:szCs w:val="18"/>
              </w:rPr>
              <w:t>ë</w:t>
            </w:r>
            <w:r w:rsidRPr="00E266CD">
              <w:rPr>
                <w:rFonts w:ascii="Garamond" w:eastAsia="Times New Roman" w:hAnsi="Garamond"/>
                <w:b/>
                <w:sz w:val="18"/>
                <w:szCs w:val="18"/>
              </w:rPr>
              <w:t xml:space="preserve"> gjitha nivelet e edukimit parauniversitar, për fuqizimin e rolit të të rinjve n</w:t>
            </w:r>
            <w:r w:rsidR="00BF1624" w:rsidRPr="00E266CD">
              <w:rPr>
                <w:rFonts w:ascii="Garamond" w:eastAsia="Times New Roman" w:hAnsi="Garamond"/>
                <w:b/>
                <w:sz w:val="18"/>
                <w:szCs w:val="18"/>
              </w:rPr>
              <w:t>ë</w:t>
            </w:r>
            <w:r w:rsidRPr="00E266CD">
              <w:rPr>
                <w:rFonts w:ascii="Garamond" w:eastAsia="Times New Roman" w:hAnsi="Garamond"/>
                <w:b/>
                <w:sz w:val="18"/>
                <w:szCs w:val="18"/>
              </w:rPr>
              <w:t xml:space="preserve"> kërkim dhe inovacion</w:t>
            </w:r>
          </w:p>
        </w:tc>
      </w:tr>
      <w:tr w:rsidR="00681134" w:rsidRPr="00E266CD" w14:paraId="1896BC38" w14:textId="77777777" w:rsidTr="00681134">
        <w:trPr>
          <w:cnfStyle w:val="000000100000" w:firstRow="0" w:lastRow="0" w:firstColumn="0" w:lastColumn="0" w:oddVBand="0" w:evenVBand="0" w:oddHBand="1" w:evenHBand="0" w:firstRowFirstColumn="0" w:firstRowLastColumn="0" w:lastRowFirstColumn="0" w:lastRowLastColumn="0"/>
          <w:trHeight w:val="1214"/>
          <w:jc w:val="center"/>
        </w:trPr>
        <w:tc>
          <w:tcPr>
            <w:cnfStyle w:val="001000000000" w:firstRow="0" w:lastRow="0" w:firstColumn="1" w:lastColumn="0" w:oddVBand="0" w:evenVBand="0" w:oddHBand="0" w:evenHBand="0" w:firstRowFirstColumn="0" w:firstRowLastColumn="0" w:lastRowFirstColumn="0" w:lastRowLastColumn="0"/>
            <w:tcW w:w="1190" w:type="dxa"/>
          </w:tcPr>
          <w:p w14:paraId="46A41CAD"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 xml:space="preserve"> 3.2.a</w:t>
            </w:r>
          </w:p>
        </w:tc>
        <w:tc>
          <w:tcPr>
            <w:tcW w:w="2604" w:type="dxa"/>
          </w:tcPr>
          <w:p w14:paraId="20ECF011" w14:textId="1BDABD29"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Numri</w:t>
            </w:r>
            <w:r w:rsidR="007715D0" w:rsidRPr="00E266CD">
              <w:rPr>
                <w:rFonts w:ascii="Garamond" w:eastAsia="Times New Roman" w:hAnsi="Garamond"/>
                <w:sz w:val="18"/>
                <w:szCs w:val="18"/>
              </w:rPr>
              <w:t xml:space="preserve"> </w:t>
            </w:r>
            <w:r w:rsidRPr="00E266CD">
              <w:rPr>
                <w:rFonts w:ascii="Garamond" w:eastAsia="Times New Roman" w:hAnsi="Garamond"/>
                <w:sz w:val="18"/>
                <w:szCs w:val="18"/>
              </w:rPr>
              <w:t xml:space="preserve">fushatave </w:t>
            </w:r>
            <w:r w:rsidR="00750D3B">
              <w:rPr>
                <w:rFonts w:ascii="Garamond" w:eastAsia="Times New Roman" w:hAnsi="Garamond"/>
                <w:sz w:val="18"/>
                <w:szCs w:val="18"/>
              </w:rPr>
              <w:t xml:space="preserve">të </w:t>
            </w:r>
            <w:r w:rsidRPr="00E266CD">
              <w:rPr>
                <w:rFonts w:ascii="Garamond" w:eastAsia="Times New Roman" w:hAnsi="Garamond"/>
                <w:sz w:val="18"/>
                <w:szCs w:val="18"/>
              </w:rPr>
              <w:t>ndërgjegjësimit me nxënësit/nxënëset e klasave të 9</w:t>
            </w:r>
            <w:r w:rsidR="00750D3B">
              <w:rPr>
                <w:rFonts w:ascii="Garamond" w:eastAsia="Times New Roman" w:hAnsi="Garamond"/>
                <w:sz w:val="18"/>
                <w:szCs w:val="18"/>
              </w:rPr>
              <w:t>-ta</w:t>
            </w:r>
            <w:r w:rsidRPr="00E266CD">
              <w:rPr>
                <w:rFonts w:ascii="Garamond" w:eastAsia="Times New Roman" w:hAnsi="Garamond"/>
                <w:sz w:val="18"/>
                <w:szCs w:val="18"/>
              </w:rPr>
              <w:t xml:space="preserve"> dhe nxënësit/nxënëset e gjimnazeve për mundësitë që vijnë nga përfshirja në kërkim dhe inovacion</w:t>
            </w:r>
          </w:p>
        </w:tc>
        <w:tc>
          <w:tcPr>
            <w:tcW w:w="1803" w:type="dxa"/>
          </w:tcPr>
          <w:p w14:paraId="3CC28023"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2021</w:t>
            </w:r>
          </w:p>
          <w:p w14:paraId="0CBA8EE4"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6C0881F0"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 rritje mbi vitin paraardhës</w:t>
            </w:r>
          </w:p>
        </w:tc>
        <w:tc>
          <w:tcPr>
            <w:tcW w:w="2358" w:type="dxa"/>
          </w:tcPr>
          <w:p w14:paraId="1D6DCE79" w14:textId="0CCC679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Të dhënat e MAS</w:t>
            </w:r>
            <w:r w:rsidR="00BC4813" w:rsidRPr="00E266CD">
              <w:rPr>
                <w:rFonts w:ascii="Garamond" w:eastAsia="Times New Roman" w:hAnsi="Garamond"/>
                <w:sz w:val="18"/>
                <w:szCs w:val="18"/>
              </w:rPr>
              <w:t>-it</w:t>
            </w:r>
          </w:p>
        </w:tc>
      </w:tr>
      <w:tr w:rsidR="00681134" w:rsidRPr="00E266CD" w14:paraId="6A507A2F" w14:textId="77777777" w:rsidTr="00750D3B">
        <w:trPr>
          <w:trHeight w:val="525"/>
          <w:jc w:val="center"/>
        </w:trPr>
        <w:tc>
          <w:tcPr>
            <w:cnfStyle w:val="001000000000" w:firstRow="0" w:lastRow="0" w:firstColumn="1" w:lastColumn="0" w:oddVBand="0" w:evenVBand="0" w:oddHBand="0" w:evenHBand="0" w:firstRowFirstColumn="0" w:firstRowLastColumn="0" w:lastRowFirstColumn="0" w:lastRowLastColumn="0"/>
            <w:tcW w:w="1190" w:type="dxa"/>
          </w:tcPr>
          <w:p w14:paraId="69BF7606" w14:textId="2E604597" w:rsidR="00681134" w:rsidRPr="00E266CD" w:rsidRDefault="00681134" w:rsidP="00695B0D">
            <w:pPr>
              <w:rPr>
                <w:rFonts w:ascii="Garamond" w:eastAsia="Times New Roman" w:hAnsi="Garamond"/>
                <w:b/>
                <w:sz w:val="18"/>
                <w:szCs w:val="18"/>
              </w:rPr>
            </w:pPr>
            <w:r w:rsidRPr="00E266CD">
              <w:rPr>
                <w:rFonts w:ascii="Garamond" w:eastAsia="Times New Roman" w:hAnsi="Garamond"/>
                <w:b/>
                <w:sz w:val="18"/>
                <w:szCs w:val="18"/>
              </w:rPr>
              <w:t>Objektiv</w:t>
            </w:r>
            <w:r w:rsidR="00750D3B">
              <w:rPr>
                <w:rFonts w:ascii="Garamond" w:eastAsia="Times New Roman" w:hAnsi="Garamond"/>
                <w:b/>
                <w:sz w:val="18"/>
                <w:szCs w:val="18"/>
              </w:rPr>
              <w:t>i</w:t>
            </w:r>
            <w:r w:rsidRPr="00E266CD">
              <w:rPr>
                <w:rFonts w:ascii="Garamond" w:eastAsia="Times New Roman" w:hAnsi="Garamond"/>
                <w:b/>
                <w:sz w:val="18"/>
                <w:szCs w:val="18"/>
              </w:rPr>
              <w:t xml:space="preserve"> </w:t>
            </w:r>
            <w:r w:rsidR="00750D3B">
              <w:rPr>
                <w:rFonts w:ascii="Garamond" w:eastAsia="Times New Roman" w:hAnsi="Garamond"/>
                <w:b/>
                <w:sz w:val="18"/>
                <w:szCs w:val="18"/>
              </w:rPr>
              <w:t>s</w:t>
            </w:r>
            <w:r w:rsidRPr="00E266CD">
              <w:rPr>
                <w:rFonts w:ascii="Garamond" w:eastAsia="Times New Roman" w:hAnsi="Garamond"/>
                <w:b/>
                <w:sz w:val="18"/>
                <w:szCs w:val="18"/>
              </w:rPr>
              <w:t>pecifik 3.3</w:t>
            </w:r>
          </w:p>
        </w:tc>
        <w:tc>
          <w:tcPr>
            <w:tcW w:w="8620" w:type="dxa"/>
            <w:gridSpan w:val="4"/>
          </w:tcPr>
          <w:p w14:paraId="711FC188" w14:textId="77777777" w:rsidR="00681134" w:rsidRPr="00E266CD" w:rsidRDefault="00681134" w:rsidP="00695B0D">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b/>
                <w:sz w:val="18"/>
                <w:szCs w:val="18"/>
              </w:rPr>
            </w:pPr>
            <w:r w:rsidRPr="00E266CD">
              <w:rPr>
                <w:rFonts w:ascii="Garamond" w:eastAsia="Times New Roman" w:hAnsi="Garamond"/>
                <w:b/>
                <w:sz w:val="18"/>
                <w:szCs w:val="18"/>
              </w:rPr>
              <w:t>Zhvillimi i kompetencës digjitale</w:t>
            </w:r>
          </w:p>
        </w:tc>
      </w:tr>
      <w:tr w:rsidR="00681134" w:rsidRPr="00E266CD" w14:paraId="66FFD9BD" w14:textId="77777777" w:rsidTr="00681134">
        <w:trPr>
          <w:cnfStyle w:val="000000100000" w:firstRow="0" w:lastRow="0" w:firstColumn="0" w:lastColumn="0" w:oddVBand="0" w:evenVBand="0" w:oddHBand="1" w:evenHBand="0" w:firstRowFirstColumn="0" w:firstRowLastColumn="0" w:lastRowFirstColumn="0" w:lastRowLastColumn="0"/>
          <w:trHeight w:val="1214"/>
          <w:jc w:val="center"/>
        </w:trPr>
        <w:tc>
          <w:tcPr>
            <w:cnfStyle w:val="001000000000" w:firstRow="0" w:lastRow="0" w:firstColumn="1" w:lastColumn="0" w:oddVBand="0" w:evenVBand="0" w:oddHBand="0" w:evenHBand="0" w:firstRowFirstColumn="0" w:firstRowLastColumn="0" w:lastRowFirstColumn="0" w:lastRowLastColumn="0"/>
            <w:tcW w:w="1190" w:type="dxa"/>
          </w:tcPr>
          <w:p w14:paraId="2C6C5FFA" w14:textId="77777777" w:rsidR="00681134" w:rsidRPr="00E266CD" w:rsidRDefault="00681134" w:rsidP="00695B0D">
            <w:pPr>
              <w:rPr>
                <w:rFonts w:ascii="Garamond" w:eastAsia="Times New Roman" w:hAnsi="Garamond"/>
                <w:sz w:val="18"/>
                <w:szCs w:val="18"/>
              </w:rPr>
            </w:pPr>
            <w:r w:rsidRPr="00E266CD">
              <w:rPr>
                <w:rFonts w:ascii="Garamond" w:eastAsia="Times New Roman" w:hAnsi="Garamond"/>
                <w:sz w:val="18"/>
                <w:szCs w:val="18"/>
              </w:rPr>
              <w:t>3.3.a</w:t>
            </w:r>
          </w:p>
        </w:tc>
        <w:tc>
          <w:tcPr>
            <w:tcW w:w="2604" w:type="dxa"/>
          </w:tcPr>
          <w:p w14:paraId="54AAB9CF"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Përqindja e mësuesve të trajnuar mbi kompetencat digjitale</w:t>
            </w:r>
          </w:p>
        </w:tc>
        <w:tc>
          <w:tcPr>
            <w:tcW w:w="1803" w:type="dxa"/>
          </w:tcPr>
          <w:p w14:paraId="34A718AF"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2022</w:t>
            </w:r>
          </w:p>
          <w:p w14:paraId="096ACD4A"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w:t>
            </w:r>
          </w:p>
        </w:tc>
        <w:tc>
          <w:tcPr>
            <w:tcW w:w="1855" w:type="dxa"/>
          </w:tcPr>
          <w:p w14:paraId="61524FF2" w14:textId="77777777"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5% rritje mbi vitin paraardhës</w:t>
            </w:r>
          </w:p>
        </w:tc>
        <w:tc>
          <w:tcPr>
            <w:tcW w:w="2358" w:type="dxa"/>
          </w:tcPr>
          <w:p w14:paraId="2DD1DC5E" w14:textId="2FBA7188" w:rsidR="00681134" w:rsidRPr="00E266CD" w:rsidRDefault="00681134" w:rsidP="00681134">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8"/>
                <w:szCs w:val="18"/>
              </w:rPr>
            </w:pPr>
            <w:r w:rsidRPr="00E266CD">
              <w:rPr>
                <w:rFonts w:ascii="Garamond" w:eastAsia="Times New Roman" w:hAnsi="Garamond"/>
                <w:sz w:val="18"/>
                <w:szCs w:val="18"/>
              </w:rPr>
              <w:t>Të dhënat e MAS</w:t>
            </w:r>
            <w:r w:rsidR="00BC4813" w:rsidRPr="00E266CD">
              <w:rPr>
                <w:rFonts w:ascii="Garamond" w:eastAsia="Times New Roman" w:hAnsi="Garamond"/>
                <w:sz w:val="18"/>
                <w:szCs w:val="18"/>
              </w:rPr>
              <w:t>-it</w:t>
            </w:r>
          </w:p>
        </w:tc>
      </w:tr>
    </w:tbl>
    <w:p w14:paraId="00510E77" w14:textId="77777777" w:rsidR="00681134" w:rsidRPr="00E266CD" w:rsidRDefault="00681134" w:rsidP="00681134">
      <w:pPr>
        <w:rPr>
          <w:rFonts w:ascii="Garamond" w:eastAsia="Times New Roman" w:hAnsi="Garamond"/>
          <w:sz w:val="18"/>
          <w:szCs w:val="18"/>
        </w:rPr>
      </w:pPr>
    </w:p>
    <w:p w14:paraId="40A4A6CC" w14:textId="77777777" w:rsidR="00681134" w:rsidRPr="00E266CD" w:rsidRDefault="00681134" w:rsidP="00A63DCF">
      <w:pPr>
        <w:pStyle w:val="TEKSTIIII"/>
      </w:pPr>
    </w:p>
    <w:sectPr w:rsidR="00681134" w:rsidRPr="00E266CD" w:rsidSect="007B4732">
      <w:pgSz w:w="11907" w:h="16839" w:code="9"/>
      <w:pgMar w:top="1418" w:right="1418" w:bottom="1418" w:left="1418" w:header="1304" w:footer="1134"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68AAF" w14:textId="77777777" w:rsidR="007D5D04" w:rsidRDefault="007D5D04" w:rsidP="001D2067">
      <w:r>
        <w:separator/>
      </w:r>
    </w:p>
  </w:endnote>
  <w:endnote w:type="continuationSeparator" w:id="0">
    <w:p w14:paraId="196960E5" w14:textId="77777777" w:rsidR="007D5D04" w:rsidRDefault="007D5D04" w:rsidP="001D2067">
      <w:r>
        <w:continuationSeparator/>
      </w:r>
    </w:p>
  </w:endnote>
  <w:endnote w:type="continuationNotice" w:id="1">
    <w:p w14:paraId="57243222" w14:textId="77777777" w:rsidR="007D5D04" w:rsidRDefault="007D5D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2000028F" w:usb1="00000002" w:usb2="00000000" w:usb3="00000000" w:csb0="0000019F" w:csb1="00000000"/>
  </w:font>
  <w:font w:name="CG Times">
    <w:altName w:val="Times New Roman"/>
    <w:charset w:val="00"/>
    <w:family w:val="roman"/>
    <w:pitch w:val="variable"/>
    <w:sig w:usb0="00000003" w:usb1="00000000" w:usb2="00000000" w:usb3="00000000" w:csb0="00000001" w:csb1="00000000"/>
  </w:font>
  <w:font w:name="Helvetica Neu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rPr>
      <w:id w:val="1470551473"/>
      <w:docPartObj>
        <w:docPartGallery w:val="Page Numbers (Bottom of Page)"/>
        <w:docPartUnique/>
      </w:docPartObj>
    </w:sdtPr>
    <w:sdtContent>
      <w:p w14:paraId="47083BB4" w14:textId="77777777" w:rsidR="007D5D04" w:rsidRPr="004E19E4" w:rsidRDefault="007D5D04" w:rsidP="00C72011">
        <w:pPr>
          <w:pStyle w:val="Footer"/>
          <w:jc w:val="right"/>
          <w:rPr>
            <w:rFonts w:ascii="Times New Roman" w:hAnsi="Times New Roman"/>
            <w:sz w:val="24"/>
            <w:szCs w:val="24"/>
          </w:rPr>
        </w:pPr>
        <w:r w:rsidRPr="004E19E4">
          <w:rPr>
            <w:rFonts w:ascii="Times New Roman" w:hAnsi="Times New Roman"/>
            <w:sz w:val="24"/>
            <w:szCs w:val="24"/>
          </w:rPr>
          <w:t xml:space="preserve"> </w:t>
        </w:r>
        <w:r w:rsidRPr="004E19E4">
          <w:rPr>
            <w:rFonts w:ascii="Times New Roman" w:hAnsi="Times New Roman"/>
            <w:sz w:val="24"/>
            <w:szCs w:val="24"/>
          </w:rPr>
          <w:fldChar w:fldCharType="begin"/>
        </w:r>
        <w:r w:rsidRPr="004E19E4">
          <w:rPr>
            <w:rFonts w:ascii="Times New Roman" w:hAnsi="Times New Roman"/>
            <w:sz w:val="24"/>
            <w:szCs w:val="24"/>
          </w:rPr>
          <w:instrText xml:space="preserve"> PAGE   \* MERGEFORMAT </w:instrText>
        </w:r>
        <w:r w:rsidRPr="004E19E4">
          <w:rPr>
            <w:rFonts w:ascii="Times New Roman" w:hAnsi="Times New Roman"/>
            <w:sz w:val="24"/>
            <w:szCs w:val="24"/>
          </w:rPr>
          <w:fldChar w:fldCharType="separate"/>
        </w:r>
        <w:r w:rsidR="00E74743">
          <w:rPr>
            <w:rFonts w:ascii="Times New Roman" w:hAnsi="Times New Roman"/>
            <w:noProof/>
            <w:sz w:val="24"/>
            <w:szCs w:val="24"/>
          </w:rPr>
          <w:t>2</w:t>
        </w:r>
        <w:r w:rsidRPr="004E19E4">
          <w:rPr>
            <w:rFonts w:ascii="Times New Roman" w:hAnsi="Times New Roman"/>
            <w:noProof/>
            <w:sz w:val="24"/>
            <w:szCs w:val="24"/>
          </w:rPr>
          <w:fldChar w:fldCharType="end"/>
        </w:r>
        <w:r w:rsidRPr="004E19E4">
          <w:rPr>
            <w:rFonts w:ascii="Times New Roman" w:hAnsi="Times New Roman"/>
            <w:sz w:val="24"/>
            <w:szCs w:val="24"/>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634D9" w14:textId="77777777" w:rsidR="007D5D04" w:rsidRDefault="007D5D04" w:rsidP="001D2067">
      <w:r>
        <w:separator/>
      </w:r>
    </w:p>
  </w:footnote>
  <w:footnote w:type="continuationSeparator" w:id="0">
    <w:p w14:paraId="40CEB979" w14:textId="77777777" w:rsidR="007D5D04" w:rsidRDefault="007D5D04" w:rsidP="001D2067">
      <w:r>
        <w:continuationSeparator/>
      </w:r>
    </w:p>
  </w:footnote>
  <w:footnote w:type="continuationNotice" w:id="1">
    <w:p w14:paraId="1487AB52" w14:textId="77777777" w:rsidR="007D5D04" w:rsidRDefault="007D5D04"/>
  </w:footnote>
  <w:footnote w:id="2">
    <w:p w14:paraId="567C231D" w14:textId="4AEAF870" w:rsidR="007D5D04" w:rsidRPr="003135CB" w:rsidRDefault="007D5D04" w:rsidP="006A3F62">
      <w:pPr>
        <w:pBdr>
          <w:top w:val="nil"/>
          <w:left w:val="nil"/>
          <w:bottom w:val="nil"/>
          <w:right w:val="nil"/>
          <w:between w:val="nil"/>
        </w:pBdr>
        <w:rPr>
          <w:rFonts w:ascii="Garamond" w:hAnsi="Garamond"/>
          <w:color w:val="000000"/>
          <w:sz w:val="16"/>
          <w:szCs w:val="16"/>
        </w:rPr>
      </w:pPr>
      <w:r w:rsidRPr="003135CB">
        <w:rPr>
          <w:rStyle w:val="FootnoteReference"/>
          <w:rFonts w:ascii="Garamond" w:hAnsi="Garamond"/>
          <w:sz w:val="16"/>
          <w:szCs w:val="16"/>
        </w:rPr>
        <w:footnoteRef/>
      </w:r>
      <w:r w:rsidRPr="003135CB">
        <w:rPr>
          <w:rFonts w:ascii="Garamond" w:hAnsi="Garamond"/>
          <w:color w:val="000000"/>
          <w:sz w:val="16"/>
          <w:szCs w:val="16"/>
        </w:rPr>
        <w:t xml:space="preserve">OECD (2020), </w:t>
      </w:r>
      <w:r w:rsidRPr="00E266CD">
        <w:rPr>
          <w:rFonts w:ascii="Garamond" w:hAnsi="Garamond"/>
          <w:i/>
          <w:color w:val="000000"/>
          <w:sz w:val="16"/>
          <w:szCs w:val="16"/>
        </w:rPr>
        <w:t xml:space="preserve">Education in the </w:t>
      </w:r>
      <w:r w:rsidRPr="00E266CD">
        <w:rPr>
          <w:rFonts w:ascii="Garamond" w:hAnsi="Garamond"/>
          <w:i/>
          <w:sz w:val="16"/>
          <w:szCs w:val="16"/>
        </w:rPr>
        <w:t>W</w:t>
      </w:r>
      <w:r w:rsidRPr="00E266CD">
        <w:rPr>
          <w:rFonts w:ascii="Garamond" w:hAnsi="Garamond"/>
          <w:i/>
          <w:color w:val="000000"/>
          <w:sz w:val="16"/>
          <w:szCs w:val="16"/>
        </w:rPr>
        <w:t>estern Balkans: Findings from PISA, PISA, OECD Publishing</w:t>
      </w:r>
      <w:r w:rsidRPr="003135CB">
        <w:rPr>
          <w:rFonts w:ascii="Garamond" w:hAnsi="Garamond"/>
          <w:color w:val="000000"/>
          <w:sz w:val="16"/>
          <w:szCs w:val="16"/>
        </w:rPr>
        <w:t xml:space="preserve">, </w:t>
      </w:r>
      <w:r w:rsidRPr="003135CB">
        <w:rPr>
          <w:rFonts w:ascii="Garamond" w:hAnsi="Garamond"/>
          <w:sz w:val="16"/>
          <w:szCs w:val="16"/>
        </w:rPr>
        <w:t xml:space="preserve">fq 3. </w:t>
      </w:r>
      <w:r w:rsidRPr="003135CB">
        <w:rPr>
          <w:rFonts w:ascii="Garamond" w:hAnsi="Garamond"/>
          <w:color w:val="000000"/>
          <w:sz w:val="16"/>
          <w:szCs w:val="16"/>
        </w:rPr>
        <w:t xml:space="preserve">Paris, </w:t>
      </w:r>
      <w:hyperlink r:id="rId1">
        <w:r w:rsidRPr="003135CB">
          <w:rPr>
            <w:rFonts w:ascii="Garamond" w:hAnsi="Garamond"/>
            <w:color w:val="0563C1"/>
            <w:sz w:val="16"/>
            <w:szCs w:val="16"/>
            <w:u w:val="single"/>
          </w:rPr>
          <w:t>https://doi.org/10.1787/764847ff-en</w:t>
        </w:r>
      </w:hyperlink>
      <w:r>
        <w:rPr>
          <w:rFonts w:ascii="Garamond" w:hAnsi="Garamond"/>
          <w:color w:val="000000"/>
          <w:sz w:val="16"/>
          <w:szCs w:val="16"/>
        </w:rPr>
        <w:t>.</w:t>
      </w:r>
    </w:p>
  </w:footnote>
  <w:footnote w:id="3">
    <w:p w14:paraId="735BF4AF" w14:textId="77777777"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Albania 2021 Report, European Commission, Strasbourg, 19.10.2021, S</w:t>
      </w:r>
      <w:r w:rsidRPr="00770FF0">
        <w:rPr>
          <w:rFonts w:ascii="Garamond" w:hAnsi="Garamond"/>
          <w:sz w:val="16"/>
          <w:szCs w:val="16"/>
        </w:rPr>
        <w:t>W</w:t>
      </w:r>
      <w:r w:rsidRPr="00770FF0">
        <w:rPr>
          <w:rFonts w:ascii="Garamond" w:hAnsi="Garamond"/>
          <w:color w:val="000000"/>
          <w:sz w:val="16"/>
          <w:szCs w:val="16"/>
        </w:rPr>
        <w:t>D (2021) 289 final, faqe 99.</w:t>
      </w:r>
    </w:p>
  </w:footnote>
  <w:footnote w:id="4">
    <w:p w14:paraId="29C6E605" w14:textId="77777777"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Albania 2021 Report, European Commission, Strasbourg, 19.10.2021, S</w:t>
      </w:r>
      <w:r w:rsidRPr="00770FF0">
        <w:rPr>
          <w:rFonts w:ascii="Garamond" w:hAnsi="Garamond"/>
          <w:sz w:val="16"/>
          <w:szCs w:val="16"/>
        </w:rPr>
        <w:t>W</w:t>
      </w:r>
      <w:r w:rsidRPr="00770FF0">
        <w:rPr>
          <w:rFonts w:ascii="Garamond" w:hAnsi="Garamond"/>
          <w:color w:val="000000"/>
          <w:sz w:val="16"/>
          <w:szCs w:val="16"/>
        </w:rPr>
        <w:t>D (2021) 289 final, faqe 99.</w:t>
      </w:r>
    </w:p>
  </w:footnote>
  <w:footnote w:id="5">
    <w:p w14:paraId="4E731ED0" w14:textId="66550E9A"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 xml:space="preserve">OECD (2022), SME Policy Index: </w:t>
      </w:r>
      <w:r w:rsidRPr="00770FF0">
        <w:rPr>
          <w:rFonts w:ascii="Garamond" w:hAnsi="Garamond"/>
          <w:sz w:val="16"/>
          <w:szCs w:val="16"/>
        </w:rPr>
        <w:t>W</w:t>
      </w:r>
      <w:r w:rsidRPr="00770FF0">
        <w:rPr>
          <w:rFonts w:ascii="Garamond" w:hAnsi="Garamond"/>
          <w:color w:val="000000"/>
          <w:sz w:val="16"/>
          <w:szCs w:val="16"/>
        </w:rPr>
        <w:t xml:space="preserve">estern Balkans and Turkey 2022: Assessing the Implementation of the Small Business Act for Europe, SME Policy Index, OECD Publishing, Paris, </w:t>
      </w:r>
      <w:hyperlink r:id="rId2">
        <w:r w:rsidRPr="00770FF0">
          <w:rPr>
            <w:rFonts w:ascii="Garamond" w:hAnsi="Garamond"/>
            <w:color w:val="0563C1"/>
            <w:sz w:val="16"/>
            <w:szCs w:val="16"/>
            <w:u w:val="single"/>
          </w:rPr>
          <w:t>https://doi.org/10.1787/b47d15f0-en</w:t>
        </w:r>
      </w:hyperlink>
      <w:r w:rsidRPr="00770FF0">
        <w:rPr>
          <w:rFonts w:ascii="Garamond" w:hAnsi="Garamond"/>
          <w:color w:val="000000"/>
          <w:sz w:val="16"/>
          <w:szCs w:val="16"/>
        </w:rPr>
        <w:t>, fq 356</w:t>
      </w:r>
      <w:r>
        <w:rPr>
          <w:rFonts w:ascii="Garamond" w:hAnsi="Garamond"/>
          <w:color w:val="000000"/>
          <w:sz w:val="16"/>
          <w:szCs w:val="16"/>
        </w:rPr>
        <w:t>.</w:t>
      </w:r>
    </w:p>
  </w:footnote>
  <w:footnote w:id="6">
    <w:p w14:paraId="1DD471A7" w14:textId="7A18DA8C" w:rsidR="007D5D04" w:rsidRPr="00055A3F"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European Commission (2022), Programme Statement - Pre-Accession Assistance (IPA III),</w:t>
      </w:r>
    </w:p>
    <w:p w14:paraId="3171F8F7" w14:textId="0D4B53A4" w:rsidR="007D5D04" w:rsidRPr="00770FF0" w:rsidRDefault="007D5D04" w:rsidP="006A3F62">
      <w:pPr>
        <w:pBdr>
          <w:top w:val="nil"/>
          <w:left w:val="nil"/>
          <w:bottom w:val="nil"/>
          <w:right w:val="nil"/>
          <w:between w:val="nil"/>
        </w:pBdr>
        <w:rPr>
          <w:rFonts w:ascii="Garamond" w:hAnsi="Garamond"/>
          <w:color w:val="000000"/>
          <w:sz w:val="16"/>
          <w:szCs w:val="16"/>
        </w:rPr>
      </w:pPr>
      <w:hyperlink r:id="rId3" w:history="1">
        <w:r w:rsidRPr="008E2748">
          <w:rPr>
            <w:rStyle w:val="Hyperlink"/>
            <w:rFonts w:ascii="Garamond" w:hAnsi="Garamond"/>
            <w:sz w:val="16"/>
            <w:szCs w:val="16"/>
          </w:rPr>
          <w:t>https://ec.europa.eu/info/sites/default/files/about_the_european_commission/eu_budget/programme_statement_-_ipa.pdf</w:t>
        </w:r>
      </w:hyperlink>
    </w:p>
  </w:footnote>
  <w:footnote w:id="7">
    <w:p w14:paraId="67E7C99D" w14:textId="5F11A21A" w:rsidR="007D5D04" w:rsidRDefault="007D5D04" w:rsidP="006A3F62">
      <w:pPr>
        <w:pStyle w:val="TEKSTIIII"/>
        <w:ind w:firstLine="0"/>
        <w:rPr>
          <w:color w:val="000000"/>
          <w:sz w:val="16"/>
          <w:szCs w:val="16"/>
        </w:rPr>
      </w:pPr>
      <w:r w:rsidRPr="00770FF0">
        <w:rPr>
          <w:rStyle w:val="FootnoteReference"/>
          <w:sz w:val="16"/>
          <w:szCs w:val="16"/>
        </w:rPr>
        <w:footnoteRef/>
      </w:r>
      <w:r w:rsidRPr="00770FF0">
        <w:rPr>
          <w:color w:val="000000"/>
          <w:sz w:val="16"/>
          <w:szCs w:val="16"/>
        </w:rPr>
        <w:t>European Commission (2022), Updates on the Association of Third Countries to Horizon Europe,</w:t>
      </w:r>
    </w:p>
    <w:p w14:paraId="7C68E8AE" w14:textId="1D1B3B89" w:rsidR="007D5D04" w:rsidRPr="006A3F62" w:rsidRDefault="007D5D04" w:rsidP="006A3F62">
      <w:pPr>
        <w:pStyle w:val="TEKSTIIII"/>
        <w:ind w:firstLine="0"/>
        <w:rPr>
          <w:color w:val="000000"/>
          <w:sz w:val="20"/>
          <w:szCs w:val="20"/>
        </w:rPr>
      </w:pPr>
      <w:hyperlink r:id="rId4" w:history="1">
        <w:r w:rsidRPr="008E2748">
          <w:rPr>
            <w:rStyle w:val="Hyperlink"/>
            <w:sz w:val="16"/>
            <w:szCs w:val="16"/>
          </w:rPr>
          <w:t>https://ec.europa.eu/info/news/updates-association-third-countries-horizon-europe_en</w:t>
        </w:r>
      </w:hyperlink>
    </w:p>
  </w:footnote>
  <w:footnote w:id="8">
    <w:p w14:paraId="5D275BAE" w14:textId="77777777" w:rsidR="007D5D04" w:rsidRDefault="007D5D04" w:rsidP="006A3F62">
      <w:pPr>
        <w:pStyle w:val="TEKSTIIII"/>
        <w:ind w:firstLine="0"/>
        <w:rPr>
          <w:color w:val="000000"/>
          <w:sz w:val="16"/>
          <w:szCs w:val="16"/>
        </w:rPr>
      </w:pPr>
      <w:r w:rsidRPr="00770FF0">
        <w:rPr>
          <w:rStyle w:val="FootnoteReference"/>
          <w:sz w:val="16"/>
          <w:szCs w:val="16"/>
        </w:rPr>
        <w:footnoteRef/>
      </w:r>
      <w:r w:rsidRPr="00770FF0">
        <w:rPr>
          <w:color w:val="000000"/>
          <w:sz w:val="16"/>
          <w:szCs w:val="16"/>
        </w:rPr>
        <w:t xml:space="preserve">OECD (2020), Education in the </w:t>
      </w:r>
      <w:r w:rsidRPr="00770FF0">
        <w:rPr>
          <w:sz w:val="16"/>
          <w:szCs w:val="16"/>
        </w:rPr>
        <w:t>W</w:t>
      </w:r>
      <w:r w:rsidRPr="00770FF0">
        <w:rPr>
          <w:color w:val="000000"/>
          <w:sz w:val="16"/>
          <w:szCs w:val="16"/>
        </w:rPr>
        <w:t xml:space="preserve">estern Balkans: Findings from PISA, PISA, OECD Publishing, Paris, </w:t>
      </w:r>
    </w:p>
    <w:p w14:paraId="5FB349F4" w14:textId="5DDB9CCC" w:rsidR="007D5D04" w:rsidRPr="00770FF0" w:rsidRDefault="007D5D04" w:rsidP="006A3F62">
      <w:pPr>
        <w:pStyle w:val="TEKSTIIII"/>
        <w:ind w:firstLine="0"/>
        <w:rPr>
          <w:color w:val="000000"/>
          <w:sz w:val="16"/>
          <w:szCs w:val="16"/>
        </w:rPr>
      </w:pPr>
      <w:hyperlink r:id="rId5" w:history="1">
        <w:r w:rsidRPr="008E2748">
          <w:rPr>
            <w:rStyle w:val="Hyperlink"/>
            <w:sz w:val="16"/>
            <w:szCs w:val="16"/>
          </w:rPr>
          <w:t>https://doi.org/10.1787/764847ff-en</w:t>
        </w:r>
      </w:hyperlink>
      <w:r w:rsidRPr="00770FF0">
        <w:rPr>
          <w:color w:val="000000"/>
          <w:sz w:val="16"/>
          <w:szCs w:val="16"/>
        </w:rPr>
        <w:t>, fq 19.</w:t>
      </w:r>
    </w:p>
  </w:footnote>
  <w:footnote w:id="9">
    <w:p w14:paraId="7C290176" w14:textId="631A498E" w:rsidR="007D5D04" w:rsidRPr="00770FF0" w:rsidRDefault="007D5D04" w:rsidP="006A3F62">
      <w:pPr>
        <w:pStyle w:val="TEKSTIIII"/>
        <w:ind w:firstLine="0"/>
        <w:rPr>
          <w:color w:val="000000"/>
          <w:sz w:val="16"/>
          <w:szCs w:val="16"/>
        </w:rPr>
      </w:pPr>
      <w:r w:rsidRPr="00770FF0">
        <w:rPr>
          <w:rStyle w:val="FootnoteReference"/>
          <w:sz w:val="16"/>
          <w:szCs w:val="16"/>
        </w:rPr>
        <w:footnoteRef/>
      </w:r>
      <w:r w:rsidRPr="00770FF0">
        <w:rPr>
          <w:color w:val="000000"/>
          <w:sz w:val="16"/>
          <w:szCs w:val="16"/>
        </w:rPr>
        <w:t xml:space="preserve">OECD (2022), SME Policy Index: </w:t>
      </w:r>
      <w:r w:rsidRPr="00770FF0">
        <w:rPr>
          <w:sz w:val="16"/>
          <w:szCs w:val="16"/>
        </w:rPr>
        <w:t>W</w:t>
      </w:r>
      <w:r w:rsidRPr="00770FF0">
        <w:rPr>
          <w:color w:val="000000"/>
          <w:sz w:val="16"/>
          <w:szCs w:val="16"/>
        </w:rPr>
        <w:t>estern Balkans and Turkey 2022: Assessing the Implementation of the Small Business Act for Europe, SME Policy Index, OECD Publishing, Paris, https://doi.org/10.1787/b47d15f0-en, fq 351</w:t>
      </w:r>
      <w:r>
        <w:rPr>
          <w:color w:val="000000"/>
          <w:sz w:val="16"/>
          <w:szCs w:val="16"/>
        </w:rPr>
        <w:t>.</w:t>
      </w:r>
    </w:p>
  </w:footnote>
  <w:footnote w:id="10">
    <w:p w14:paraId="4C29F451" w14:textId="0284C1DA" w:rsidR="007D5D04" w:rsidRPr="00770FF0" w:rsidRDefault="007D5D04" w:rsidP="006A3F62">
      <w:pPr>
        <w:pStyle w:val="TEKSTIIII"/>
        <w:ind w:firstLine="0"/>
        <w:rPr>
          <w:color w:val="000000"/>
          <w:sz w:val="16"/>
          <w:szCs w:val="16"/>
        </w:rPr>
      </w:pPr>
      <w:r w:rsidRPr="00770FF0">
        <w:rPr>
          <w:rStyle w:val="FootnoteReference"/>
          <w:sz w:val="16"/>
          <w:szCs w:val="16"/>
        </w:rPr>
        <w:footnoteRef/>
      </w:r>
      <w:r w:rsidRPr="00770FF0">
        <w:rPr>
          <w:sz w:val="16"/>
          <w:szCs w:val="16"/>
        </w:rPr>
        <w:t>W</w:t>
      </w:r>
      <w:r w:rsidRPr="00770FF0">
        <w:rPr>
          <w:color w:val="000000"/>
          <w:sz w:val="16"/>
          <w:szCs w:val="16"/>
        </w:rPr>
        <w:t>ESTERN BALKANS AGENDA ON INNOVATION, RESEARCH, EDUCATION, CULTURE, YOUTH &amp; SPORT, European Union, 2021</w:t>
      </w:r>
      <w:r>
        <w:rPr>
          <w:color w:val="000000"/>
          <w:sz w:val="16"/>
          <w:szCs w:val="16"/>
        </w:rPr>
        <w:t>.</w:t>
      </w:r>
    </w:p>
  </w:footnote>
  <w:footnote w:id="11">
    <w:p w14:paraId="008EA95C" w14:textId="77777777" w:rsidR="007D5D04" w:rsidRPr="00770FF0" w:rsidRDefault="007D5D04" w:rsidP="006A3F62">
      <w:pPr>
        <w:pStyle w:val="TEKSTIIII"/>
        <w:ind w:firstLine="0"/>
        <w:rPr>
          <w:color w:val="000000"/>
          <w:sz w:val="16"/>
          <w:szCs w:val="16"/>
        </w:rPr>
      </w:pPr>
      <w:r w:rsidRPr="00770FF0">
        <w:rPr>
          <w:rStyle w:val="FootnoteReference"/>
          <w:sz w:val="16"/>
          <w:szCs w:val="16"/>
        </w:rPr>
        <w:footnoteRef/>
      </w:r>
      <w:r w:rsidRPr="00055A3F">
        <w:rPr>
          <w:i/>
          <w:color w:val="000000"/>
          <w:sz w:val="16"/>
          <w:szCs w:val="16"/>
        </w:rPr>
        <w:t>Albania 2021 Report, European Commission, Strasbourg</w:t>
      </w:r>
      <w:r w:rsidRPr="00770FF0">
        <w:rPr>
          <w:color w:val="000000"/>
          <w:sz w:val="16"/>
          <w:szCs w:val="16"/>
        </w:rPr>
        <w:t>, 19.10.2021, S</w:t>
      </w:r>
      <w:r w:rsidRPr="00770FF0">
        <w:rPr>
          <w:sz w:val="16"/>
          <w:szCs w:val="16"/>
        </w:rPr>
        <w:t>W</w:t>
      </w:r>
      <w:r w:rsidRPr="00770FF0">
        <w:rPr>
          <w:color w:val="000000"/>
          <w:sz w:val="16"/>
          <w:szCs w:val="16"/>
        </w:rPr>
        <w:t>D(2021) 289 final, faqe 99.</w:t>
      </w:r>
    </w:p>
  </w:footnote>
  <w:footnote w:id="12">
    <w:p w14:paraId="7C03F168" w14:textId="77777777" w:rsidR="007D5D04" w:rsidRPr="00770FF0" w:rsidRDefault="007D5D04" w:rsidP="006A3F62">
      <w:pPr>
        <w:pStyle w:val="TEKSTIIII"/>
        <w:ind w:firstLine="0"/>
        <w:rPr>
          <w:color w:val="000000"/>
          <w:sz w:val="16"/>
          <w:szCs w:val="16"/>
        </w:rPr>
      </w:pPr>
      <w:r w:rsidRPr="00770FF0">
        <w:rPr>
          <w:rStyle w:val="FootnoteReference"/>
          <w:sz w:val="16"/>
          <w:szCs w:val="16"/>
        </w:rPr>
        <w:footnoteRef/>
      </w:r>
      <w:r w:rsidRPr="00055A3F">
        <w:rPr>
          <w:i/>
          <w:color w:val="000000"/>
          <w:sz w:val="16"/>
          <w:szCs w:val="16"/>
        </w:rPr>
        <w:t>Albania 2021 Report, European Commission, Strasbourg</w:t>
      </w:r>
      <w:r w:rsidRPr="00770FF0">
        <w:rPr>
          <w:color w:val="000000"/>
          <w:sz w:val="16"/>
          <w:szCs w:val="16"/>
        </w:rPr>
        <w:t>, 19.10.2021, S</w:t>
      </w:r>
      <w:r w:rsidRPr="00770FF0">
        <w:rPr>
          <w:sz w:val="16"/>
          <w:szCs w:val="16"/>
        </w:rPr>
        <w:t>W</w:t>
      </w:r>
      <w:r w:rsidRPr="00770FF0">
        <w:rPr>
          <w:color w:val="000000"/>
          <w:sz w:val="16"/>
          <w:szCs w:val="16"/>
        </w:rPr>
        <w:t>D(2021) 289 final, faqe 99.</w:t>
      </w:r>
    </w:p>
  </w:footnote>
  <w:footnote w:id="13">
    <w:p w14:paraId="3E510B75" w14:textId="77777777" w:rsidR="007D5D04" w:rsidRPr="00770FF0" w:rsidRDefault="007D5D04" w:rsidP="006A3F62">
      <w:pPr>
        <w:pStyle w:val="TEKSTIIII"/>
        <w:ind w:firstLine="0"/>
        <w:rPr>
          <w:color w:val="000000"/>
          <w:sz w:val="16"/>
          <w:szCs w:val="16"/>
        </w:rPr>
      </w:pPr>
      <w:r w:rsidRPr="00770FF0">
        <w:rPr>
          <w:rStyle w:val="FootnoteReference"/>
          <w:sz w:val="16"/>
          <w:szCs w:val="16"/>
        </w:rPr>
        <w:footnoteRef/>
      </w:r>
      <w:r w:rsidRPr="00055A3F">
        <w:rPr>
          <w:i/>
          <w:color w:val="000000"/>
          <w:sz w:val="16"/>
          <w:szCs w:val="16"/>
        </w:rPr>
        <w:t>Albania 2022 Report, European Commission, Bruksel</w:t>
      </w:r>
      <w:r w:rsidRPr="00770FF0">
        <w:rPr>
          <w:color w:val="000000"/>
          <w:sz w:val="16"/>
          <w:szCs w:val="16"/>
        </w:rPr>
        <w:t>, 12.10.2022, S</w:t>
      </w:r>
      <w:r w:rsidRPr="00770FF0">
        <w:rPr>
          <w:sz w:val="16"/>
          <w:szCs w:val="16"/>
        </w:rPr>
        <w:t>W</w:t>
      </w:r>
      <w:r w:rsidRPr="00770FF0">
        <w:rPr>
          <w:color w:val="000000"/>
          <w:sz w:val="16"/>
          <w:szCs w:val="16"/>
        </w:rPr>
        <w:t>D (2021) 332 final, faqe 96.</w:t>
      </w:r>
    </w:p>
  </w:footnote>
  <w:footnote w:id="14">
    <w:p w14:paraId="46316371" w14:textId="77777777" w:rsidR="007D5D04" w:rsidRPr="00770FF0" w:rsidRDefault="007D5D04" w:rsidP="00F91888">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055A3F">
        <w:rPr>
          <w:rFonts w:ascii="Garamond" w:hAnsi="Garamond"/>
          <w:i/>
          <w:color w:val="000000"/>
          <w:sz w:val="16"/>
          <w:szCs w:val="16"/>
        </w:rPr>
        <w:t>Albania 2022 Report, European Commission, Strasbourg</w:t>
      </w:r>
      <w:r w:rsidRPr="00770FF0">
        <w:rPr>
          <w:rFonts w:ascii="Garamond" w:hAnsi="Garamond"/>
          <w:color w:val="000000"/>
          <w:sz w:val="16"/>
          <w:szCs w:val="16"/>
        </w:rPr>
        <w:t>, 19.10.2021, S</w:t>
      </w:r>
      <w:r w:rsidRPr="00770FF0">
        <w:rPr>
          <w:rFonts w:ascii="Garamond" w:hAnsi="Garamond"/>
          <w:sz w:val="16"/>
          <w:szCs w:val="16"/>
        </w:rPr>
        <w:t>W</w:t>
      </w:r>
      <w:r w:rsidRPr="00770FF0">
        <w:rPr>
          <w:rFonts w:ascii="Garamond" w:hAnsi="Garamond"/>
          <w:color w:val="000000"/>
          <w:sz w:val="16"/>
          <w:szCs w:val="16"/>
        </w:rPr>
        <w:t>D (2021) 332 final, faqe 97.</w:t>
      </w:r>
    </w:p>
    <w:p w14:paraId="6FC0BB04" w14:textId="77777777" w:rsidR="007D5D04" w:rsidRPr="00770FF0" w:rsidRDefault="007D5D04" w:rsidP="00F91888">
      <w:pPr>
        <w:pBdr>
          <w:top w:val="nil"/>
          <w:left w:val="nil"/>
          <w:bottom w:val="nil"/>
          <w:right w:val="nil"/>
          <w:between w:val="nil"/>
        </w:pBdr>
        <w:rPr>
          <w:rFonts w:ascii="Garamond" w:hAnsi="Garamond"/>
          <w:color w:val="000000"/>
          <w:sz w:val="16"/>
          <w:szCs w:val="16"/>
        </w:rPr>
      </w:pPr>
    </w:p>
  </w:footnote>
  <w:footnote w:id="15">
    <w:p w14:paraId="4FD387E8" w14:textId="3210EF44" w:rsidR="007D5D04" w:rsidRPr="00770FF0" w:rsidRDefault="007D5D04" w:rsidP="00770FF0">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eastAsia="Times New Roman" w:hAnsi="Garamond"/>
          <w:color w:val="000000"/>
          <w:sz w:val="16"/>
          <w:szCs w:val="16"/>
        </w:rPr>
        <w:t>Ligj</w:t>
      </w:r>
      <w:r>
        <w:rPr>
          <w:rFonts w:ascii="Garamond" w:eastAsia="Times New Roman" w:hAnsi="Garamond"/>
          <w:color w:val="000000"/>
          <w:sz w:val="16"/>
          <w:szCs w:val="16"/>
        </w:rPr>
        <w:t>i</w:t>
      </w:r>
      <w:r w:rsidRPr="00770FF0">
        <w:rPr>
          <w:rFonts w:ascii="Garamond" w:eastAsia="Times New Roman" w:hAnsi="Garamond"/>
          <w:color w:val="000000"/>
          <w:sz w:val="16"/>
          <w:szCs w:val="16"/>
        </w:rPr>
        <w:t xml:space="preserve"> nr. 80/2015, “Për </w:t>
      </w:r>
      <w:r>
        <w:rPr>
          <w:rFonts w:ascii="Garamond" w:eastAsia="Times New Roman" w:hAnsi="Garamond"/>
          <w:color w:val="000000"/>
          <w:sz w:val="16"/>
          <w:szCs w:val="16"/>
        </w:rPr>
        <w:t>a</w:t>
      </w:r>
      <w:r w:rsidRPr="00770FF0">
        <w:rPr>
          <w:rFonts w:ascii="Garamond" w:eastAsia="Times New Roman" w:hAnsi="Garamond"/>
          <w:color w:val="000000"/>
          <w:sz w:val="16"/>
          <w:szCs w:val="16"/>
        </w:rPr>
        <w:t>rsimin e lartë dhe kërkimin shkencor në institucionet e arsimit të lartë në Republikën e Shqipërisë”, kreu II, neni 7.</w:t>
      </w:r>
    </w:p>
  </w:footnote>
  <w:footnote w:id="16">
    <w:p w14:paraId="0111A813" w14:textId="7044A8F8"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Ligji nr. 53/2019, “Për Akademinë e Shkencave në Republikën e Shqipërisë”.</w:t>
      </w:r>
    </w:p>
  </w:footnote>
  <w:footnote w:id="17">
    <w:p w14:paraId="1D699DBF" w14:textId="49CBBB62"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Ligji nr.</w:t>
      </w:r>
      <w:r>
        <w:rPr>
          <w:rFonts w:ascii="Garamond" w:hAnsi="Garamond"/>
          <w:color w:val="000000"/>
          <w:sz w:val="16"/>
          <w:szCs w:val="16"/>
        </w:rPr>
        <w:t xml:space="preserve"> </w:t>
      </w:r>
      <w:r w:rsidRPr="00770FF0">
        <w:rPr>
          <w:rFonts w:ascii="Garamond" w:hAnsi="Garamond"/>
          <w:color w:val="000000"/>
          <w:sz w:val="16"/>
          <w:szCs w:val="16"/>
        </w:rPr>
        <w:t>7893, datë 22.12.1994, “Për shkencën dhe zhvillimin teknologjik”, neni 18.</w:t>
      </w:r>
    </w:p>
  </w:footnote>
  <w:footnote w:id="18">
    <w:p w14:paraId="77D56EBE" w14:textId="1D0A5006" w:rsidR="007D5D04" w:rsidRPr="00770FF0" w:rsidRDefault="007D5D04" w:rsidP="006A3F62">
      <w:pPr>
        <w:pBdr>
          <w:top w:val="nil"/>
          <w:left w:val="nil"/>
          <w:bottom w:val="nil"/>
          <w:right w:val="nil"/>
          <w:between w:val="nil"/>
        </w:pBdr>
        <w:rPr>
          <w:rFonts w:ascii="Garamond" w:hAnsi="Garamond"/>
          <w:color w:val="000000"/>
          <w:sz w:val="16"/>
          <w:szCs w:val="16"/>
        </w:rPr>
      </w:pPr>
      <w:r w:rsidRPr="00770FF0">
        <w:rPr>
          <w:rStyle w:val="FootnoteReference"/>
          <w:rFonts w:ascii="Garamond" w:hAnsi="Garamond"/>
          <w:sz w:val="16"/>
          <w:szCs w:val="16"/>
        </w:rPr>
        <w:footnoteRef/>
      </w:r>
      <w:r w:rsidRPr="00770FF0">
        <w:rPr>
          <w:rFonts w:ascii="Garamond" w:hAnsi="Garamond"/>
          <w:color w:val="000000"/>
          <w:sz w:val="16"/>
          <w:szCs w:val="16"/>
        </w:rPr>
        <w:t xml:space="preserve"> Vendim nr. 75, datë 12.2.2018, i </w:t>
      </w:r>
      <w:r w:rsidRPr="00770FF0">
        <w:rPr>
          <w:rFonts w:ascii="Garamond" w:hAnsi="Garamond"/>
          <w:color w:val="222222"/>
          <w:sz w:val="16"/>
          <w:szCs w:val="16"/>
        </w:rPr>
        <w:t>Këshillit të Ministrave</w:t>
      </w:r>
      <w:r w:rsidRPr="00770FF0">
        <w:rPr>
          <w:rFonts w:ascii="Garamond" w:eastAsia="Times New Roman" w:hAnsi="Garamond"/>
          <w:color w:val="222222"/>
          <w:sz w:val="16"/>
          <w:szCs w:val="16"/>
        </w:rPr>
        <w:t xml:space="preserve">, </w:t>
      </w:r>
      <w:r w:rsidRPr="00770FF0">
        <w:rPr>
          <w:rFonts w:ascii="Garamond" w:hAnsi="Garamond"/>
          <w:color w:val="000000"/>
          <w:sz w:val="16"/>
          <w:szCs w:val="16"/>
        </w:rPr>
        <w:t>“Për miratimin e modelit të financimit të institucioneve publike të arsimit të lartë dhe kërkimit shkencor”, i ndryshuar.</w:t>
      </w:r>
    </w:p>
  </w:footnote>
  <w:footnote w:id="19">
    <w:p w14:paraId="06A4D168" w14:textId="5F015C07" w:rsidR="007D5D04" w:rsidRDefault="007D5D04" w:rsidP="0061006C">
      <w:pPr>
        <w:pBdr>
          <w:top w:val="nil"/>
          <w:left w:val="nil"/>
          <w:bottom w:val="nil"/>
          <w:right w:val="nil"/>
          <w:between w:val="nil"/>
        </w:pBdr>
        <w:rPr>
          <w:color w:val="000000"/>
          <w:sz w:val="20"/>
          <w:szCs w:val="20"/>
        </w:rPr>
      </w:pPr>
      <w:r w:rsidRPr="00770FF0">
        <w:rPr>
          <w:rStyle w:val="FootnoteReference"/>
          <w:rFonts w:ascii="Garamond" w:hAnsi="Garamond"/>
          <w:sz w:val="16"/>
          <w:szCs w:val="16"/>
        </w:rPr>
        <w:footnoteRef/>
      </w:r>
      <w:r w:rsidRPr="00770FF0">
        <w:rPr>
          <w:rFonts w:ascii="Garamond" w:hAnsi="Garamond"/>
          <w:color w:val="000000"/>
          <w:sz w:val="16"/>
          <w:szCs w:val="16"/>
        </w:rPr>
        <w:t xml:space="preserve"> Kërkimi</w:t>
      </w:r>
      <w:r>
        <w:rPr>
          <w:rFonts w:ascii="Garamond" w:hAnsi="Garamond"/>
          <w:color w:val="000000"/>
          <w:sz w:val="16"/>
          <w:szCs w:val="16"/>
        </w:rPr>
        <w:t>,</w:t>
      </w:r>
      <w:r w:rsidRPr="00770FF0">
        <w:rPr>
          <w:rFonts w:ascii="Garamond" w:hAnsi="Garamond"/>
          <w:color w:val="000000"/>
          <w:sz w:val="16"/>
          <w:szCs w:val="16"/>
        </w:rPr>
        <w:t xml:space="preserve"> zhvillim dhe inovacion.</w:t>
      </w:r>
    </w:p>
  </w:footnote>
  <w:footnote w:id="20">
    <w:p w14:paraId="5B184F06" w14:textId="2AEFE62C" w:rsidR="007D5D04" w:rsidRPr="00770FF0" w:rsidRDefault="007D5D04" w:rsidP="006A3F62">
      <w:pPr>
        <w:rPr>
          <w:rFonts w:ascii="Garamond" w:hAnsi="Garamond"/>
          <w:sz w:val="16"/>
          <w:szCs w:val="16"/>
        </w:rPr>
      </w:pPr>
      <w:r w:rsidRPr="00770FF0">
        <w:rPr>
          <w:rStyle w:val="FootnoteReference"/>
          <w:rFonts w:ascii="Garamond" w:hAnsi="Garamond"/>
          <w:sz w:val="16"/>
          <w:szCs w:val="16"/>
        </w:rPr>
        <w:footnoteRef/>
      </w:r>
      <w:r w:rsidRPr="00770FF0">
        <w:rPr>
          <w:rFonts w:ascii="Garamond" w:eastAsia="Times New Roman" w:hAnsi="Garamond"/>
          <w:sz w:val="16"/>
          <w:szCs w:val="16"/>
        </w:rPr>
        <w:t xml:space="preserve">Gjithashtu, synohet organizimi i takimeve dhe konferencave shkencore, si dhe botimi i punimeve dhe studimeve shkencore. Gjithashtu, do të hartohen nisma të përbashkëta, projekte në fushën e kërkimit shkencor e teknologjik dhe do </w:t>
      </w:r>
      <w:r>
        <w:rPr>
          <w:rFonts w:ascii="Garamond" w:eastAsia="Times New Roman" w:hAnsi="Garamond"/>
          <w:sz w:val="16"/>
          <w:szCs w:val="16"/>
        </w:rPr>
        <w:t xml:space="preserve">të </w:t>
      </w:r>
      <w:r w:rsidRPr="00770FF0">
        <w:rPr>
          <w:rFonts w:ascii="Garamond" w:eastAsia="Times New Roman" w:hAnsi="Garamond"/>
          <w:sz w:val="16"/>
          <w:szCs w:val="16"/>
        </w:rPr>
        <w:t xml:space="preserve">organizohen takime dhe konferenca shkencore, apo do </w:t>
      </w:r>
      <w:r>
        <w:rPr>
          <w:rFonts w:ascii="Garamond" w:eastAsia="Times New Roman" w:hAnsi="Garamond"/>
          <w:sz w:val="16"/>
          <w:szCs w:val="16"/>
        </w:rPr>
        <w:t xml:space="preserve">të </w:t>
      </w:r>
      <w:r w:rsidRPr="00770FF0">
        <w:rPr>
          <w:rFonts w:ascii="Garamond" w:eastAsia="Times New Roman" w:hAnsi="Garamond"/>
          <w:sz w:val="16"/>
          <w:szCs w:val="16"/>
        </w:rPr>
        <w:t>botohen dhe promovohen punime dhe studime shkencore të pjesëtarëve të Diasporës.</w:t>
      </w:r>
    </w:p>
  </w:footnote>
  <w:footnote w:id="21">
    <w:p w14:paraId="4E9C902A" w14:textId="77777777" w:rsidR="007D5D04" w:rsidRPr="006A3F62" w:rsidRDefault="007D5D04" w:rsidP="00F91888">
      <w:pPr>
        <w:rPr>
          <w:rFonts w:ascii="Garamond" w:hAnsi="Garamond"/>
          <w:sz w:val="24"/>
          <w:szCs w:val="24"/>
        </w:rPr>
      </w:pPr>
      <w:r w:rsidRPr="006A3F62">
        <w:rPr>
          <w:rStyle w:val="FootnoteReference"/>
          <w:rFonts w:ascii="Garamond" w:hAnsi="Garamond"/>
          <w:sz w:val="20"/>
          <w:szCs w:val="24"/>
        </w:rPr>
        <w:footnoteRef/>
      </w:r>
      <w:hyperlink r:id="rId6">
        <w:r w:rsidRPr="006A3F62">
          <w:rPr>
            <w:rFonts w:ascii="Garamond" w:eastAsia="Times New Roman" w:hAnsi="Garamond"/>
            <w:color w:val="1155CC"/>
            <w:sz w:val="20"/>
            <w:szCs w:val="24"/>
            <w:u w:val="single"/>
          </w:rPr>
          <w:t>https://aida.gov.al/sq/nvm/iniciativat-e-financimit/fondet-e-aida-s</w:t>
        </w:r>
      </w:hyperlink>
    </w:p>
  </w:footnote>
  <w:footnote w:id="22">
    <w:p w14:paraId="6753862E" w14:textId="5ACB7F37" w:rsidR="007D5D04" w:rsidRPr="00E05909" w:rsidRDefault="007D5D04" w:rsidP="000B110B">
      <w:pPr>
        <w:pStyle w:val="TEKSTIIII"/>
        <w:ind w:firstLine="0"/>
        <w:rPr>
          <w:sz w:val="12"/>
          <w:szCs w:val="12"/>
        </w:rPr>
      </w:pPr>
      <w:r w:rsidRPr="00E05909">
        <w:rPr>
          <w:rStyle w:val="FootnoteReference"/>
          <w:sz w:val="12"/>
          <w:szCs w:val="12"/>
        </w:rPr>
        <w:footnoteRef/>
      </w:r>
      <w:r w:rsidRPr="00E05909">
        <w:rPr>
          <w:sz w:val="12"/>
          <w:szCs w:val="12"/>
        </w:rPr>
        <w:t xml:space="preserve"> Vendim nr. 88, datë 22.2.2023, “Për miratimin e Strategjisë Kombëtare për Zhvillim dhe Integrim Evropian, 2022–2030”, tek: http://qbz.gov.al/eli/vendim/2023/02/22/88.</w:t>
      </w:r>
    </w:p>
  </w:footnote>
  <w:footnote w:id="23">
    <w:p w14:paraId="0A4F7445" w14:textId="46000A72" w:rsidR="007D5D04" w:rsidRPr="0091556F" w:rsidRDefault="007D5D04" w:rsidP="00DF5F9A">
      <w:pPr>
        <w:pBdr>
          <w:top w:val="nil"/>
          <w:left w:val="nil"/>
          <w:bottom w:val="nil"/>
          <w:right w:val="nil"/>
          <w:between w:val="nil"/>
        </w:pBdr>
        <w:rPr>
          <w:rFonts w:ascii="Garamond" w:hAnsi="Garamond"/>
          <w:color w:val="000000"/>
          <w:sz w:val="10"/>
          <w:szCs w:val="10"/>
        </w:rPr>
      </w:pPr>
      <w:r w:rsidRPr="0091556F">
        <w:rPr>
          <w:rStyle w:val="FootnoteReference"/>
          <w:rFonts w:ascii="Garamond" w:hAnsi="Garamond"/>
          <w:sz w:val="10"/>
          <w:szCs w:val="10"/>
        </w:rPr>
        <w:footnoteRef/>
      </w:r>
      <w:r w:rsidRPr="0091556F">
        <w:rPr>
          <w:rFonts w:ascii="Garamond" w:eastAsia="Garamond" w:hAnsi="Garamond" w:cs="Garamond"/>
          <w:color w:val="000000"/>
          <w:sz w:val="10"/>
          <w:szCs w:val="10"/>
        </w:rPr>
        <w:t>VKM nr. 636, datë 29.7.2020.</w:t>
      </w:r>
    </w:p>
  </w:footnote>
  <w:footnote w:id="24">
    <w:p w14:paraId="252C4193" w14:textId="0A9D8EA2" w:rsidR="007D5D04" w:rsidRPr="0091556F" w:rsidRDefault="007D5D04" w:rsidP="00DF5F9A">
      <w:pPr>
        <w:pBdr>
          <w:top w:val="nil"/>
          <w:left w:val="nil"/>
          <w:bottom w:val="nil"/>
          <w:right w:val="nil"/>
          <w:between w:val="nil"/>
        </w:pBdr>
        <w:rPr>
          <w:rFonts w:ascii="Garamond" w:hAnsi="Garamond"/>
          <w:color w:val="000000"/>
          <w:sz w:val="10"/>
          <w:szCs w:val="10"/>
        </w:rPr>
      </w:pPr>
      <w:r w:rsidRPr="0091556F">
        <w:rPr>
          <w:rStyle w:val="FootnoteReference"/>
          <w:rFonts w:ascii="Garamond" w:hAnsi="Garamond"/>
          <w:sz w:val="10"/>
          <w:szCs w:val="10"/>
        </w:rPr>
        <w:footnoteRef/>
      </w:r>
      <w:r w:rsidRPr="0091556F">
        <w:rPr>
          <w:rFonts w:ascii="Garamond" w:eastAsia="Garamond" w:hAnsi="Garamond" w:cs="Garamond"/>
          <w:color w:val="000000"/>
          <w:sz w:val="10"/>
          <w:szCs w:val="10"/>
        </w:rPr>
        <w:t>VKM nr. 370, datë 1.6.2022.</w:t>
      </w:r>
    </w:p>
  </w:footnote>
  <w:footnote w:id="25">
    <w:p w14:paraId="2DDC7B52" w14:textId="5975A0CF" w:rsidR="007D5D04" w:rsidRPr="0091556F" w:rsidRDefault="007D5D04" w:rsidP="00DF5F9A">
      <w:pPr>
        <w:rPr>
          <w:rFonts w:ascii="Garamond" w:hAnsi="Garamond"/>
          <w:sz w:val="10"/>
          <w:szCs w:val="10"/>
        </w:rPr>
      </w:pPr>
      <w:r w:rsidRPr="0091556F">
        <w:rPr>
          <w:rStyle w:val="FootnoteReference"/>
          <w:rFonts w:ascii="Garamond" w:hAnsi="Garamond"/>
          <w:sz w:val="10"/>
          <w:szCs w:val="10"/>
        </w:rPr>
        <w:footnoteRef/>
      </w:r>
      <w:r w:rsidRPr="0091556F">
        <w:rPr>
          <w:rFonts w:ascii="Garamond" w:hAnsi="Garamond"/>
          <w:sz w:val="10"/>
          <w:szCs w:val="10"/>
        </w:rPr>
        <w:t xml:space="preserve"> </w:t>
      </w:r>
      <w:hyperlink r:id="rId7">
        <w:r w:rsidRPr="0091556F">
          <w:rPr>
            <w:rFonts w:ascii="Garamond" w:hAnsi="Garamond"/>
            <w:color w:val="1155CC"/>
            <w:sz w:val="10"/>
            <w:szCs w:val="10"/>
            <w:u w:val="single"/>
          </w:rPr>
          <w:t>https://qbz.gov.al/eli/vendim/2022/04/06/210</w:t>
        </w:r>
      </w:hyperlink>
      <w:r w:rsidRPr="0091556F">
        <w:rPr>
          <w:rFonts w:ascii="Garamond" w:hAnsi="Garamond"/>
          <w:sz w:val="10"/>
          <w:szCs w:val="10"/>
        </w:rPr>
        <w:t>.</w:t>
      </w:r>
    </w:p>
  </w:footnote>
  <w:footnote w:id="26">
    <w:p w14:paraId="7E73C73C" w14:textId="10A71BBD" w:rsidR="007D5D04" w:rsidRPr="0091556F" w:rsidRDefault="007D5D04" w:rsidP="00DF5F9A">
      <w:pPr>
        <w:rPr>
          <w:rFonts w:ascii="Garamond" w:hAnsi="Garamond"/>
          <w:sz w:val="10"/>
          <w:szCs w:val="10"/>
        </w:rPr>
      </w:pPr>
      <w:r w:rsidRPr="0091556F">
        <w:rPr>
          <w:rStyle w:val="FootnoteReference"/>
          <w:rFonts w:ascii="Garamond" w:hAnsi="Garamond"/>
          <w:sz w:val="10"/>
          <w:szCs w:val="10"/>
        </w:rPr>
        <w:footnoteRef/>
      </w:r>
      <w:r w:rsidRPr="0091556F">
        <w:rPr>
          <w:rFonts w:ascii="Garamond" w:hAnsi="Garamond"/>
          <w:sz w:val="10"/>
          <w:szCs w:val="10"/>
        </w:rPr>
        <w:t xml:space="preserve"> Aktivitetet e planifikuara për të realizuar këtë masë janë:</w:t>
      </w:r>
    </w:p>
    <w:p w14:paraId="3AAF4FD1" w14:textId="72B1B5B5" w:rsidR="007D5D04" w:rsidRPr="0091556F" w:rsidRDefault="007D5D04" w:rsidP="00DF5F9A">
      <w:pPr>
        <w:rPr>
          <w:rFonts w:ascii="Garamond" w:hAnsi="Garamond"/>
          <w:sz w:val="10"/>
          <w:szCs w:val="10"/>
        </w:rPr>
      </w:pPr>
      <w:r w:rsidRPr="0091556F">
        <w:rPr>
          <w:rFonts w:ascii="Garamond" w:hAnsi="Garamond"/>
          <w:sz w:val="10"/>
          <w:szCs w:val="10"/>
        </w:rPr>
        <w:t>5.5.1.a. Analizimi dhe prezantimi i gjendjes aktuale të kërkimit shëndetësor në vend</w:t>
      </w:r>
      <w:r>
        <w:rPr>
          <w:rFonts w:ascii="Garamond" w:hAnsi="Garamond"/>
          <w:sz w:val="10"/>
          <w:szCs w:val="10"/>
        </w:rPr>
        <w:t>,</w:t>
      </w:r>
      <w:r w:rsidRPr="0091556F">
        <w:rPr>
          <w:rFonts w:ascii="Garamond" w:hAnsi="Garamond"/>
          <w:sz w:val="10"/>
          <w:szCs w:val="10"/>
        </w:rPr>
        <w:t xml:space="preserve"> me qëllim zhvillimin e politikave dhe strategjive kombëtare për kërkimin shëndetësor shkencor.</w:t>
      </w:r>
    </w:p>
    <w:p w14:paraId="7295EB0D" w14:textId="77777777" w:rsidR="007D5D04" w:rsidRPr="0091556F" w:rsidRDefault="007D5D04" w:rsidP="00DF5F9A">
      <w:pPr>
        <w:widowControl w:val="0"/>
        <w:tabs>
          <w:tab w:val="left" w:pos="3628"/>
        </w:tabs>
        <w:rPr>
          <w:rFonts w:ascii="Garamond" w:hAnsi="Garamond"/>
          <w:sz w:val="10"/>
          <w:szCs w:val="10"/>
        </w:rPr>
      </w:pPr>
      <w:r w:rsidRPr="0091556F">
        <w:rPr>
          <w:rFonts w:ascii="Garamond" w:hAnsi="Garamond"/>
          <w:sz w:val="10"/>
          <w:szCs w:val="10"/>
        </w:rPr>
        <w:t>5.5.1.b. Hartimi i strategjisë së kërkimit shkencor në sistemin shëndetësor.</w:t>
      </w:r>
    </w:p>
    <w:p w14:paraId="7C6741AA" w14:textId="77777777" w:rsidR="007D5D04" w:rsidRPr="0091556F" w:rsidRDefault="007D5D04" w:rsidP="00DF5F9A">
      <w:pPr>
        <w:widowControl w:val="0"/>
        <w:tabs>
          <w:tab w:val="left" w:pos="3628"/>
        </w:tabs>
        <w:rPr>
          <w:rFonts w:ascii="Garamond" w:hAnsi="Garamond"/>
          <w:sz w:val="10"/>
          <w:szCs w:val="10"/>
        </w:rPr>
      </w:pPr>
      <w:r w:rsidRPr="0091556F">
        <w:rPr>
          <w:rFonts w:ascii="Garamond" w:hAnsi="Garamond"/>
          <w:sz w:val="10"/>
          <w:szCs w:val="10"/>
        </w:rPr>
        <w:t xml:space="preserve">5.5.1.c. Mbështetja dhe përdorimi i evidencave kërkimore në zhvillimin e politikave shëndetësore </w:t>
      </w:r>
    </w:p>
    <w:p w14:paraId="204EFEFC" w14:textId="290B99DA" w:rsidR="007D5D04" w:rsidRPr="0091556F" w:rsidRDefault="007D5D04" w:rsidP="00DF5F9A">
      <w:pPr>
        <w:widowControl w:val="0"/>
        <w:tabs>
          <w:tab w:val="left" w:pos="3628"/>
        </w:tabs>
        <w:rPr>
          <w:rFonts w:ascii="Garamond" w:hAnsi="Garamond"/>
          <w:sz w:val="10"/>
          <w:szCs w:val="10"/>
        </w:rPr>
      </w:pPr>
      <w:r w:rsidRPr="0091556F">
        <w:rPr>
          <w:rFonts w:ascii="Garamond" w:hAnsi="Garamond"/>
          <w:sz w:val="10"/>
          <w:szCs w:val="10"/>
        </w:rPr>
        <w:t>5.5.1.d. Rritja e kapaciteteve të kërkimit shkencor nëpërmjet programit “Kërkime Operacionale në Shëndetësi”.</w:t>
      </w:r>
    </w:p>
  </w:footnote>
  <w:footnote w:id="27">
    <w:p w14:paraId="1198D680" w14:textId="7984B21B" w:rsidR="007D5D04" w:rsidRPr="0091556F" w:rsidRDefault="007D5D04" w:rsidP="00F91888">
      <w:pPr>
        <w:rPr>
          <w:rFonts w:ascii="Garamond" w:hAnsi="Garamond"/>
          <w:sz w:val="10"/>
          <w:szCs w:val="10"/>
        </w:rPr>
      </w:pPr>
      <w:r w:rsidRPr="0091556F">
        <w:rPr>
          <w:rStyle w:val="FootnoteReference"/>
          <w:rFonts w:ascii="Garamond" w:hAnsi="Garamond"/>
          <w:sz w:val="10"/>
          <w:szCs w:val="10"/>
        </w:rPr>
        <w:footnoteRef/>
      </w:r>
      <w:r w:rsidRPr="0091556F">
        <w:rPr>
          <w:rFonts w:ascii="Garamond" w:hAnsi="Garamond"/>
          <w:sz w:val="10"/>
          <w:szCs w:val="10"/>
        </w:rPr>
        <w:t xml:space="preserve"> </w:t>
      </w:r>
      <w:r w:rsidRPr="0091556F">
        <w:rPr>
          <w:rFonts w:ascii="Garamond" w:eastAsia="Garamond" w:hAnsi="Garamond" w:cs="Garamond"/>
          <w:sz w:val="10"/>
          <w:szCs w:val="10"/>
        </w:rPr>
        <w:t xml:space="preserve">Vendimi nr. 173, datë 24.3.2023, “Për miratimin e strategjisë kombëtare të punësimit dhe aftësive 2023–2030”, </w:t>
      </w:r>
      <w:r>
        <w:rPr>
          <w:rFonts w:ascii="Garamond" w:eastAsia="Garamond" w:hAnsi="Garamond" w:cs="Garamond"/>
          <w:sz w:val="10"/>
          <w:szCs w:val="10"/>
        </w:rPr>
        <w:t>p</w:t>
      </w:r>
      <w:r w:rsidRPr="0091556F">
        <w:rPr>
          <w:rFonts w:ascii="Garamond" w:eastAsia="Garamond" w:hAnsi="Garamond" w:cs="Garamond"/>
          <w:sz w:val="10"/>
          <w:szCs w:val="10"/>
        </w:rPr>
        <w:t>lanit të veprimit për zbatimin e saj, si dhe planit të zbatimit të garancisë rinore 2023–2024</w:t>
      </w:r>
      <w:r w:rsidRPr="0091556F">
        <w:rPr>
          <w:rFonts w:ascii="Garamond" w:eastAsia="Garamond" w:hAnsi="Garamond" w:cs="Garamond"/>
          <w:b/>
          <w:sz w:val="10"/>
          <w:szCs w:val="10"/>
        </w:rPr>
        <w:t xml:space="preserve">. </w:t>
      </w:r>
      <w:r w:rsidRPr="0091556F">
        <w:rPr>
          <w:rFonts w:ascii="Garamond" w:eastAsia="Garamond" w:hAnsi="Garamond" w:cs="Garamond"/>
          <w:sz w:val="10"/>
          <w:szCs w:val="10"/>
        </w:rPr>
        <w:t>n</w:t>
      </w:r>
      <w:hyperlink r:id="rId8" w:history="1">
        <w:r w:rsidRPr="0091556F">
          <w:rPr>
            <w:rStyle w:val="Hyperlink"/>
            <w:rFonts w:ascii="Garamond" w:eastAsia="Helvetica Neue" w:hAnsi="Garamond" w:cs="Helvetica Neue"/>
            <w:sz w:val="10"/>
            <w:szCs w:val="10"/>
            <w:highlight w:val="white"/>
          </w:rPr>
          <w:t>https://qbz.gov.al/eli/vendim/2023/03/24/173</w:t>
        </w:r>
      </w:hyperlink>
    </w:p>
  </w:footnote>
  <w:footnote w:id="28">
    <w:p w14:paraId="2F69B4E2" w14:textId="77777777" w:rsidR="007D5D04" w:rsidRPr="0062551C" w:rsidRDefault="007D5D04" w:rsidP="00F91888">
      <w:pPr>
        <w:pBdr>
          <w:top w:val="nil"/>
          <w:left w:val="nil"/>
          <w:bottom w:val="nil"/>
          <w:right w:val="nil"/>
          <w:between w:val="nil"/>
        </w:pBdr>
        <w:rPr>
          <w:rFonts w:ascii="Garamond" w:hAnsi="Garamond"/>
          <w:color w:val="000000"/>
          <w:sz w:val="10"/>
          <w:szCs w:val="10"/>
        </w:rPr>
      </w:pPr>
      <w:r w:rsidRPr="0062551C">
        <w:rPr>
          <w:rStyle w:val="FootnoteReference"/>
          <w:rFonts w:ascii="Garamond" w:hAnsi="Garamond"/>
          <w:sz w:val="10"/>
          <w:szCs w:val="10"/>
        </w:rPr>
        <w:footnoteRef/>
      </w:r>
      <w:r w:rsidRPr="0062551C">
        <w:rPr>
          <w:rFonts w:ascii="Garamond" w:hAnsi="Garamond"/>
          <w:color w:val="000000"/>
          <w:sz w:val="10"/>
          <w:szCs w:val="10"/>
        </w:rPr>
        <w:t xml:space="preserve">Western Balkans Agenda on Innovation, Research, Education, Culture, Youth and Sports tek </w:t>
      </w:r>
      <w:hyperlink r:id="rId9" w:anchor="agenda-on-innovation-research-education-culture-youth-and-sports">
        <w:r w:rsidRPr="0062551C">
          <w:rPr>
            <w:rFonts w:ascii="Garamond" w:hAnsi="Garamond"/>
            <w:color w:val="0563C1"/>
            <w:sz w:val="10"/>
            <w:szCs w:val="10"/>
            <w:u w:val="single"/>
          </w:rPr>
          <w:t>https://ec.europa.eu/info/research-and-innovation/strategy/strategy-2020-2024/europe-world/international-cooperation/western-balkans_en#agenda-on-innovation-research-education-culture-youth-and-sports</w:t>
        </w:r>
      </w:hyperlink>
      <w:r w:rsidRPr="0062551C">
        <w:rPr>
          <w:rFonts w:ascii="Garamond" w:hAnsi="Garamond"/>
          <w:color w:val="0563C1"/>
          <w:sz w:val="10"/>
          <w:szCs w:val="10"/>
          <w:u w:val="single"/>
        </w:rPr>
        <w:t>.</w:t>
      </w:r>
    </w:p>
  </w:footnote>
  <w:footnote w:id="29">
    <w:p w14:paraId="054D076A" w14:textId="77777777" w:rsidR="007D5D04" w:rsidRPr="0062551C" w:rsidRDefault="007D5D04" w:rsidP="00F91888">
      <w:pPr>
        <w:pBdr>
          <w:top w:val="nil"/>
          <w:left w:val="nil"/>
          <w:bottom w:val="nil"/>
          <w:right w:val="nil"/>
          <w:between w:val="nil"/>
        </w:pBdr>
        <w:rPr>
          <w:rFonts w:ascii="Garamond" w:hAnsi="Garamond"/>
          <w:color w:val="000000"/>
          <w:sz w:val="10"/>
          <w:szCs w:val="10"/>
        </w:rPr>
      </w:pPr>
      <w:r w:rsidRPr="0062551C">
        <w:rPr>
          <w:rStyle w:val="FootnoteReference"/>
          <w:rFonts w:ascii="Garamond" w:hAnsi="Garamond"/>
          <w:sz w:val="10"/>
          <w:szCs w:val="10"/>
        </w:rPr>
        <w:footnoteRef/>
      </w:r>
      <w:r w:rsidRPr="0062551C">
        <w:rPr>
          <w:rFonts w:ascii="Garamond" w:hAnsi="Garamond"/>
          <w:color w:val="000000"/>
          <w:sz w:val="10"/>
          <w:szCs w:val="10"/>
        </w:rPr>
        <w:t xml:space="preserve">Komisioni Evropian “COMMUNICATION FROM THE COMMISSION TO THE EUROPEAN PARLIAMENT, THE COUNCIL, THE EUROPEAN ECONOMIC AND SOCIAL COMMITTEE AND THE COMMITTEE OF THE REGIONS on the Global Approach to Research and Innovation Europe's strategy for international cooperation in a changing </w:t>
      </w:r>
      <w:r w:rsidRPr="0062551C">
        <w:rPr>
          <w:rFonts w:ascii="Garamond" w:hAnsi="Garamond"/>
          <w:sz w:val="10"/>
          <w:szCs w:val="10"/>
        </w:rPr>
        <w:t>W</w:t>
      </w:r>
      <w:r w:rsidRPr="0062551C">
        <w:rPr>
          <w:rFonts w:ascii="Garamond" w:hAnsi="Garamond"/>
          <w:color w:val="000000"/>
          <w:sz w:val="10"/>
          <w:szCs w:val="10"/>
        </w:rPr>
        <w:t xml:space="preserve">orld” Brussels, 18.5.2021 COM(2021) 252 final, tek </w:t>
      </w:r>
      <w:hyperlink r:id="rId10">
        <w:r w:rsidRPr="0062551C">
          <w:rPr>
            <w:rFonts w:ascii="Garamond" w:hAnsi="Garamond"/>
            <w:color w:val="0563C1"/>
            <w:sz w:val="10"/>
            <w:szCs w:val="10"/>
            <w:u w:val="single"/>
          </w:rPr>
          <w:t>https://ec.europa.eu/info/sites/default/files/research_and_innovation/strategy_on_research_and_innovation/documents/ec_rtd_com2021-252.pdf</w:t>
        </w:r>
      </w:hyperlink>
      <w:r w:rsidRPr="0062551C">
        <w:rPr>
          <w:rFonts w:ascii="Garamond" w:hAnsi="Garamond"/>
          <w:color w:val="0563C1"/>
          <w:sz w:val="10"/>
          <w:szCs w:val="10"/>
          <w:u w:val="single"/>
        </w:rPr>
        <w:t>.</w:t>
      </w:r>
    </w:p>
  </w:footnote>
  <w:footnote w:id="30">
    <w:p w14:paraId="772221A8" w14:textId="77777777" w:rsidR="007D5D04" w:rsidRPr="0062551C" w:rsidRDefault="007D5D04" w:rsidP="00A66F5C">
      <w:pPr>
        <w:pStyle w:val="TEKSTIIII"/>
        <w:ind w:firstLine="0"/>
        <w:rPr>
          <w:color w:val="000000"/>
          <w:sz w:val="10"/>
          <w:szCs w:val="10"/>
        </w:rPr>
      </w:pPr>
      <w:r w:rsidRPr="0062551C">
        <w:rPr>
          <w:rStyle w:val="FootnoteReference"/>
          <w:sz w:val="10"/>
          <w:szCs w:val="10"/>
        </w:rPr>
        <w:footnoteRef/>
      </w:r>
      <w:hyperlink r:id="rId11">
        <w:r w:rsidRPr="0062551C">
          <w:rPr>
            <w:color w:val="0563C1"/>
            <w:sz w:val="10"/>
            <w:szCs w:val="10"/>
            <w:u w:val="single"/>
          </w:rPr>
          <w:t>https://research-and-innovation.ec.europa.eu/strategy/strategy-2020-2024/our-digital-future/european-research-area_en</w:t>
        </w:r>
      </w:hyperlink>
    </w:p>
  </w:footnote>
  <w:footnote w:id="31">
    <w:p w14:paraId="7372140D" w14:textId="77777777" w:rsidR="007D5D04" w:rsidRPr="0062551C" w:rsidRDefault="007D5D04" w:rsidP="00A66F5C">
      <w:pPr>
        <w:pStyle w:val="TEKSTIIII"/>
        <w:ind w:firstLine="0"/>
        <w:rPr>
          <w:sz w:val="10"/>
          <w:szCs w:val="10"/>
        </w:rPr>
      </w:pPr>
      <w:r w:rsidRPr="0062551C">
        <w:rPr>
          <w:rStyle w:val="FootnoteReference"/>
          <w:sz w:val="10"/>
          <w:szCs w:val="10"/>
        </w:rPr>
        <w:footnoteRef/>
      </w:r>
      <w:hyperlink r:id="rId12">
        <w:r w:rsidRPr="0062551C">
          <w:rPr>
            <w:color w:val="1155CC"/>
            <w:sz w:val="10"/>
            <w:szCs w:val="10"/>
            <w:u w:val="single"/>
          </w:rPr>
          <w:t>https://research-and-innovation.ec.europa.eu/system/files/2021-11/ec_rtd_era-policy-agenda-2021.pdf</w:t>
        </w:r>
      </w:hyperlink>
      <w:r w:rsidRPr="0062551C">
        <w:rPr>
          <w:color w:val="1155CC"/>
          <w:sz w:val="10"/>
          <w:szCs w:val="10"/>
          <w:u w:val="single"/>
        </w:rPr>
        <w:t>.</w:t>
      </w:r>
    </w:p>
  </w:footnote>
  <w:footnote w:id="32">
    <w:p w14:paraId="7A7837D2" w14:textId="77777777" w:rsidR="007D5D04" w:rsidRPr="0062551C" w:rsidRDefault="007D5D04" w:rsidP="00A66F5C">
      <w:pPr>
        <w:pStyle w:val="TEKSTIIII"/>
        <w:ind w:firstLine="0"/>
        <w:rPr>
          <w:color w:val="000000"/>
          <w:sz w:val="10"/>
          <w:szCs w:val="10"/>
        </w:rPr>
      </w:pPr>
      <w:r w:rsidRPr="0062551C">
        <w:rPr>
          <w:rStyle w:val="FootnoteReference"/>
          <w:sz w:val="10"/>
          <w:szCs w:val="10"/>
        </w:rPr>
        <w:footnoteRef/>
      </w:r>
      <w:r w:rsidRPr="0062551C">
        <w:rPr>
          <w:color w:val="000000"/>
          <w:sz w:val="10"/>
          <w:szCs w:val="10"/>
        </w:rPr>
        <w:t>https://research-and-innovation.ec.europa.eu/strategy/strategy-2020-2024/our-digital-future/european-research-infrastructures/eric_en</w:t>
      </w:r>
    </w:p>
  </w:footnote>
  <w:footnote w:id="33">
    <w:p w14:paraId="7102724A" w14:textId="7EBD2552" w:rsidR="007D5D04" w:rsidRPr="00663201" w:rsidRDefault="007D5D04" w:rsidP="00A66F5C">
      <w:pPr>
        <w:pStyle w:val="TEKSTIIII"/>
        <w:ind w:firstLine="0"/>
        <w:rPr>
          <w:color w:val="000000"/>
          <w:sz w:val="16"/>
          <w:szCs w:val="16"/>
        </w:rPr>
      </w:pPr>
      <w:r w:rsidRPr="0062551C">
        <w:rPr>
          <w:rStyle w:val="FootnoteReference"/>
          <w:sz w:val="10"/>
          <w:szCs w:val="10"/>
        </w:rPr>
        <w:footnoteRef/>
      </w:r>
      <w:r w:rsidRPr="0062551C">
        <w:rPr>
          <w:color w:val="000000"/>
          <w:sz w:val="10"/>
          <w:szCs w:val="10"/>
        </w:rPr>
        <w:t>Western Balkans Agenda on Innovation, Research, Education, Culture, Youth &amp; Sport, Political Agenda, European Union 2021.</w:t>
      </w:r>
    </w:p>
  </w:footnote>
  <w:footnote w:id="34">
    <w:p w14:paraId="05E77C98" w14:textId="119E7F8A" w:rsidR="007D5D04" w:rsidRPr="00C37F25" w:rsidRDefault="007D5D04" w:rsidP="00237E11">
      <w:pPr>
        <w:pBdr>
          <w:top w:val="nil"/>
          <w:left w:val="nil"/>
          <w:bottom w:val="nil"/>
          <w:right w:val="nil"/>
          <w:between w:val="nil"/>
        </w:pBdr>
        <w:rPr>
          <w:rFonts w:ascii="Garamond" w:hAnsi="Garamond"/>
          <w:color w:val="000000"/>
          <w:sz w:val="12"/>
          <w:szCs w:val="12"/>
        </w:rPr>
      </w:pPr>
      <w:r w:rsidRPr="00C37F25">
        <w:rPr>
          <w:rStyle w:val="FootnoteReference"/>
          <w:rFonts w:ascii="Garamond" w:hAnsi="Garamond"/>
          <w:sz w:val="12"/>
          <w:szCs w:val="12"/>
        </w:rPr>
        <w:footnoteRef/>
      </w:r>
      <w:r w:rsidRPr="00C37F25">
        <w:rPr>
          <w:rFonts w:ascii="Garamond" w:hAnsi="Garamond"/>
          <w:color w:val="000000"/>
          <w:sz w:val="12"/>
          <w:szCs w:val="12"/>
        </w:rPr>
        <w:t xml:space="preserve"> Shih të dhënat 2021 tek </w:t>
      </w:r>
      <w:hyperlink r:id="rId13" w:history="1">
        <w:r w:rsidRPr="00C37F25">
          <w:rPr>
            <w:rStyle w:val="Hyperlink"/>
            <w:rFonts w:ascii="Garamond" w:hAnsi="Garamond"/>
            <w:sz w:val="12"/>
            <w:szCs w:val="12"/>
          </w:rPr>
          <w:t>https://op.europa.eu/en/web/eu-law-and-publications/publication-detail/-/publication/67d5a207-4da1-11ec-91ac-01aa75ed71a1</w:t>
        </w:r>
      </w:hyperlink>
    </w:p>
  </w:footnote>
  <w:footnote w:id="35">
    <w:p w14:paraId="1CA38280" w14:textId="77777777" w:rsidR="007D5D04" w:rsidRDefault="007D5D04" w:rsidP="00237E11">
      <w:pPr>
        <w:pBdr>
          <w:top w:val="nil"/>
          <w:left w:val="nil"/>
          <w:bottom w:val="nil"/>
          <w:right w:val="nil"/>
          <w:between w:val="nil"/>
        </w:pBdr>
        <w:rPr>
          <w:color w:val="000000"/>
          <w:sz w:val="20"/>
          <w:szCs w:val="20"/>
        </w:rPr>
      </w:pPr>
      <w:r w:rsidRPr="00C37F25">
        <w:rPr>
          <w:rStyle w:val="FootnoteReference"/>
          <w:rFonts w:ascii="Garamond" w:hAnsi="Garamond"/>
          <w:sz w:val="12"/>
          <w:szCs w:val="12"/>
        </w:rPr>
        <w:footnoteRef/>
      </w:r>
      <w:hyperlink r:id="rId14">
        <w:r w:rsidRPr="00C37F25">
          <w:rPr>
            <w:rFonts w:ascii="Garamond" w:hAnsi="Garamond"/>
            <w:color w:val="0563C1"/>
            <w:sz w:val="12"/>
            <w:szCs w:val="12"/>
            <w:u w:val="single"/>
          </w:rPr>
          <w:t>https://scidevcenter.org/network-of-albanian-women-in-stem/</w:t>
        </w:r>
      </w:hyperlink>
    </w:p>
  </w:footnote>
  <w:footnote w:id="36">
    <w:p w14:paraId="47D23394" w14:textId="1E9808CD" w:rsidR="007D5D04" w:rsidRPr="00164045" w:rsidRDefault="007D5D04" w:rsidP="00692502">
      <w:pPr>
        <w:rPr>
          <w:rFonts w:ascii="Garamond" w:hAnsi="Garamond"/>
          <w:sz w:val="12"/>
          <w:szCs w:val="12"/>
        </w:rPr>
      </w:pPr>
      <w:r w:rsidRPr="00164045">
        <w:rPr>
          <w:rStyle w:val="FootnoteReference"/>
          <w:rFonts w:ascii="Garamond" w:hAnsi="Garamond"/>
          <w:sz w:val="12"/>
          <w:szCs w:val="12"/>
        </w:rPr>
        <w:footnoteRef/>
      </w:r>
      <w:r w:rsidRPr="00164045">
        <w:rPr>
          <w:rFonts w:ascii="Garamond" w:hAnsi="Garamond"/>
          <w:sz w:val="12"/>
          <w:szCs w:val="12"/>
        </w:rPr>
        <w:t xml:space="preserve"> Neni 111, </w:t>
      </w:r>
      <w:r>
        <w:rPr>
          <w:rFonts w:ascii="Garamond" w:hAnsi="Garamond"/>
          <w:sz w:val="12"/>
          <w:szCs w:val="12"/>
        </w:rPr>
        <w:t>g</w:t>
      </w:r>
      <w:r w:rsidRPr="00164045">
        <w:rPr>
          <w:rFonts w:ascii="Garamond" w:hAnsi="Garamond"/>
          <w:sz w:val="12"/>
          <w:szCs w:val="12"/>
        </w:rPr>
        <w:t>ranti i politikave të zhvillimit për institucionet publike të arsimit të lartë.</w:t>
      </w:r>
    </w:p>
  </w:footnote>
  <w:footnote w:id="37">
    <w:p w14:paraId="66118EC1" w14:textId="3951E6E3" w:rsidR="007D5D04" w:rsidRPr="00164045" w:rsidRDefault="007D5D04" w:rsidP="00692502">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 xml:space="preserve"> Ministria e Financave (2021) </w:t>
      </w:r>
      <w:hyperlink r:id="rId15">
        <w:r w:rsidRPr="00164045">
          <w:rPr>
            <w:rFonts w:ascii="Garamond" w:hAnsi="Garamond"/>
            <w:color w:val="0563C1"/>
            <w:sz w:val="12"/>
            <w:szCs w:val="12"/>
            <w:u w:val="single"/>
          </w:rPr>
          <w:t>https://www.financa.gov.al/wp-content/uploads/2021/02/Economic-Reform-Programme-2021-2023.pdf</w:t>
        </w:r>
      </w:hyperlink>
      <w:r w:rsidRPr="00164045">
        <w:rPr>
          <w:rFonts w:ascii="Garamond" w:hAnsi="Garamond"/>
          <w:color w:val="0563C1"/>
          <w:sz w:val="12"/>
          <w:szCs w:val="12"/>
          <w:u w:val="single"/>
        </w:rPr>
        <w:t>.</w:t>
      </w:r>
    </w:p>
  </w:footnote>
  <w:footnote w:id="38">
    <w:p w14:paraId="4A9E61B9" w14:textId="77777777" w:rsidR="007D5D04" w:rsidRPr="00164045" w:rsidRDefault="007D5D04" w:rsidP="00692502">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Regional Cooperation Council (2022) “</w:t>
      </w:r>
      <w:r w:rsidRPr="00164045">
        <w:rPr>
          <w:rFonts w:ascii="Garamond" w:hAnsi="Garamond"/>
          <w:i/>
          <w:color w:val="000000"/>
          <w:sz w:val="12"/>
          <w:szCs w:val="12"/>
        </w:rPr>
        <w:t>Research Infrastructure Roadmap for Albania</w:t>
      </w:r>
      <w:r w:rsidRPr="00164045">
        <w:rPr>
          <w:rFonts w:ascii="Garamond" w:hAnsi="Garamond"/>
          <w:color w:val="000000"/>
          <w:sz w:val="12"/>
          <w:szCs w:val="12"/>
        </w:rPr>
        <w:t>” i aksesueshëm tek https://www.rcc.int/download/docs/RI%20Roadmap%20Albania%20digital.pdf/c4abcbbc24ec0f623156ef8b257adebf.pdf</w:t>
      </w:r>
    </w:p>
  </w:footnote>
  <w:footnote w:id="39">
    <w:p w14:paraId="3917C75B" w14:textId="77777777" w:rsidR="007D5D04" w:rsidRPr="00164045" w:rsidRDefault="007D5D04" w:rsidP="00692502">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Ibid.</w:t>
      </w:r>
    </w:p>
  </w:footnote>
  <w:footnote w:id="40">
    <w:p w14:paraId="6047BD08" w14:textId="77777777" w:rsidR="007D5D04" w:rsidRPr="00164045" w:rsidRDefault="007D5D04" w:rsidP="00692502">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 xml:space="preserve"> Regional Cooperation Council (2022) “</w:t>
      </w:r>
      <w:r w:rsidRPr="00164045">
        <w:rPr>
          <w:rFonts w:ascii="Garamond" w:hAnsi="Garamond"/>
          <w:i/>
          <w:color w:val="000000"/>
          <w:sz w:val="12"/>
          <w:szCs w:val="12"/>
        </w:rPr>
        <w:t>Research Infrastructure Roadmap for Albania</w:t>
      </w:r>
      <w:r w:rsidRPr="00164045">
        <w:rPr>
          <w:rFonts w:ascii="Garamond" w:hAnsi="Garamond"/>
          <w:color w:val="000000"/>
          <w:sz w:val="12"/>
          <w:szCs w:val="12"/>
        </w:rPr>
        <w:t xml:space="preserve">” i aksesueshëm tek </w:t>
      </w:r>
      <w:hyperlink r:id="rId16">
        <w:r w:rsidRPr="00164045">
          <w:rPr>
            <w:rFonts w:ascii="Garamond" w:hAnsi="Garamond"/>
            <w:color w:val="0563C1"/>
            <w:sz w:val="12"/>
            <w:szCs w:val="12"/>
            <w:u w:val="single"/>
          </w:rPr>
          <w:t>https://www.rcc.int/download/docs/RI%20Roadmap%20Albania%20digital.pdf/c4abcbbc24ec0f623156ef8b257adebf.pdf</w:t>
        </w:r>
      </w:hyperlink>
      <w:r w:rsidRPr="00164045">
        <w:rPr>
          <w:rFonts w:ascii="Garamond" w:hAnsi="Garamond"/>
          <w:color w:val="000000"/>
          <w:sz w:val="12"/>
          <w:szCs w:val="12"/>
        </w:rPr>
        <w:t>, faqe 6.</w:t>
      </w:r>
    </w:p>
  </w:footnote>
  <w:footnote w:id="41">
    <w:p w14:paraId="3B2BC6FB" w14:textId="77777777" w:rsidR="007D5D04" w:rsidRPr="00164045" w:rsidRDefault="007D5D04" w:rsidP="00692502">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 xml:space="preserve"> Regional Cooperation Council (2022) “</w:t>
      </w:r>
      <w:r w:rsidRPr="00164045">
        <w:rPr>
          <w:rFonts w:ascii="Garamond" w:hAnsi="Garamond"/>
          <w:i/>
          <w:color w:val="000000"/>
          <w:sz w:val="12"/>
          <w:szCs w:val="12"/>
        </w:rPr>
        <w:t>Research Infrastructure Roadmap for Albania</w:t>
      </w:r>
      <w:r w:rsidRPr="00164045">
        <w:rPr>
          <w:rFonts w:ascii="Garamond" w:hAnsi="Garamond"/>
          <w:color w:val="000000"/>
          <w:sz w:val="12"/>
          <w:szCs w:val="12"/>
        </w:rPr>
        <w:t xml:space="preserve">” i aksesueshëm tek </w:t>
      </w:r>
      <w:hyperlink r:id="rId17">
        <w:r w:rsidRPr="00164045">
          <w:rPr>
            <w:rFonts w:ascii="Garamond" w:hAnsi="Garamond"/>
            <w:color w:val="0563C1"/>
            <w:sz w:val="12"/>
            <w:szCs w:val="12"/>
            <w:u w:val="single"/>
          </w:rPr>
          <w:t>https://www.rcc.int/download/docs/RI%20Roadmap%20Albania%20digital.pdf/c4abcbbc24ec0f623156ef8b257adebf.pdf</w:t>
        </w:r>
      </w:hyperlink>
      <w:r w:rsidRPr="00164045">
        <w:rPr>
          <w:rFonts w:ascii="Garamond" w:hAnsi="Garamond"/>
          <w:color w:val="000000"/>
          <w:sz w:val="12"/>
          <w:szCs w:val="12"/>
        </w:rPr>
        <w:t>, faqe 6.</w:t>
      </w:r>
    </w:p>
  </w:footnote>
  <w:footnote w:id="42">
    <w:p w14:paraId="197D5451" w14:textId="53B2E410" w:rsidR="007D5D04" w:rsidRPr="00164045" w:rsidRDefault="007D5D04" w:rsidP="007959B4">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Shih memorandumin e mirëkuptimit lidhur midis INSTAT-it dhe AKKSHI-it, datë 10.7.2020, nr. prot. 296.</w:t>
      </w:r>
    </w:p>
  </w:footnote>
  <w:footnote w:id="43">
    <w:p w14:paraId="781865B0" w14:textId="77777777" w:rsidR="007D5D04" w:rsidRPr="007003CA" w:rsidRDefault="007D5D04" w:rsidP="007959B4">
      <w:pPr>
        <w:pBdr>
          <w:top w:val="nil"/>
          <w:left w:val="nil"/>
          <w:bottom w:val="nil"/>
          <w:right w:val="nil"/>
          <w:between w:val="nil"/>
        </w:pBdr>
        <w:rPr>
          <w:rFonts w:ascii="Garamond" w:hAnsi="Garamond"/>
          <w:color w:val="000000"/>
          <w:sz w:val="16"/>
          <w:szCs w:val="16"/>
        </w:rPr>
      </w:pPr>
      <w:r w:rsidRPr="007003CA">
        <w:rPr>
          <w:rStyle w:val="FootnoteReference"/>
          <w:rFonts w:ascii="Garamond" w:hAnsi="Garamond"/>
          <w:sz w:val="16"/>
          <w:szCs w:val="16"/>
        </w:rPr>
        <w:footnoteRef/>
      </w:r>
      <w:r w:rsidRPr="007003CA">
        <w:rPr>
          <w:rFonts w:ascii="Garamond" w:hAnsi="Garamond"/>
          <w:color w:val="000000"/>
          <w:sz w:val="16"/>
          <w:szCs w:val="16"/>
        </w:rPr>
        <w:t xml:space="preserve">Për më tepër shiko: </w:t>
      </w:r>
      <w:hyperlink r:id="rId18" w:anchor=":~:text=%E2%80%9CUniversity%20to%20Society%20Innomediaries%20in,11%20partners%20in%20Albania%2C%20Serbia">
        <w:r w:rsidRPr="007003CA">
          <w:rPr>
            <w:rFonts w:ascii="Garamond" w:hAnsi="Garamond"/>
            <w:color w:val="0563C1"/>
            <w:sz w:val="16"/>
            <w:szCs w:val="16"/>
            <w:u w:val="single"/>
          </w:rPr>
          <w:t>https://usia.al/about-project/#:~:text=%E2%80%9CUniversity%20to%20Society%20Innomediaries%20in,11%20partners%20in%20Albania%2C%20Serbia</w:t>
        </w:r>
      </w:hyperlink>
    </w:p>
  </w:footnote>
  <w:footnote w:id="44">
    <w:p w14:paraId="5B020EF7" w14:textId="77777777" w:rsidR="007D5D04" w:rsidRPr="00164045" w:rsidRDefault="007D5D04" w:rsidP="007959B4">
      <w:pPr>
        <w:pBdr>
          <w:top w:val="nil"/>
          <w:left w:val="nil"/>
          <w:bottom w:val="nil"/>
          <w:right w:val="nil"/>
          <w:between w:val="nil"/>
        </w:pBdr>
        <w:rPr>
          <w:rFonts w:ascii="Garamond" w:hAnsi="Garamond"/>
          <w:color w:val="000000"/>
          <w:sz w:val="12"/>
          <w:szCs w:val="12"/>
        </w:rPr>
      </w:pPr>
      <w:r w:rsidRPr="00164045">
        <w:rPr>
          <w:rStyle w:val="FootnoteReference"/>
          <w:rFonts w:ascii="Garamond" w:hAnsi="Garamond"/>
          <w:sz w:val="12"/>
          <w:szCs w:val="12"/>
        </w:rPr>
        <w:footnoteRef/>
      </w:r>
      <w:r w:rsidRPr="00164045">
        <w:rPr>
          <w:rFonts w:ascii="Garamond" w:hAnsi="Garamond"/>
          <w:color w:val="000000"/>
          <w:sz w:val="12"/>
          <w:szCs w:val="12"/>
        </w:rPr>
        <w:t xml:space="preserve">Për më tepër shiko </w:t>
      </w:r>
      <w:hyperlink r:id="rId19">
        <w:r w:rsidRPr="00164045">
          <w:rPr>
            <w:rFonts w:ascii="Garamond" w:hAnsi="Garamond"/>
            <w:color w:val="0563C1"/>
            <w:sz w:val="12"/>
            <w:szCs w:val="12"/>
            <w:u w:val="single"/>
          </w:rPr>
          <w:t>https://www.cci.al/en/university-to-society-innomediaries-in-albania-co-production-of-knowledge-and-research-that-matters/</w:t>
        </w:r>
      </w:hyperlink>
    </w:p>
  </w:footnote>
  <w:footnote w:id="45">
    <w:p w14:paraId="790507A6" w14:textId="77777777" w:rsidR="007D5D04" w:rsidRPr="007003CA" w:rsidRDefault="007D5D04" w:rsidP="007959B4">
      <w:pPr>
        <w:pBdr>
          <w:top w:val="nil"/>
          <w:left w:val="nil"/>
          <w:bottom w:val="nil"/>
          <w:right w:val="nil"/>
          <w:between w:val="nil"/>
        </w:pBdr>
        <w:rPr>
          <w:rFonts w:ascii="Garamond" w:hAnsi="Garamond"/>
          <w:color w:val="000000"/>
          <w:sz w:val="16"/>
          <w:szCs w:val="16"/>
        </w:rPr>
      </w:pPr>
      <w:r w:rsidRPr="00164045">
        <w:rPr>
          <w:rStyle w:val="FootnoteReference"/>
          <w:rFonts w:ascii="Garamond" w:hAnsi="Garamond"/>
          <w:sz w:val="12"/>
          <w:szCs w:val="12"/>
        </w:rPr>
        <w:footnoteRef/>
      </w:r>
      <w:r w:rsidRPr="00164045">
        <w:rPr>
          <w:rFonts w:ascii="Garamond" w:hAnsi="Garamond"/>
          <w:color w:val="000000"/>
          <w:sz w:val="12"/>
          <w:szCs w:val="12"/>
        </w:rPr>
        <w:t xml:space="preserve">Për më tepër shiko: </w:t>
      </w:r>
      <w:hyperlink r:id="rId20">
        <w:r w:rsidRPr="00164045">
          <w:rPr>
            <w:rFonts w:ascii="Garamond" w:hAnsi="Garamond"/>
            <w:color w:val="0563C1"/>
            <w:sz w:val="12"/>
            <w:szCs w:val="12"/>
            <w:u w:val="single"/>
          </w:rPr>
          <w:t>https://usia.al/mauris-a-diam-maecenas-sed-enim-ut-sem-viverra-aliquet/</w:t>
        </w:r>
      </w:hyperlink>
    </w:p>
  </w:footnote>
  <w:footnote w:id="46">
    <w:p w14:paraId="5103570D" w14:textId="77777777" w:rsidR="007D5D04" w:rsidRPr="00BE44F0" w:rsidRDefault="007D5D04" w:rsidP="007959B4">
      <w:pPr>
        <w:pBdr>
          <w:top w:val="nil"/>
          <w:left w:val="nil"/>
          <w:bottom w:val="nil"/>
          <w:right w:val="nil"/>
          <w:between w:val="nil"/>
        </w:pBdr>
        <w:rPr>
          <w:rFonts w:ascii="Garamond" w:eastAsia="Times New Roman" w:hAnsi="Garamond"/>
          <w:color w:val="000000"/>
          <w:sz w:val="12"/>
          <w:szCs w:val="12"/>
        </w:rPr>
      </w:pPr>
      <w:r w:rsidRPr="00BE44F0">
        <w:rPr>
          <w:rStyle w:val="FootnoteReference"/>
          <w:rFonts w:ascii="Garamond" w:hAnsi="Garamond"/>
          <w:sz w:val="12"/>
          <w:szCs w:val="12"/>
        </w:rPr>
        <w:footnoteRef/>
      </w:r>
      <w:r w:rsidRPr="00BE44F0">
        <w:rPr>
          <w:rFonts w:ascii="Garamond" w:eastAsia="Times New Roman" w:hAnsi="Garamond"/>
          <w:color w:val="000000"/>
          <w:sz w:val="12"/>
          <w:szCs w:val="12"/>
        </w:rPr>
        <w:t xml:space="preserve"> Fondi i Konkurrueshmërisë, për periudhën referuese, me një total prej 94 000 000 lekë.</w:t>
      </w:r>
    </w:p>
    <w:p w14:paraId="082F6F5C" w14:textId="6130B70A" w:rsidR="007D5D04" w:rsidRPr="00BE44F0" w:rsidRDefault="007D5D04" w:rsidP="007959B4">
      <w:pPr>
        <w:pBdr>
          <w:top w:val="nil"/>
          <w:left w:val="nil"/>
          <w:bottom w:val="nil"/>
          <w:right w:val="nil"/>
          <w:between w:val="nil"/>
        </w:pBdr>
        <w:rPr>
          <w:rFonts w:ascii="Garamond" w:eastAsia="Times New Roman" w:hAnsi="Garamond"/>
          <w:color w:val="000000"/>
          <w:sz w:val="12"/>
          <w:szCs w:val="12"/>
        </w:rPr>
      </w:pPr>
      <w:r w:rsidRPr="00BE44F0">
        <w:rPr>
          <w:rFonts w:ascii="Garamond" w:eastAsia="Times New Roman" w:hAnsi="Garamond"/>
          <w:color w:val="000000"/>
          <w:sz w:val="12"/>
          <w:szCs w:val="12"/>
        </w:rPr>
        <w:t xml:space="preserve">• Fondi në Mbështetje të Sipërmarrjeve të Reja </w:t>
      </w:r>
      <w:r w:rsidRPr="00BE44F0">
        <w:rPr>
          <w:rFonts w:ascii="Garamond" w:eastAsia="Times New Roman" w:hAnsi="Garamond"/>
          <w:i/>
          <w:color w:val="000000"/>
          <w:sz w:val="12"/>
          <w:szCs w:val="12"/>
        </w:rPr>
        <w:t>Startup</w:t>
      </w:r>
      <w:r w:rsidRPr="00BE44F0">
        <w:rPr>
          <w:rFonts w:ascii="Garamond" w:eastAsia="Times New Roman" w:hAnsi="Garamond"/>
          <w:color w:val="000000"/>
          <w:sz w:val="12"/>
          <w:szCs w:val="12"/>
        </w:rPr>
        <w:t>, për periudhën referuese, me një total prej 30 000 000 lekë.</w:t>
      </w:r>
    </w:p>
    <w:p w14:paraId="1ECFC389" w14:textId="77777777" w:rsidR="007D5D04" w:rsidRPr="00BE44F0" w:rsidRDefault="007D5D04" w:rsidP="007959B4">
      <w:pPr>
        <w:pBdr>
          <w:top w:val="nil"/>
          <w:left w:val="nil"/>
          <w:bottom w:val="nil"/>
          <w:right w:val="nil"/>
          <w:between w:val="nil"/>
        </w:pBdr>
        <w:rPr>
          <w:rFonts w:ascii="Garamond" w:eastAsia="Times New Roman" w:hAnsi="Garamond"/>
          <w:color w:val="000000"/>
          <w:sz w:val="12"/>
          <w:szCs w:val="12"/>
        </w:rPr>
      </w:pPr>
      <w:r w:rsidRPr="00BE44F0">
        <w:rPr>
          <w:rFonts w:ascii="Garamond" w:eastAsia="Times New Roman" w:hAnsi="Garamond"/>
          <w:color w:val="000000"/>
          <w:sz w:val="12"/>
          <w:szCs w:val="12"/>
        </w:rPr>
        <w:t>• Fondi i Inovacionit, për periudhën referuese, me një total prej 40 000 000 lekë.</w:t>
      </w:r>
    </w:p>
    <w:p w14:paraId="238D3191" w14:textId="24EAF165" w:rsidR="007D5D04" w:rsidRPr="00BE44F0" w:rsidRDefault="007D5D04" w:rsidP="007959B4">
      <w:pPr>
        <w:pBdr>
          <w:top w:val="nil"/>
          <w:left w:val="nil"/>
          <w:bottom w:val="nil"/>
          <w:right w:val="nil"/>
          <w:between w:val="nil"/>
        </w:pBdr>
        <w:rPr>
          <w:rFonts w:ascii="Times New Roman" w:eastAsia="Times New Roman" w:hAnsi="Times New Roman"/>
          <w:color w:val="000000"/>
          <w:sz w:val="12"/>
          <w:szCs w:val="12"/>
        </w:rPr>
      </w:pPr>
      <w:r w:rsidRPr="00BE44F0">
        <w:rPr>
          <w:rFonts w:ascii="Garamond" w:eastAsia="Times New Roman" w:hAnsi="Garamond"/>
          <w:color w:val="000000"/>
          <w:sz w:val="12"/>
          <w:szCs w:val="12"/>
        </w:rPr>
        <w:t>• Fondi i Ekonomisë Kreative, (Artizanatit), për periudhën referuese, me një total prej 30 000 000 lekë.</w:t>
      </w:r>
    </w:p>
  </w:footnote>
  <w:footnote w:id="47">
    <w:p w14:paraId="7AB3567F"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7003CA">
        <w:rPr>
          <w:rStyle w:val="FootnoteReference"/>
          <w:rFonts w:ascii="Garamond" w:hAnsi="Garamond"/>
          <w:sz w:val="16"/>
          <w:szCs w:val="16"/>
        </w:rPr>
        <w:footnoteRef/>
      </w:r>
      <w:r w:rsidRPr="007003CA">
        <w:rPr>
          <w:rFonts w:ascii="Garamond" w:hAnsi="Garamond"/>
          <w:color w:val="000000"/>
          <w:sz w:val="16"/>
          <w:szCs w:val="16"/>
        </w:rPr>
        <w:t xml:space="preserve"> </w:t>
      </w:r>
      <w:r w:rsidRPr="0060305A">
        <w:rPr>
          <w:rFonts w:ascii="Garamond" w:hAnsi="Garamond"/>
          <w:color w:val="000000"/>
          <w:sz w:val="12"/>
          <w:szCs w:val="12"/>
        </w:rPr>
        <w:t xml:space="preserve">Detyrat kryesore të QTTB-ve, përfshijnë: </w:t>
      </w:r>
    </w:p>
    <w:p w14:paraId="4D0A49A3"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Identifikimin, testimin, përshtatjen dhe futjen në praktikat bujqësore të metodave dhe materialeve (inputeve) të reja për vendin.</w:t>
      </w:r>
    </w:p>
    <w:p w14:paraId="1EB7C3AA"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Përgatitjen e paketave teknologjike për kulturat bujqësore kryesore dhe mbarështimin e kafshëve.</w:t>
      </w:r>
    </w:p>
    <w:p w14:paraId="0ADA153F"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Kërkime dhe testime në ferma bujqësore për problemet e ngritura nga fermerët e rajoneve përkatës.</w:t>
      </w:r>
    </w:p>
    <w:p w14:paraId="6B6DC61C" w14:textId="30B66FC1"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Trajnime për specialistë të bujqësisë, fermerë, studentë të shkencave bujqësore dhe subjekte të tjer</w:t>
      </w:r>
      <w:r>
        <w:rPr>
          <w:rFonts w:ascii="Garamond" w:hAnsi="Garamond"/>
          <w:color w:val="000000"/>
          <w:sz w:val="12"/>
          <w:szCs w:val="12"/>
        </w:rPr>
        <w:t>a</w:t>
      </w:r>
      <w:r w:rsidRPr="0060305A">
        <w:rPr>
          <w:rFonts w:ascii="Garamond" w:hAnsi="Garamond"/>
          <w:color w:val="000000"/>
          <w:sz w:val="12"/>
          <w:szCs w:val="12"/>
        </w:rPr>
        <w:t xml:space="preserve"> të interesuar.</w:t>
      </w:r>
    </w:p>
    <w:p w14:paraId="6D561129"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Sigurimin e ekspertizës teknike për strukturat e shërbimit këshillimor dhe fermerët.</w:t>
      </w:r>
    </w:p>
    <w:p w14:paraId="19DD4ECD"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Demonstrimin e teknologjive të reja të kultivimit të kulturave bujqësore dhe mbarështimit të blegtorisë.</w:t>
      </w:r>
    </w:p>
    <w:p w14:paraId="5A24E085" w14:textId="77777777"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Përgatitjen dhe publikimin e materialeve divulgative për specialistët e bujqësisë dhe fermerët.</w:t>
      </w:r>
    </w:p>
    <w:p w14:paraId="53C6242F" w14:textId="03D229EF" w:rsidR="007D5D04" w:rsidRPr="0060305A" w:rsidRDefault="007D5D04" w:rsidP="007959B4">
      <w:pPr>
        <w:pBdr>
          <w:top w:val="nil"/>
          <w:left w:val="nil"/>
          <w:bottom w:val="nil"/>
          <w:right w:val="nil"/>
          <w:between w:val="nil"/>
        </w:pBdr>
        <w:rPr>
          <w:rFonts w:ascii="Garamond" w:hAnsi="Garamond"/>
          <w:color w:val="000000"/>
          <w:sz w:val="12"/>
          <w:szCs w:val="12"/>
        </w:rPr>
      </w:pPr>
      <w:r w:rsidRPr="0060305A">
        <w:rPr>
          <w:rFonts w:ascii="Garamond" w:hAnsi="Garamond"/>
          <w:color w:val="000000"/>
          <w:sz w:val="12"/>
          <w:szCs w:val="12"/>
        </w:rPr>
        <w:t>Mbështetjen me informacion të politikëbërjes nga ana e MBUMK-së në fushën e bujqësisë, ushqimit, mbrojtjes së konsumatorit dhe zhvillimit rural.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B8000" w14:textId="77777777" w:rsidR="007D5D04" w:rsidRDefault="007D5D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883133"/>
    <w:multiLevelType w:val="hybridMultilevel"/>
    <w:tmpl w:val="2E9EA88E"/>
    <w:lvl w:ilvl="0" w:tplc="76343470">
      <w:start w:val="1050"/>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067"/>
    <w:rsid w:val="0000516E"/>
    <w:rsid w:val="00012DD0"/>
    <w:rsid w:val="000154B5"/>
    <w:rsid w:val="00033C7F"/>
    <w:rsid w:val="0004091B"/>
    <w:rsid w:val="00052A45"/>
    <w:rsid w:val="000536A7"/>
    <w:rsid w:val="00055A3F"/>
    <w:rsid w:val="000564F0"/>
    <w:rsid w:val="00074106"/>
    <w:rsid w:val="00076E87"/>
    <w:rsid w:val="00084667"/>
    <w:rsid w:val="0008615B"/>
    <w:rsid w:val="00092A39"/>
    <w:rsid w:val="00094425"/>
    <w:rsid w:val="000963C8"/>
    <w:rsid w:val="000A23F0"/>
    <w:rsid w:val="000A62D3"/>
    <w:rsid w:val="000A6A12"/>
    <w:rsid w:val="000B110B"/>
    <w:rsid w:val="000B3A7A"/>
    <w:rsid w:val="000C286E"/>
    <w:rsid w:val="000C5E7E"/>
    <w:rsid w:val="000C6587"/>
    <w:rsid w:val="000D1853"/>
    <w:rsid w:val="000D4CFE"/>
    <w:rsid w:val="000E4B1B"/>
    <w:rsid w:val="000E7CDF"/>
    <w:rsid w:val="000F0EFD"/>
    <w:rsid w:val="000F1FB8"/>
    <w:rsid w:val="000F2CF5"/>
    <w:rsid w:val="000F3609"/>
    <w:rsid w:val="001042CC"/>
    <w:rsid w:val="00104D70"/>
    <w:rsid w:val="00105006"/>
    <w:rsid w:val="00164045"/>
    <w:rsid w:val="0016577A"/>
    <w:rsid w:val="0016788E"/>
    <w:rsid w:val="00171D41"/>
    <w:rsid w:val="001748C0"/>
    <w:rsid w:val="00175D90"/>
    <w:rsid w:val="00176F32"/>
    <w:rsid w:val="00183704"/>
    <w:rsid w:val="00183ECB"/>
    <w:rsid w:val="001958AB"/>
    <w:rsid w:val="001A1929"/>
    <w:rsid w:val="001A466A"/>
    <w:rsid w:val="001A6119"/>
    <w:rsid w:val="001A6B57"/>
    <w:rsid w:val="001A7C42"/>
    <w:rsid w:val="001B3546"/>
    <w:rsid w:val="001C0D91"/>
    <w:rsid w:val="001C1204"/>
    <w:rsid w:val="001C58DF"/>
    <w:rsid w:val="001C5F9D"/>
    <w:rsid w:val="001D192A"/>
    <w:rsid w:val="001D2067"/>
    <w:rsid w:val="001D22CA"/>
    <w:rsid w:val="001D2F62"/>
    <w:rsid w:val="001D5658"/>
    <w:rsid w:val="001E1C90"/>
    <w:rsid w:val="001F5124"/>
    <w:rsid w:val="0020362D"/>
    <w:rsid w:val="0020512E"/>
    <w:rsid w:val="00207308"/>
    <w:rsid w:val="00211DAC"/>
    <w:rsid w:val="00230A5F"/>
    <w:rsid w:val="00232A08"/>
    <w:rsid w:val="002372D7"/>
    <w:rsid w:val="00237E11"/>
    <w:rsid w:val="002446B0"/>
    <w:rsid w:val="00254183"/>
    <w:rsid w:val="00261CC3"/>
    <w:rsid w:val="00266AC7"/>
    <w:rsid w:val="00271FFF"/>
    <w:rsid w:val="00276435"/>
    <w:rsid w:val="00286239"/>
    <w:rsid w:val="00286AEC"/>
    <w:rsid w:val="00292B8F"/>
    <w:rsid w:val="002B01F0"/>
    <w:rsid w:val="002B7277"/>
    <w:rsid w:val="002C5774"/>
    <w:rsid w:val="002D135E"/>
    <w:rsid w:val="002D75A1"/>
    <w:rsid w:val="002E4460"/>
    <w:rsid w:val="002E6FEB"/>
    <w:rsid w:val="002E7F45"/>
    <w:rsid w:val="00302CF9"/>
    <w:rsid w:val="0030411A"/>
    <w:rsid w:val="003135CB"/>
    <w:rsid w:val="0031386C"/>
    <w:rsid w:val="0032371E"/>
    <w:rsid w:val="00327E51"/>
    <w:rsid w:val="0033218F"/>
    <w:rsid w:val="00332E22"/>
    <w:rsid w:val="003419BA"/>
    <w:rsid w:val="00347F3F"/>
    <w:rsid w:val="00350485"/>
    <w:rsid w:val="003528FB"/>
    <w:rsid w:val="00356A3B"/>
    <w:rsid w:val="003577CF"/>
    <w:rsid w:val="00372BD1"/>
    <w:rsid w:val="003858D7"/>
    <w:rsid w:val="00392393"/>
    <w:rsid w:val="003A5468"/>
    <w:rsid w:val="003B0157"/>
    <w:rsid w:val="003B55FF"/>
    <w:rsid w:val="003B7F0F"/>
    <w:rsid w:val="003D34D2"/>
    <w:rsid w:val="003D7E58"/>
    <w:rsid w:val="003F398D"/>
    <w:rsid w:val="003F3B77"/>
    <w:rsid w:val="00404504"/>
    <w:rsid w:val="00404635"/>
    <w:rsid w:val="00416D15"/>
    <w:rsid w:val="00417E27"/>
    <w:rsid w:val="004233A6"/>
    <w:rsid w:val="00426B05"/>
    <w:rsid w:val="00430904"/>
    <w:rsid w:val="00431E1B"/>
    <w:rsid w:val="00442899"/>
    <w:rsid w:val="00443AC0"/>
    <w:rsid w:val="004511C3"/>
    <w:rsid w:val="00471181"/>
    <w:rsid w:val="00493DB6"/>
    <w:rsid w:val="004A15B6"/>
    <w:rsid w:val="004A316E"/>
    <w:rsid w:val="004B0D13"/>
    <w:rsid w:val="004C0883"/>
    <w:rsid w:val="004D13ED"/>
    <w:rsid w:val="004E19E4"/>
    <w:rsid w:val="004E42CD"/>
    <w:rsid w:val="004E4B53"/>
    <w:rsid w:val="004F01EA"/>
    <w:rsid w:val="004F4CF5"/>
    <w:rsid w:val="005008F1"/>
    <w:rsid w:val="00506F46"/>
    <w:rsid w:val="0051229A"/>
    <w:rsid w:val="005124CC"/>
    <w:rsid w:val="00520A1C"/>
    <w:rsid w:val="0052120F"/>
    <w:rsid w:val="005274ED"/>
    <w:rsid w:val="0054339C"/>
    <w:rsid w:val="0054389C"/>
    <w:rsid w:val="00545359"/>
    <w:rsid w:val="00554D68"/>
    <w:rsid w:val="00556E71"/>
    <w:rsid w:val="00557612"/>
    <w:rsid w:val="00562DB4"/>
    <w:rsid w:val="00566834"/>
    <w:rsid w:val="00566A49"/>
    <w:rsid w:val="0056735B"/>
    <w:rsid w:val="00576A15"/>
    <w:rsid w:val="005826E0"/>
    <w:rsid w:val="005918CD"/>
    <w:rsid w:val="00595768"/>
    <w:rsid w:val="005A2D8A"/>
    <w:rsid w:val="005B66C1"/>
    <w:rsid w:val="005C6FDF"/>
    <w:rsid w:val="005D2B76"/>
    <w:rsid w:val="005D53F8"/>
    <w:rsid w:val="005D7D16"/>
    <w:rsid w:val="005E38FB"/>
    <w:rsid w:val="005E43C0"/>
    <w:rsid w:val="005F7B90"/>
    <w:rsid w:val="0060305A"/>
    <w:rsid w:val="00603E69"/>
    <w:rsid w:val="00605514"/>
    <w:rsid w:val="0060605F"/>
    <w:rsid w:val="0060735E"/>
    <w:rsid w:val="0061006C"/>
    <w:rsid w:val="006105CE"/>
    <w:rsid w:val="00616B79"/>
    <w:rsid w:val="00623B89"/>
    <w:rsid w:val="00625401"/>
    <w:rsid w:val="0062551C"/>
    <w:rsid w:val="00630BC8"/>
    <w:rsid w:val="00634680"/>
    <w:rsid w:val="006353DC"/>
    <w:rsid w:val="00640DCA"/>
    <w:rsid w:val="00654162"/>
    <w:rsid w:val="0065782D"/>
    <w:rsid w:val="00657978"/>
    <w:rsid w:val="0066283C"/>
    <w:rsid w:val="00663201"/>
    <w:rsid w:val="0066413C"/>
    <w:rsid w:val="00667982"/>
    <w:rsid w:val="0067034B"/>
    <w:rsid w:val="00671746"/>
    <w:rsid w:val="00681134"/>
    <w:rsid w:val="00682C7C"/>
    <w:rsid w:val="00684CEA"/>
    <w:rsid w:val="006869CA"/>
    <w:rsid w:val="00692502"/>
    <w:rsid w:val="00695407"/>
    <w:rsid w:val="00695B0D"/>
    <w:rsid w:val="00696774"/>
    <w:rsid w:val="00697028"/>
    <w:rsid w:val="006A24E5"/>
    <w:rsid w:val="006A3F62"/>
    <w:rsid w:val="006A4DC7"/>
    <w:rsid w:val="006B1B20"/>
    <w:rsid w:val="006B5A01"/>
    <w:rsid w:val="006C1EA8"/>
    <w:rsid w:val="006C302F"/>
    <w:rsid w:val="006D4F16"/>
    <w:rsid w:val="006F5674"/>
    <w:rsid w:val="006F60FE"/>
    <w:rsid w:val="007003CA"/>
    <w:rsid w:val="007024AA"/>
    <w:rsid w:val="007063A5"/>
    <w:rsid w:val="00710FBE"/>
    <w:rsid w:val="00711FDE"/>
    <w:rsid w:val="007171BF"/>
    <w:rsid w:val="0072114C"/>
    <w:rsid w:val="00722049"/>
    <w:rsid w:val="00723E28"/>
    <w:rsid w:val="00723EAA"/>
    <w:rsid w:val="007243A9"/>
    <w:rsid w:val="00733325"/>
    <w:rsid w:val="007348AE"/>
    <w:rsid w:val="00746824"/>
    <w:rsid w:val="0074762D"/>
    <w:rsid w:val="00750D3B"/>
    <w:rsid w:val="00751ED8"/>
    <w:rsid w:val="00752F26"/>
    <w:rsid w:val="0075686D"/>
    <w:rsid w:val="007623E8"/>
    <w:rsid w:val="007626E9"/>
    <w:rsid w:val="00770FF0"/>
    <w:rsid w:val="007715D0"/>
    <w:rsid w:val="00793C24"/>
    <w:rsid w:val="007959B4"/>
    <w:rsid w:val="007A31E8"/>
    <w:rsid w:val="007B4732"/>
    <w:rsid w:val="007B6632"/>
    <w:rsid w:val="007D327E"/>
    <w:rsid w:val="007D5D04"/>
    <w:rsid w:val="007E36E3"/>
    <w:rsid w:val="007E5B11"/>
    <w:rsid w:val="007E5DDC"/>
    <w:rsid w:val="007E7014"/>
    <w:rsid w:val="007F11D2"/>
    <w:rsid w:val="007F1D8B"/>
    <w:rsid w:val="007F2CC2"/>
    <w:rsid w:val="007F4552"/>
    <w:rsid w:val="007F4F09"/>
    <w:rsid w:val="007F5CAC"/>
    <w:rsid w:val="007F612F"/>
    <w:rsid w:val="00803B63"/>
    <w:rsid w:val="008041A1"/>
    <w:rsid w:val="008100D8"/>
    <w:rsid w:val="00814463"/>
    <w:rsid w:val="008257CD"/>
    <w:rsid w:val="00825FA5"/>
    <w:rsid w:val="00826D74"/>
    <w:rsid w:val="00826EAF"/>
    <w:rsid w:val="008345F3"/>
    <w:rsid w:val="00840E19"/>
    <w:rsid w:val="00841D58"/>
    <w:rsid w:val="00846EF8"/>
    <w:rsid w:val="00850F2E"/>
    <w:rsid w:val="00862E1A"/>
    <w:rsid w:val="00863C85"/>
    <w:rsid w:val="00876512"/>
    <w:rsid w:val="00883D7F"/>
    <w:rsid w:val="00885BE4"/>
    <w:rsid w:val="00886B51"/>
    <w:rsid w:val="008928B0"/>
    <w:rsid w:val="00892BA1"/>
    <w:rsid w:val="00893E0A"/>
    <w:rsid w:val="00893FED"/>
    <w:rsid w:val="008A7C58"/>
    <w:rsid w:val="008B4089"/>
    <w:rsid w:val="008C0868"/>
    <w:rsid w:val="008D34EE"/>
    <w:rsid w:val="008D5AEC"/>
    <w:rsid w:val="008D6EDE"/>
    <w:rsid w:val="008E168E"/>
    <w:rsid w:val="008F62B6"/>
    <w:rsid w:val="009007BA"/>
    <w:rsid w:val="00903713"/>
    <w:rsid w:val="0090703F"/>
    <w:rsid w:val="0091099B"/>
    <w:rsid w:val="0091556F"/>
    <w:rsid w:val="00916C97"/>
    <w:rsid w:val="00926EB5"/>
    <w:rsid w:val="00927CD7"/>
    <w:rsid w:val="00931D65"/>
    <w:rsid w:val="00934C31"/>
    <w:rsid w:val="00943562"/>
    <w:rsid w:val="00943C73"/>
    <w:rsid w:val="00944F32"/>
    <w:rsid w:val="009555F9"/>
    <w:rsid w:val="009640E0"/>
    <w:rsid w:val="00966A76"/>
    <w:rsid w:val="009708CA"/>
    <w:rsid w:val="00974609"/>
    <w:rsid w:val="0097490C"/>
    <w:rsid w:val="00980691"/>
    <w:rsid w:val="00983E58"/>
    <w:rsid w:val="00985771"/>
    <w:rsid w:val="009A00E1"/>
    <w:rsid w:val="009A203C"/>
    <w:rsid w:val="009B2A11"/>
    <w:rsid w:val="009D59A2"/>
    <w:rsid w:val="009E2232"/>
    <w:rsid w:val="009E4D91"/>
    <w:rsid w:val="00A00216"/>
    <w:rsid w:val="00A2031F"/>
    <w:rsid w:val="00A23A25"/>
    <w:rsid w:val="00A36C1D"/>
    <w:rsid w:val="00A4679E"/>
    <w:rsid w:val="00A46CD4"/>
    <w:rsid w:val="00A6005A"/>
    <w:rsid w:val="00A63DCF"/>
    <w:rsid w:val="00A66F5C"/>
    <w:rsid w:val="00A670D1"/>
    <w:rsid w:val="00A671B9"/>
    <w:rsid w:val="00A74C97"/>
    <w:rsid w:val="00A7797C"/>
    <w:rsid w:val="00A8422D"/>
    <w:rsid w:val="00A86BAD"/>
    <w:rsid w:val="00A878E7"/>
    <w:rsid w:val="00A90AEA"/>
    <w:rsid w:val="00AA5DC4"/>
    <w:rsid w:val="00AB4695"/>
    <w:rsid w:val="00AB62ED"/>
    <w:rsid w:val="00AB67E7"/>
    <w:rsid w:val="00AC768D"/>
    <w:rsid w:val="00AC7ED9"/>
    <w:rsid w:val="00AD09ED"/>
    <w:rsid w:val="00AD350D"/>
    <w:rsid w:val="00AD48FE"/>
    <w:rsid w:val="00AF0A2B"/>
    <w:rsid w:val="00AF0FA2"/>
    <w:rsid w:val="00B06225"/>
    <w:rsid w:val="00B10746"/>
    <w:rsid w:val="00B25511"/>
    <w:rsid w:val="00B258E1"/>
    <w:rsid w:val="00B2627C"/>
    <w:rsid w:val="00B26D1C"/>
    <w:rsid w:val="00B31894"/>
    <w:rsid w:val="00B32F72"/>
    <w:rsid w:val="00B3454C"/>
    <w:rsid w:val="00B4073E"/>
    <w:rsid w:val="00B43532"/>
    <w:rsid w:val="00B44ED6"/>
    <w:rsid w:val="00B47839"/>
    <w:rsid w:val="00B556D5"/>
    <w:rsid w:val="00B600AD"/>
    <w:rsid w:val="00B65BFD"/>
    <w:rsid w:val="00B846F7"/>
    <w:rsid w:val="00B8691F"/>
    <w:rsid w:val="00B86D89"/>
    <w:rsid w:val="00B8758C"/>
    <w:rsid w:val="00B93A55"/>
    <w:rsid w:val="00BC4813"/>
    <w:rsid w:val="00BD0730"/>
    <w:rsid w:val="00BD53B9"/>
    <w:rsid w:val="00BE22CB"/>
    <w:rsid w:val="00BE44F0"/>
    <w:rsid w:val="00BF1624"/>
    <w:rsid w:val="00BF1D3E"/>
    <w:rsid w:val="00BF294E"/>
    <w:rsid w:val="00BF372A"/>
    <w:rsid w:val="00C001E8"/>
    <w:rsid w:val="00C02573"/>
    <w:rsid w:val="00C152B9"/>
    <w:rsid w:val="00C176AB"/>
    <w:rsid w:val="00C2391A"/>
    <w:rsid w:val="00C23C18"/>
    <w:rsid w:val="00C26D29"/>
    <w:rsid w:val="00C30808"/>
    <w:rsid w:val="00C37F25"/>
    <w:rsid w:val="00C41D28"/>
    <w:rsid w:val="00C44D15"/>
    <w:rsid w:val="00C52A3C"/>
    <w:rsid w:val="00C63A83"/>
    <w:rsid w:val="00C65A45"/>
    <w:rsid w:val="00C72011"/>
    <w:rsid w:val="00C83377"/>
    <w:rsid w:val="00C85750"/>
    <w:rsid w:val="00C86F91"/>
    <w:rsid w:val="00C91287"/>
    <w:rsid w:val="00CA4B6A"/>
    <w:rsid w:val="00CB11F8"/>
    <w:rsid w:val="00CB262F"/>
    <w:rsid w:val="00CB42C0"/>
    <w:rsid w:val="00CB698D"/>
    <w:rsid w:val="00CC3C62"/>
    <w:rsid w:val="00CC55E6"/>
    <w:rsid w:val="00CD08F2"/>
    <w:rsid w:val="00CD644B"/>
    <w:rsid w:val="00CF1785"/>
    <w:rsid w:val="00D144D5"/>
    <w:rsid w:val="00D156B9"/>
    <w:rsid w:val="00D24119"/>
    <w:rsid w:val="00D36FF9"/>
    <w:rsid w:val="00D44BB0"/>
    <w:rsid w:val="00D47992"/>
    <w:rsid w:val="00D507D9"/>
    <w:rsid w:val="00D5268A"/>
    <w:rsid w:val="00D52E02"/>
    <w:rsid w:val="00D53704"/>
    <w:rsid w:val="00D54676"/>
    <w:rsid w:val="00D5513D"/>
    <w:rsid w:val="00D57000"/>
    <w:rsid w:val="00D67C7C"/>
    <w:rsid w:val="00D70622"/>
    <w:rsid w:val="00D76FAB"/>
    <w:rsid w:val="00D86156"/>
    <w:rsid w:val="00D86EB3"/>
    <w:rsid w:val="00D878DA"/>
    <w:rsid w:val="00D94CCE"/>
    <w:rsid w:val="00DC69E1"/>
    <w:rsid w:val="00DD1393"/>
    <w:rsid w:val="00DD1D8D"/>
    <w:rsid w:val="00DD1EAB"/>
    <w:rsid w:val="00DD4FFF"/>
    <w:rsid w:val="00DE7224"/>
    <w:rsid w:val="00DF198F"/>
    <w:rsid w:val="00DF523D"/>
    <w:rsid w:val="00DF5F9A"/>
    <w:rsid w:val="00E0072D"/>
    <w:rsid w:val="00E00950"/>
    <w:rsid w:val="00E05909"/>
    <w:rsid w:val="00E06729"/>
    <w:rsid w:val="00E119B7"/>
    <w:rsid w:val="00E266CD"/>
    <w:rsid w:val="00E33EE1"/>
    <w:rsid w:val="00E34C80"/>
    <w:rsid w:val="00E446FD"/>
    <w:rsid w:val="00E45838"/>
    <w:rsid w:val="00E516C7"/>
    <w:rsid w:val="00E5597E"/>
    <w:rsid w:val="00E570A9"/>
    <w:rsid w:val="00E572D4"/>
    <w:rsid w:val="00E609AA"/>
    <w:rsid w:val="00E7212F"/>
    <w:rsid w:val="00E74743"/>
    <w:rsid w:val="00E75BDB"/>
    <w:rsid w:val="00E76426"/>
    <w:rsid w:val="00E80EDA"/>
    <w:rsid w:val="00E860F8"/>
    <w:rsid w:val="00E96E4D"/>
    <w:rsid w:val="00E96E5F"/>
    <w:rsid w:val="00EB06C3"/>
    <w:rsid w:val="00EB1BF5"/>
    <w:rsid w:val="00EC7AD4"/>
    <w:rsid w:val="00ED1FE5"/>
    <w:rsid w:val="00ED3373"/>
    <w:rsid w:val="00ED46F8"/>
    <w:rsid w:val="00ED4E24"/>
    <w:rsid w:val="00EE1BF8"/>
    <w:rsid w:val="00EF2405"/>
    <w:rsid w:val="00EF5F7F"/>
    <w:rsid w:val="00F022DE"/>
    <w:rsid w:val="00F0607B"/>
    <w:rsid w:val="00F14668"/>
    <w:rsid w:val="00F21EF3"/>
    <w:rsid w:val="00F33DEB"/>
    <w:rsid w:val="00F36C98"/>
    <w:rsid w:val="00F462D7"/>
    <w:rsid w:val="00F4630C"/>
    <w:rsid w:val="00F52C2E"/>
    <w:rsid w:val="00F5443C"/>
    <w:rsid w:val="00F56345"/>
    <w:rsid w:val="00F668D9"/>
    <w:rsid w:val="00F741A6"/>
    <w:rsid w:val="00F760F7"/>
    <w:rsid w:val="00F821F1"/>
    <w:rsid w:val="00F91888"/>
    <w:rsid w:val="00F947A1"/>
    <w:rsid w:val="00FA333E"/>
    <w:rsid w:val="00FA3542"/>
    <w:rsid w:val="00FA3EBD"/>
    <w:rsid w:val="00FA6DB5"/>
    <w:rsid w:val="00FB2370"/>
    <w:rsid w:val="00FB7717"/>
    <w:rsid w:val="00FC1254"/>
    <w:rsid w:val="00FC3B69"/>
    <w:rsid w:val="00FC432B"/>
    <w:rsid w:val="00FC59B3"/>
    <w:rsid w:val="00FC6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5545EF"/>
  <w15:docId w15:val="{87174748-D509-43A2-B080-BC51990C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firstLine="113"/>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067"/>
    <w:rPr>
      <w:rFonts w:ascii="Calibri" w:eastAsia="MS Mincho" w:hAnsi="Calibri" w:cs="Times New Roman"/>
      <w:lang w:val="sq-AL"/>
    </w:rPr>
  </w:style>
  <w:style w:type="paragraph" w:styleId="Heading1">
    <w:name w:val="heading 1"/>
    <w:aliases w:val="1 heading"/>
    <w:basedOn w:val="Normal"/>
    <w:next w:val="Normal"/>
    <w:link w:val="Heading1Char"/>
    <w:uiPriority w:val="9"/>
    <w:qFormat/>
    <w:rsid w:val="001D20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88"/>
    <w:pPr>
      <w:keepNext/>
      <w:keepLines/>
      <w:spacing w:before="4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959B4"/>
    <w:pPr>
      <w:keepNext/>
      <w:keepLines/>
      <w:spacing w:before="4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rsid w:val="007959B4"/>
    <w:pPr>
      <w:keepNext/>
      <w:keepLines/>
      <w:spacing w:before="220" w:after="40" w:line="259" w:lineRule="auto"/>
      <w:outlineLvl w:val="4"/>
    </w:pPr>
    <w:rPr>
      <w:rFonts w:eastAsia="Calibri" w:cs="Calibri"/>
      <w:b/>
    </w:rPr>
  </w:style>
  <w:style w:type="paragraph" w:styleId="Heading6">
    <w:name w:val="heading 6"/>
    <w:basedOn w:val="Normal"/>
    <w:next w:val="Normal"/>
    <w:link w:val="Heading6Char"/>
    <w:rsid w:val="007959B4"/>
    <w:pPr>
      <w:keepNext/>
      <w:keepLines/>
      <w:spacing w:before="200" w:after="40" w:line="259" w:lineRule="auto"/>
      <w:outlineLvl w:val="5"/>
    </w:pPr>
    <w:rPr>
      <w:rFonts w:eastAsia="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rsid w:val="001D2067"/>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
    <w:uiPriority w:val="99"/>
    <w:unhideWhenUsed/>
    <w:rsid w:val="001D2067"/>
    <w:rPr>
      <w:vertAlign w:val="superscript"/>
    </w:rPr>
  </w:style>
  <w:style w:type="character" w:customStyle="1" w:styleId="Heading1Char">
    <w:name w:val="Heading 1 Char"/>
    <w:aliases w:val="1 heading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392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4E42C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semiHidden/>
    <w:unhideWhenUsed/>
    <w:rsid w:val="00944F32"/>
    <w:rPr>
      <w:sz w:val="16"/>
      <w:szCs w:val="16"/>
    </w:rPr>
  </w:style>
  <w:style w:type="paragraph" w:styleId="CommentText">
    <w:name w:val="annotation text"/>
    <w:basedOn w:val="Normal"/>
    <w:link w:val="CommentTextChar"/>
    <w:uiPriority w:val="99"/>
    <w:unhideWhenUsed/>
    <w:rsid w:val="00944F32"/>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34"/>
    <w:rsid w:val="00625401"/>
    <w:rPr>
      <w:rFonts w:ascii="Times New Roman" w:eastAsia="Times New Roman" w:hAnsi="Times New Roman"/>
      <w:lang w:val="en-GB"/>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lp1"/>
    <w:basedOn w:val="Normal"/>
    <w:link w:val="ListParagraphChar"/>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qFormat/>
    <w:rsid w:val="00E5597E"/>
    <w:pPr>
      <w:numPr>
        <w:ilvl w:val="1"/>
      </w:numPr>
      <w:ind w:firstLine="113"/>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III">
    <w:name w:val="TEKSTIIII"/>
    <w:basedOn w:val="Normal"/>
    <w:qFormat/>
    <w:rsid w:val="002E7F45"/>
    <w:pPr>
      <w:ind w:firstLine="284"/>
    </w:pPr>
    <w:rPr>
      <w:rFonts w:ascii="Garamond" w:hAnsi="Garamond"/>
      <w:sz w:val="24"/>
      <w:szCs w:val="24"/>
    </w:rPr>
  </w:style>
  <w:style w:type="character" w:customStyle="1" w:styleId="Heading3Char">
    <w:name w:val="Heading 3 Char"/>
    <w:basedOn w:val="DefaultParagraphFont"/>
    <w:link w:val="Heading3"/>
    <w:uiPriority w:val="9"/>
    <w:rsid w:val="00F91888"/>
    <w:rPr>
      <w:rFonts w:asciiTheme="majorHAnsi" w:eastAsiaTheme="majorEastAsia" w:hAnsiTheme="majorHAnsi" w:cstheme="majorBidi"/>
      <w:color w:val="243F60" w:themeColor="accent1" w:themeShade="7F"/>
      <w:sz w:val="24"/>
      <w:szCs w:val="24"/>
      <w:lang w:val="sq-AL"/>
    </w:rPr>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basedOn w:val="DefaultParagraphFont"/>
    <w:link w:val="ListParagraph"/>
    <w:uiPriority w:val="34"/>
    <w:qFormat/>
    <w:locked/>
    <w:rsid w:val="00F91888"/>
    <w:rPr>
      <w:rFonts w:ascii="Calibri" w:eastAsia="MS Mincho" w:hAnsi="Calibri" w:cs="Times New Roman"/>
    </w:rPr>
  </w:style>
  <w:style w:type="character" w:customStyle="1" w:styleId="Heading4Char">
    <w:name w:val="Heading 4 Char"/>
    <w:basedOn w:val="DefaultParagraphFont"/>
    <w:link w:val="Heading4"/>
    <w:uiPriority w:val="9"/>
    <w:rsid w:val="007959B4"/>
    <w:rPr>
      <w:rFonts w:asciiTheme="majorHAnsi" w:eastAsiaTheme="majorEastAsia" w:hAnsiTheme="majorHAnsi" w:cstheme="majorBidi"/>
      <w:i/>
      <w:iCs/>
      <w:color w:val="365F91" w:themeColor="accent1" w:themeShade="BF"/>
      <w:lang w:val="sq-AL"/>
    </w:rPr>
  </w:style>
  <w:style w:type="character" w:customStyle="1" w:styleId="Heading5Char">
    <w:name w:val="Heading 5 Char"/>
    <w:basedOn w:val="DefaultParagraphFont"/>
    <w:link w:val="Heading5"/>
    <w:rsid w:val="007959B4"/>
    <w:rPr>
      <w:rFonts w:ascii="Calibri" w:eastAsia="Calibri" w:hAnsi="Calibri" w:cs="Calibri"/>
      <w:b/>
      <w:lang w:val="sq-AL"/>
    </w:rPr>
  </w:style>
  <w:style w:type="character" w:customStyle="1" w:styleId="Heading6Char">
    <w:name w:val="Heading 6 Char"/>
    <w:basedOn w:val="DefaultParagraphFont"/>
    <w:link w:val="Heading6"/>
    <w:rsid w:val="007959B4"/>
    <w:rPr>
      <w:rFonts w:ascii="Calibri" w:eastAsia="Calibri" w:hAnsi="Calibri" w:cs="Calibri"/>
      <w:b/>
      <w:sz w:val="20"/>
      <w:szCs w:val="20"/>
      <w:lang w:val="sq-AL"/>
    </w:rPr>
  </w:style>
  <w:style w:type="paragraph" w:styleId="Title">
    <w:name w:val="Title"/>
    <w:basedOn w:val="Normal"/>
    <w:next w:val="Normal"/>
    <w:link w:val="TitleChar"/>
    <w:uiPriority w:val="10"/>
    <w:qFormat/>
    <w:rsid w:val="007959B4"/>
    <w:pPr>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7959B4"/>
    <w:rPr>
      <w:rFonts w:asciiTheme="majorHAnsi" w:eastAsiaTheme="majorEastAsia" w:hAnsiTheme="majorHAnsi" w:cstheme="majorBidi"/>
      <w:spacing w:val="-10"/>
      <w:kern w:val="28"/>
      <w:sz w:val="56"/>
      <w:szCs w:val="56"/>
      <w:lang w:val="en-GB"/>
    </w:rPr>
  </w:style>
  <w:style w:type="character" w:customStyle="1" w:styleId="jlqj4b">
    <w:name w:val="jlqj4b"/>
    <w:basedOn w:val="DefaultParagraphFont"/>
    <w:rsid w:val="007959B4"/>
  </w:style>
  <w:style w:type="paragraph" w:customStyle="1" w:styleId="NoSpacing2">
    <w:name w:val="No Spacing2"/>
    <w:uiPriority w:val="1"/>
    <w:qFormat/>
    <w:rsid w:val="007959B4"/>
    <w:rPr>
      <w:rFonts w:ascii="Arial" w:eastAsia="Times New Roman" w:hAnsi="Arial" w:cs="Times New Roman"/>
      <w:szCs w:val="20"/>
      <w:lang w:val="en-GB"/>
    </w:rPr>
  </w:style>
  <w:style w:type="character" w:customStyle="1" w:styleId="viiyi">
    <w:name w:val="viiyi"/>
    <w:basedOn w:val="DefaultParagraphFont"/>
    <w:rsid w:val="007959B4"/>
  </w:style>
  <w:style w:type="paragraph" w:customStyle="1" w:styleId="Default">
    <w:name w:val="Default"/>
    <w:rsid w:val="007959B4"/>
    <w:pPr>
      <w:autoSpaceDE w:val="0"/>
      <w:autoSpaceDN w:val="0"/>
      <w:adjustRightInd w:val="0"/>
    </w:pPr>
    <w:rPr>
      <w:rFonts w:ascii="Calibri" w:eastAsia="Times New Roman" w:hAnsi="Calibri" w:cs="Calibri"/>
      <w:color w:val="000000"/>
      <w:sz w:val="24"/>
      <w:szCs w:val="24"/>
      <w:lang w:val="sq-AL"/>
    </w:rPr>
  </w:style>
  <w:style w:type="table" w:customStyle="1" w:styleId="GridTable5Dark-Accent11">
    <w:name w:val="Grid Table 5 Dark - Accent 11"/>
    <w:basedOn w:val="TableNormal"/>
    <w:uiPriority w:val="50"/>
    <w:rsid w:val="007959B4"/>
    <w:rPr>
      <w:rFonts w:ascii="Calibri" w:eastAsia="Calibri" w:hAnsi="Calibri" w:cs="Calibri"/>
      <w:lang w:val="sq-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unhideWhenUsed/>
    <w:rsid w:val="007959B4"/>
    <w:pPr>
      <w:spacing w:before="100" w:beforeAutospacing="1" w:after="100" w:afterAutospacing="1"/>
    </w:pPr>
    <w:rPr>
      <w:rFonts w:ascii="Times New Roman" w:eastAsiaTheme="minorEastAsia" w:hAnsi="Times New Roman"/>
      <w:sz w:val="24"/>
      <w:szCs w:val="24"/>
    </w:rPr>
  </w:style>
  <w:style w:type="character" w:styleId="Strong">
    <w:name w:val="Strong"/>
    <w:basedOn w:val="DefaultParagraphFont"/>
    <w:uiPriority w:val="22"/>
    <w:qFormat/>
    <w:rsid w:val="007959B4"/>
    <w:rPr>
      <w:b/>
      <w:bCs/>
    </w:rPr>
  </w:style>
  <w:style w:type="table" w:styleId="ColorfulGrid-Accent1">
    <w:name w:val="Colorful Grid Accent 1"/>
    <w:basedOn w:val="TableNormal"/>
    <w:uiPriority w:val="73"/>
    <w:rsid w:val="007959B4"/>
    <w:rPr>
      <w:rFonts w:ascii="Calibri" w:eastAsiaTheme="minorEastAsia" w:hAnsi="Calibri" w:cs="Calibri"/>
      <w:color w:val="000000" w:themeColor="text1"/>
      <w:lang w:val="sq-A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Revision">
    <w:name w:val="Revision"/>
    <w:hidden/>
    <w:uiPriority w:val="99"/>
    <w:semiHidden/>
    <w:rsid w:val="007959B4"/>
    <w:rPr>
      <w:rFonts w:ascii="Calibri" w:eastAsia="Calibri" w:hAnsi="Calibri" w:cs="Calibri"/>
      <w:lang w:val="sq-AL"/>
    </w:rPr>
  </w:style>
  <w:style w:type="table" w:customStyle="1" w:styleId="GridTable5Dark-Accent51">
    <w:name w:val="Grid Table 5 Dark - Accent 51"/>
    <w:basedOn w:val="TableNormal"/>
    <w:uiPriority w:val="50"/>
    <w:rsid w:val="007959B4"/>
    <w:rPr>
      <w:rFonts w:ascii="Calibri" w:eastAsia="Calibri" w:hAnsi="Calibri" w:cs="Calibri"/>
      <w:lang w:val="sq-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2">
    <w:name w:val="Grid Table 5 Dark - Accent 12"/>
    <w:basedOn w:val="TableNormal"/>
    <w:uiPriority w:val="50"/>
    <w:rsid w:val="007959B4"/>
    <w:rPr>
      <w:rFonts w:ascii="Calibri" w:eastAsia="Calibri" w:hAnsi="Calibri" w:cs="Calibri"/>
      <w:lang w:val="sq-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
    <w:name w:val="Grid Table 4 - Accent 11"/>
    <w:basedOn w:val="TableNormal"/>
    <w:uiPriority w:val="49"/>
    <w:rsid w:val="007959B4"/>
    <w:rPr>
      <w:rFonts w:ascii="Calibri" w:eastAsia="Calibri" w:hAnsi="Calibri" w:cs="Calibri"/>
      <w:lang w:val="sq-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gmail-msolistparagraph">
    <w:name w:val="gmail-msolistparagraph"/>
    <w:basedOn w:val="Normal"/>
    <w:uiPriority w:val="99"/>
    <w:rsid w:val="007959B4"/>
    <w:rPr>
      <w:rFonts w:ascii="Times New Roman" w:eastAsia="Calibri" w:hAnsi="Times New Roman"/>
      <w:sz w:val="24"/>
      <w:szCs w:val="24"/>
    </w:rPr>
  </w:style>
  <w:style w:type="character" w:customStyle="1" w:styleId="spelle">
    <w:name w:val="spelle"/>
    <w:basedOn w:val="DefaultParagraphFont"/>
    <w:rsid w:val="007959B4"/>
  </w:style>
  <w:style w:type="character" w:customStyle="1" w:styleId="UnresolvedMention1">
    <w:name w:val="Unresolved Mention1"/>
    <w:basedOn w:val="DefaultParagraphFont"/>
    <w:uiPriority w:val="99"/>
    <w:semiHidden/>
    <w:unhideWhenUsed/>
    <w:rsid w:val="007959B4"/>
    <w:rPr>
      <w:color w:val="605E5C"/>
      <w:shd w:val="clear" w:color="auto" w:fill="E1DFDD"/>
    </w:rPr>
  </w:style>
  <w:style w:type="paragraph" w:customStyle="1" w:styleId="Normal2">
    <w:name w:val="Normal2"/>
    <w:rsid w:val="007959B4"/>
    <w:pPr>
      <w:spacing w:after="160" w:line="259" w:lineRule="auto"/>
    </w:pPr>
    <w:rPr>
      <w:rFonts w:ascii="Calibri" w:eastAsia="Calibri" w:hAnsi="Calibri" w:cs="Calibri"/>
      <w:lang w:val="sq-AL"/>
    </w:rPr>
  </w:style>
  <w:style w:type="paragraph" w:styleId="TOC4">
    <w:name w:val="toc 4"/>
    <w:basedOn w:val="Normal"/>
    <w:next w:val="Normal"/>
    <w:autoRedefine/>
    <w:uiPriority w:val="39"/>
    <w:unhideWhenUsed/>
    <w:rsid w:val="007959B4"/>
    <w:pPr>
      <w:spacing w:after="100" w:line="259" w:lineRule="auto"/>
      <w:ind w:left="660"/>
    </w:pPr>
    <w:rPr>
      <w:rFonts w:eastAsiaTheme="minorEastAsia" w:cs="Calibri"/>
    </w:rPr>
  </w:style>
  <w:style w:type="paragraph" w:styleId="TOC5">
    <w:name w:val="toc 5"/>
    <w:basedOn w:val="Normal"/>
    <w:next w:val="Normal"/>
    <w:autoRedefine/>
    <w:uiPriority w:val="39"/>
    <w:unhideWhenUsed/>
    <w:rsid w:val="007959B4"/>
    <w:pPr>
      <w:spacing w:after="100" w:line="259" w:lineRule="auto"/>
      <w:ind w:left="880"/>
    </w:pPr>
    <w:rPr>
      <w:rFonts w:eastAsiaTheme="minorEastAsia" w:cs="Calibri"/>
    </w:rPr>
  </w:style>
  <w:style w:type="paragraph" w:styleId="TOC6">
    <w:name w:val="toc 6"/>
    <w:basedOn w:val="Normal"/>
    <w:next w:val="Normal"/>
    <w:autoRedefine/>
    <w:uiPriority w:val="39"/>
    <w:unhideWhenUsed/>
    <w:rsid w:val="007959B4"/>
    <w:pPr>
      <w:spacing w:after="100" w:line="259" w:lineRule="auto"/>
      <w:ind w:left="1100"/>
    </w:pPr>
    <w:rPr>
      <w:rFonts w:eastAsiaTheme="minorEastAsia" w:cs="Calibri"/>
    </w:rPr>
  </w:style>
  <w:style w:type="paragraph" w:styleId="TOC7">
    <w:name w:val="toc 7"/>
    <w:basedOn w:val="Normal"/>
    <w:next w:val="Normal"/>
    <w:autoRedefine/>
    <w:uiPriority w:val="39"/>
    <w:unhideWhenUsed/>
    <w:rsid w:val="007959B4"/>
    <w:pPr>
      <w:spacing w:after="100" w:line="259" w:lineRule="auto"/>
      <w:ind w:left="1320"/>
    </w:pPr>
    <w:rPr>
      <w:rFonts w:eastAsiaTheme="minorEastAsia" w:cs="Calibri"/>
    </w:rPr>
  </w:style>
  <w:style w:type="paragraph" w:styleId="TOC8">
    <w:name w:val="toc 8"/>
    <w:basedOn w:val="Normal"/>
    <w:next w:val="Normal"/>
    <w:autoRedefine/>
    <w:uiPriority w:val="39"/>
    <w:unhideWhenUsed/>
    <w:rsid w:val="007959B4"/>
    <w:pPr>
      <w:spacing w:after="100" w:line="259" w:lineRule="auto"/>
      <w:ind w:left="1540"/>
    </w:pPr>
    <w:rPr>
      <w:rFonts w:eastAsiaTheme="minorEastAsia" w:cs="Calibri"/>
    </w:rPr>
  </w:style>
  <w:style w:type="paragraph" w:styleId="TOC9">
    <w:name w:val="toc 9"/>
    <w:basedOn w:val="Normal"/>
    <w:next w:val="Normal"/>
    <w:autoRedefine/>
    <w:uiPriority w:val="39"/>
    <w:unhideWhenUsed/>
    <w:rsid w:val="007959B4"/>
    <w:pPr>
      <w:spacing w:after="100" w:line="259" w:lineRule="auto"/>
      <w:ind w:left="1760"/>
    </w:pPr>
    <w:rPr>
      <w:rFonts w:eastAsiaTheme="minorEastAsia" w:cs="Calibri"/>
    </w:rPr>
  </w:style>
  <w:style w:type="table" w:customStyle="1" w:styleId="GridTable1Light-Accent11">
    <w:name w:val="Grid Table 1 Light - Accent 11"/>
    <w:basedOn w:val="TableNormal"/>
    <w:uiPriority w:val="46"/>
    <w:rsid w:val="007959B4"/>
    <w:rPr>
      <w:rFonts w:ascii="Calibri" w:eastAsia="Calibri" w:hAnsi="Calibri" w:cs="Calibri"/>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7959B4"/>
    <w:rPr>
      <w:rFonts w:eastAsia="Calibri" w:cs="Calibri"/>
      <w:i/>
      <w:iCs/>
      <w:color w:val="1F497D" w:themeColor="text2"/>
      <w:sz w:val="18"/>
      <w:szCs w:val="18"/>
    </w:rPr>
  </w:style>
  <w:style w:type="table" w:customStyle="1" w:styleId="GridTable1Light-Accent51">
    <w:name w:val="Grid Table 1 Light - Accent 51"/>
    <w:basedOn w:val="TableNormal"/>
    <w:uiPriority w:val="46"/>
    <w:rsid w:val="007959B4"/>
    <w:rPr>
      <w:rFonts w:ascii="Calibri" w:eastAsia="Calibri" w:hAnsi="Calibri" w:cs="Calibri"/>
      <w:lang w:val="sq-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3">
    <w:name w:val="3"/>
    <w:basedOn w:val="TableNormal"/>
    <w:rsid w:val="007959B4"/>
    <w:pPr>
      <w:spacing w:after="160" w:line="259" w:lineRule="auto"/>
    </w:pPr>
    <w:rPr>
      <w:rFonts w:ascii="Arial Nova" w:eastAsia="Arial Nova" w:hAnsi="Arial Nova" w:cs="Arial Nova"/>
      <w:sz w:val="24"/>
      <w:szCs w:val="24"/>
      <w:lang w:val="sq-AL"/>
    </w:rPr>
    <w:tblPr>
      <w:tblStyleRowBandSize w:val="1"/>
      <w:tblStyleColBandSize w:val="1"/>
      <w:tblCellMar>
        <w:left w:w="115" w:type="dxa"/>
        <w:right w:w="115" w:type="dxa"/>
      </w:tblCellMar>
    </w:tblPr>
  </w:style>
  <w:style w:type="table" w:customStyle="1" w:styleId="2">
    <w:name w:val="2"/>
    <w:basedOn w:val="TableNormal"/>
    <w:rsid w:val="007959B4"/>
    <w:pPr>
      <w:spacing w:after="160" w:line="259" w:lineRule="auto"/>
    </w:pPr>
    <w:rPr>
      <w:rFonts w:ascii="Arial Nova" w:eastAsia="Arial Nova" w:hAnsi="Arial Nova" w:cs="Arial Nova"/>
      <w:sz w:val="24"/>
      <w:szCs w:val="24"/>
      <w:lang w:val="sq-AL"/>
    </w:rPr>
    <w:tblPr>
      <w:tblStyleRowBandSize w:val="1"/>
      <w:tblStyleColBandSize w:val="1"/>
      <w:tblCellMar>
        <w:left w:w="115" w:type="dxa"/>
        <w:right w:w="115" w:type="dxa"/>
      </w:tblCellMar>
    </w:tblPr>
  </w:style>
  <w:style w:type="table" w:customStyle="1" w:styleId="1">
    <w:name w:val="1"/>
    <w:basedOn w:val="TableNormal"/>
    <w:rsid w:val="007959B4"/>
    <w:pPr>
      <w:spacing w:after="160" w:line="259" w:lineRule="auto"/>
    </w:pPr>
    <w:rPr>
      <w:rFonts w:ascii="Arial Nova" w:eastAsia="Arial Nova" w:hAnsi="Arial Nova" w:cs="Arial Nova"/>
      <w:sz w:val="24"/>
      <w:szCs w:val="24"/>
      <w:lang w:val="sq-AL"/>
    </w:rPr>
    <w:tblPr>
      <w:tblStyleRowBandSize w:val="1"/>
      <w:tblStyleColBandSize w:val="1"/>
      <w:tblCellMar>
        <w:left w:w="115" w:type="dxa"/>
        <w:right w:w="115" w:type="dxa"/>
      </w:tblCellMar>
    </w:tblPr>
  </w:style>
  <w:style w:type="paragraph" w:customStyle="1" w:styleId="NeniTitull">
    <w:name w:val="Neni_Titull"/>
    <w:next w:val="Normal"/>
    <w:rsid w:val="007959B4"/>
    <w:pPr>
      <w:keepNext/>
      <w:widowControl w:val="0"/>
      <w:jc w:val="center"/>
      <w:outlineLvl w:val="2"/>
    </w:pPr>
    <w:rPr>
      <w:rFonts w:ascii="Garamond" w:eastAsia="Calibri" w:hAnsi="Garamond" w:cs="CG Times"/>
      <w:b/>
      <w:bCs/>
      <w:sz w:val="24"/>
      <w:lang w:val="en-GB"/>
    </w:rPr>
  </w:style>
  <w:style w:type="table" w:customStyle="1" w:styleId="25">
    <w:name w:val="25"/>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24">
    <w:name w:val="24"/>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23">
    <w:name w:val="23"/>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22">
    <w:name w:val="22"/>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21">
    <w:name w:val="21"/>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20">
    <w:name w:val="20"/>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9">
    <w:name w:val="19"/>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8">
    <w:name w:val="18"/>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7">
    <w:name w:val="17"/>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6">
    <w:name w:val="16"/>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5">
    <w:name w:val="15"/>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4">
    <w:name w:val="14"/>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3">
    <w:name w:val="13"/>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2">
    <w:name w:val="12"/>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11">
    <w:name w:val="11"/>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10">
    <w:name w:val="10"/>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9">
    <w:name w:val="9"/>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8">
    <w:name w:val="8"/>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7">
    <w:name w:val="7"/>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
    <w:name w:val="6"/>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
    <w:name w:val="5"/>
    <w:basedOn w:val="TableNormal"/>
    <w:rsid w:val="007959B4"/>
    <w:pPr>
      <w:spacing w:after="160" w:line="259" w:lineRule="auto"/>
    </w:pPr>
    <w:rPr>
      <w:rFonts w:ascii="Calibri" w:eastAsia="Calibri" w:hAnsi="Calibri" w:cs="Calibri"/>
      <w:lang w:val="sq-AL"/>
    </w:rPr>
    <w:tblPr>
      <w:tblStyleRowBandSize w:val="1"/>
      <w:tblStyleColBandSize w:val="1"/>
      <w:tblCellMar>
        <w:left w:w="115" w:type="dxa"/>
        <w:right w:w="115" w:type="dxa"/>
      </w:tblCellMar>
    </w:tblPr>
  </w:style>
  <w:style w:type="table" w:customStyle="1" w:styleId="4">
    <w:name w:val="4"/>
    <w:basedOn w:val="TableNormal"/>
    <w:rsid w:val="007959B4"/>
    <w:rPr>
      <w:rFonts w:ascii="Arial Nova" w:eastAsia="Arial Nova" w:hAnsi="Arial Nova" w:cs="Arial Nova"/>
      <w:color w:val="000000"/>
      <w:sz w:val="24"/>
      <w:szCs w:val="24"/>
      <w:lang w:val="sq-AL"/>
    </w:rPr>
    <w:tblPr>
      <w:tblStyleRowBandSize w:val="1"/>
      <w:tblStyleColBandSize w:val="1"/>
      <w:tblCellMar>
        <w:left w:w="115" w:type="dxa"/>
        <w:right w:w="115" w:type="dxa"/>
      </w:tblCellMar>
    </w:tblPr>
    <w:tcPr>
      <w:shd w:val="clear" w:color="auto" w:fill="D9E2F3"/>
    </w:tcPr>
    <w:tblStylePr w:type="firstRow">
      <w:rPr>
        <w:b/>
      </w:rPr>
      <w:tblPr/>
      <w:tcPr>
        <w:shd w:val="clear" w:color="auto" w:fill="B4C6E7"/>
      </w:tcPr>
    </w:tblStylePr>
    <w:tblStylePr w:type="lastRow">
      <w:rPr>
        <w:b/>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UnresolvedMention">
    <w:name w:val="Unresolved Mention"/>
    <w:basedOn w:val="DefaultParagraphFont"/>
    <w:uiPriority w:val="99"/>
    <w:semiHidden/>
    <w:unhideWhenUsed/>
    <w:rsid w:val="00430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07176">
      <w:bodyDiv w:val="1"/>
      <w:marLeft w:val="0"/>
      <w:marRight w:val="0"/>
      <w:marTop w:val="0"/>
      <w:marBottom w:val="0"/>
      <w:divBdr>
        <w:top w:val="none" w:sz="0" w:space="0" w:color="auto"/>
        <w:left w:val="none" w:sz="0" w:space="0" w:color="auto"/>
        <w:bottom w:val="none" w:sz="0" w:space="0" w:color="auto"/>
        <w:right w:val="none" w:sz="0" w:space="0" w:color="auto"/>
      </w:divBdr>
      <w:divsChild>
        <w:div w:id="338115928">
          <w:marLeft w:val="0"/>
          <w:marRight w:val="0"/>
          <w:marTop w:val="0"/>
          <w:marBottom w:val="0"/>
          <w:divBdr>
            <w:top w:val="none" w:sz="0" w:space="0" w:color="auto"/>
            <w:left w:val="none" w:sz="0" w:space="0" w:color="auto"/>
            <w:bottom w:val="none" w:sz="0" w:space="0" w:color="auto"/>
            <w:right w:val="none" w:sz="0" w:space="0" w:color="auto"/>
          </w:divBdr>
        </w:div>
        <w:div w:id="104007636">
          <w:marLeft w:val="0"/>
          <w:marRight w:val="0"/>
          <w:marTop w:val="0"/>
          <w:marBottom w:val="0"/>
          <w:divBdr>
            <w:top w:val="none" w:sz="0" w:space="0" w:color="auto"/>
            <w:left w:val="none" w:sz="0" w:space="0" w:color="auto"/>
            <w:bottom w:val="none" w:sz="0" w:space="0" w:color="auto"/>
            <w:right w:val="none" w:sz="0" w:space="0" w:color="auto"/>
          </w:divBdr>
        </w:div>
        <w:div w:id="1490361087">
          <w:marLeft w:val="0"/>
          <w:marRight w:val="0"/>
          <w:marTop w:val="0"/>
          <w:marBottom w:val="0"/>
          <w:divBdr>
            <w:top w:val="none" w:sz="0" w:space="0" w:color="auto"/>
            <w:left w:val="none" w:sz="0" w:space="0" w:color="auto"/>
            <w:bottom w:val="none" w:sz="0" w:space="0" w:color="auto"/>
            <w:right w:val="none" w:sz="0" w:space="0" w:color="auto"/>
          </w:divBdr>
        </w:div>
        <w:div w:id="1070426545">
          <w:marLeft w:val="0"/>
          <w:marRight w:val="0"/>
          <w:marTop w:val="0"/>
          <w:marBottom w:val="0"/>
          <w:divBdr>
            <w:top w:val="none" w:sz="0" w:space="0" w:color="auto"/>
            <w:left w:val="none" w:sz="0" w:space="0" w:color="auto"/>
            <w:bottom w:val="none" w:sz="0" w:space="0" w:color="auto"/>
            <w:right w:val="none" w:sz="0" w:space="0" w:color="auto"/>
          </w:divBdr>
        </w:div>
        <w:div w:id="1213155391">
          <w:marLeft w:val="0"/>
          <w:marRight w:val="0"/>
          <w:marTop w:val="0"/>
          <w:marBottom w:val="0"/>
          <w:divBdr>
            <w:top w:val="none" w:sz="0" w:space="0" w:color="auto"/>
            <w:left w:val="none" w:sz="0" w:space="0" w:color="auto"/>
            <w:bottom w:val="none" w:sz="0" w:space="0" w:color="auto"/>
            <w:right w:val="none" w:sz="0" w:space="0" w:color="auto"/>
          </w:divBdr>
        </w:div>
        <w:div w:id="821384259">
          <w:marLeft w:val="0"/>
          <w:marRight w:val="0"/>
          <w:marTop w:val="0"/>
          <w:marBottom w:val="0"/>
          <w:divBdr>
            <w:top w:val="none" w:sz="0" w:space="0" w:color="auto"/>
            <w:left w:val="none" w:sz="0" w:space="0" w:color="auto"/>
            <w:bottom w:val="none" w:sz="0" w:space="0" w:color="auto"/>
            <w:right w:val="none" w:sz="0" w:space="0" w:color="auto"/>
          </w:divBdr>
        </w:div>
        <w:div w:id="1082526435">
          <w:marLeft w:val="0"/>
          <w:marRight w:val="0"/>
          <w:marTop w:val="0"/>
          <w:marBottom w:val="0"/>
          <w:divBdr>
            <w:top w:val="none" w:sz="0" w:space="0" w:color="auto"/>
            <w:left w:val="none" w:sz="0" w:space="0" w:color="auto"/>
            <w:bottom w:val="none" w:sz="0" w:space="0" w:color="auto"/>
            <w:right w:val="none" w:sz="0" w:space="0" w:color="auto"/>
          </w:divBdr>
        </w:div>
        <w:div w:id="887956023">
          <w:marLeft w:val="0"/>
          <w:marRight w:val="0"/>
          <w:marTop w:val="0"/>
          <w:marBottom w:val="0"/>
          <w:divBdr>
            <w:top w:val="none" w:sz="0" w:space="0" w:color="auto"/>
            <w:left w:val="none" w:sz="0" w:space="0" w:color="auto"/>
            <w:bottom w:val="none" w:sz="0" w:space="0" w:color="auto"/>
            <w:right w:val="none" w:sz="0" w:space="0" w:color="auto"/>
          </w:divBdr>
        </w:div>
        <w:div w:id="517013581">
          <w:marLeft w:val="0"/>
          <w:marRight w:val="0"/>
          <w:marTop w:val="0"/>
          <w:marBottom w:val="0"/>
          <w:divBdr>
            <w:top w:val="none" w:sz="0" w:space="0" w:color="auto"/>
            <w:left w:val="none" w:sz="0" w:space="0" w:color="auto"/>
            <w:bottom w:val="none" w:sz="0" w:space="0" w:color="auto"/>
            <w:right w:val="none" w:sz="0" w:space="0" w:color="auto"/>
          </w:divBdr>
        </w:div>
        <w:div w:id="443811526">
          <w:marLeft w:val="0"/>
          <w:marRight w:val="0"/>
          <w:marTop w:val="0"/>
          <w:marBottom w:val="0"/>
          <w:divBdr>
            <w:top w:val="none" w:sz="0" w:space="0" w:color="auto"/>
            <w:left w:val="none" w:sz="0" w:space="0" w:color="auto"/>
            <w:bottom w:val="none" w:sz="0" w:space="0" w:color="auto"/>
            <w:right w:val="none" w:sz="0" w:space="0" w:color="auto"/>
          </w:divBdr>
        </w:div>
        <w:div w:id="1943344591">
          <w:marLeft w:val="0"/>
          <w:marRight w:val="0"/>
          <w:marTop w:val="0"/>
          <w:marBottom w:val="0"/>
          <w:divBdr>
            <w:top w:val="none" w:sz="0" w:space="0" w:color="auto"/>
            <w:left w:val="none" w:sz="0" w:space="0" w:color="auto"/>
            <w:bottom w:val="none" w:sz="0" w:space="0" w:color="auto"/>
            <w:right w:val="none" w:sz="0" w:space="0" w:color="auto"/>
          </w:divBdr>
        </w:div>
        <w:div w:id="905070754">
          <w:marLeft w:val="0"/>
          <w:marRight w:val="0"/>
          <w:marTop w:val="0"/>
          <w:marBottom w:val="0"/>
          <w:divBdr>
            <w:top w:val="none" w:sz="0" w:space="0" w:color="auto"/>
            <w:left w:val="none" w:sz="0" w:space="0" w:color="auto"/>
            <w:bottom w:val="none" w:sz="0" w:space="0" w:color="auto"/>
            <w:right w:val="none" w:sz="0" w:space="0" w:color="auto"/>
          </w:divBdr>
        </w:div>
        <w:div w:id="528836192">
          <w:marLeft w:val="0"/>
          <w:marRight w:val="0"/>
          <w:marTop w:val="0"/>
          <w:marBottom w:val="0"/>
          <w:divBdr>
            <w:top w:val="none" w:sz="0" w:space="0" w:color="auto"/>
            <w:left w:val="none" w:sz="0" w:space="0" w:color="auto"/>
            <w:bottom w:val="none" w:sz="0" w:space="0" w:color="auto"/>
            <w:right w:val="none" w:sz="0" w:space="0" w:color="auto"/>
          </w:divBdr>
        </w:div>
        <w:div w:id="383257953">
          <w:marLeft w:val="0"/>
          <w:marRight w:val="0"/>
          <w:marTop w:val="0"/>
          <w:marBottom w:val="0"/>
          <w:divBdr>
            <w:top w:val="none" w:sz="0" w:space="0" w:color="auto"/>
            <w:left w:val="none" w:sz="0" w:space="0" w:color="auto"/>
            <w:bottom w:val="none" w:sz="0" w:space="0" w:color="auto"/>
            <w:right w:val="none" w:sz="0" w:space="0" w:color="auto"/>
          </w:divBdr>
        </w:div>
        <w:div w:id="1386490467">
          <w:marLeft w:val="0"/>
          <w:marRight w:val="0"/>
          <w:marTop w:val="0"/>
          <w:marBottom w:val="0"/>
          <w:divBdr>
            <w:top w:val="none" w:sz="0" w:space="0" w:color="auto"/>
            <w:left w:val="none" w:sz="0" w:space="0" w:color="auto"/>
            <w:bottom w:val="none" w:sz="0" w:space="0" w:color="auto"/>
            <w:right w:val="none" w:sz="0" w:space="0" w:color="auto"/>
          </w:divBdr>
        </w:div>
        <w:div w:id="493911849">
          <w:marLeft w:val="0"/>
          <w:marRight w:val="0"/>
          <w:marTop w:val="0"/>
          <w:marBottom w:val="0"/>
          <w:divBdr>
            <w:top w:val="none" w:sz="0" w:space="0" w:color="auto"/>
            <w:left w:val="none" w:sz="0" w:space="0" w:color="auto"/>
            <w:bottom w:val="none" w:sz="0" w:space="0" w:color="auto"/>
            <w:right w:val="none" w:sz="0" w:space="0" w:color="auto"/>
          </w:divBdr>
        </w:div>
      </w:divsChild>
    </w:div>
    <w:div w:id="141046634">
      <w:bodyDiv w:val="1"/>
      <w:marLeft w:val="0"/>
      <w:marRight w:val="0"/>
      <w:marTop w:val="0"/>
      <w:marBottom w:val="0"/>
      <w:divBdr>
        <w:top w:val="none" w:sz="0" w:space="0" w:color="auto"/>
        <w:left w:val="none" w:sz="0" w:space="0" w:color="auto"/>
        <w:bottom w:val="none" w:sz="0" w:space="0" w:color="auto"/>
        <w:right w:val="none" w:sz="0" w:space="0" w:color="auto"/>
      </w:divBdr>
      <w:divsChild>
        <w:div w:id="1758014800">
          <w:marLeft w:val="0"/>
          <w:marRight w:val="0"/>
          <w:marTop w:val="0"/>
          <w:marBottom w:val="0"/>
          <w:divBdr>
            <w:top w:val="none" w:sz="0" w:space="0" w:color="auto"/>
            <w:left w:val="none" w:sz="0" w:space="0" w:color="auto"/>
            <w:bottom w:val="none" w:sz="0" w:space="0" w:color="auto"/>
            <w:right w:val="none" w:sz="0" w:space="0" w:color="auto"/>
          </w:divBdr>
        </w:div>
        <w:div w:id="1642732058">
          <w:marLeft w:val="0"/>
          <w:marRight w:val="0"/>
          <w:marTop w:val="0"/>
          <w:marBottom w:val="0"/>
          <w:divBdr>
            <w:top w:val="none" w:sz="0" w:space="0" w:color="auto"/>
            <w:left w:val="none" w:sz="0" w:space="0" w:color="auto"/>
            <w:bottom w:val="none" w:sz="0" w:space="0" w:color="auto"/>
            <w:right w:val="none" w:sz="0" w:space="0" w:color="auto"/>
          </w:divBdr>
        </w:div>
        <w:div w:id="1682270192">
          <w:marLeft w:val="0"/>
          <w:marRight w:val="0"/>
          <w:marTop w:val="0"/>
          <w:marBottom w:val="0"/>
          <w:divBdr>
            <w:top w:val="none" w:sz="0" w:space="0" w:color="auto"/>
            <w:left w:val="none" w:sz="0" w:space="0" w:color="auto"/>
            <w:bottom w:val="none" w:sz="0" w:space="0" w:color="auto"/>
            <w:right w:val="none" w:sz="0" w:space="0" w:color="auto"/>
          </w:divBdr>
        </w:div>
      </w:divsChild>
    </w:div>
    <w:div w:id="299311877">
      <w:bodyDiv w:val="1"/>
      <w:marLeft w:val="0"/>
      <w:marRight w:val="0"/>
      <w:marTop w:val="0"/>
      <w:marBottom w:val="0"/>
      <w:divBdr>
        <w:top w:val="none" w:sz="0" w:space="0" w:color="auto"/>
        <w:left w:val="none" w:sz="0" w:space="0" w:color="auto"/>
        <w:bottom w:val="none" w:sz="0" w:space="0" w:color="auto"/>
        <w:right w:val="none" w:sz="0" w:space="0" w:color="auto"/>
      </w:divBdr>
      <w:divsChild>
        <w:div w:id="1825705535">
          <w:marLeft w:val="0"/>
          <w:marRight w:val="0"/>
          <w:marTop w:val="0"/>
          <w:marBottom w:val="0"/>
          <w:divBdr>
            <w:top w:val="none" w:sz="0" w:space="0" w:color="auto"/>
            <w:left w:val="none" w:sz="0" w:space="0" w:color="auto"/>
            <w:bottom w:val="none" w:sz="0" w:space="0" w:color="auto"/>
            <w:right w:val="none" w:sz="0" w:space="0" w:color="auto"/>
          </w:divBdr>
          <w:divsChild>
            <w:div w:id="1491021997">
              <w:marLeft w:val="0"/>
              <w:marRight w:val="0"/>
              <w:marTop w:val="0"/>
              <w:marBottom w:val="0"/>
              <w:divBdr>
                <w:top w:val="none" w:sz="0" w:space="0" w:color="auto"/>
                <w:left w:val="none" w:sz="0" w:space="0" w:color="auto"/>
                <w:bottom w:val="none" w:sz="0" w:space="0" w:color="auto"/>
                <w:right w:val="none" w:sz="0" w:space="0" w:color="auto"/>
              </w:divBdr>
              <w:divsChild>
                <w:div w:id="1011949179">
                  <w:marLeft w:val="0"/>
                  <w:marRight w:val="0"/>
                  <w:marTop w:val="0"/>
                  <w:marBottom w:val="0"/>
                  <w:divBdr>
                    <w:top w:val="none" w:sz="0" w:space="0" w:color="auto"/>
                    <w:left w:val="none" w:sz="0" w:space="0" w:color="auto"/>
                    <w:bottom w:val="none" w:sz="0" w:space="0" w:color="auto"/>
                    <w:right w:val="none" w:sz="0" w:space="0" w:color="auto"/>
                  </w:divBdr>
                  <w:divsChild>
                    <w:div w:id="58678644">
                      <w:marLeft w:val="0"/>
                      <w:marRight w:val="0"/>
                      <w:marTop w:val="0"/>
                      <w:marBottom w:val="0"/>
                      <w:divBdr>
                        <w:top w:val="none" w:sz="0" w:space="0" w:color="auto"/>
                        <w:left w:val="none" w:sz="0" w:space="0" w:color="auto"/>
                        <w:bottom w:val="none" w:sz="0" w:space="0" w:color="auto"/>
                        <w:right w:val="none" w:sz="0" w:space="0" w:color="auto"/>
                      </w:divBdr>
                      <w:divsChild>
                        <w:div w:id="1948348440">
                          <w:marLeft w:val="0"/>
                          <w:marRight w:val="0"/>
                          <w:marTop w:val="0"/>
                          <w:marBottom w:val="0"/>
                          <w:divBdr>
                            <w:top w:val="none" w:sz="0" w:space="0" w:color="auto"/>
                            <w:left w:val="none" w:sz="0" w:space="0" w:color="auto"/>
                            <w:bottom w:val="none" w:sz="0" w:space="0" w:color="auto"/>
                            <w:right w:val="none" w:sz="0" w:space="0" w:color="auto"/>
                          </w:divBdr>
                          <w:divsChild>
                            <w:div w:id="399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084423">
      <w:bodyDiv w:val="1"/>
      <w:marLeft w:val="0"/>
      <w:marRight w:val="0"/>
      <w:marTop w:val="0"/>
      <w:marBottom w:val="0"/>
      <w:divBdr>
        <w:top w:val="none" w:sz="0" w:space="0" w:color="auto"/>
        <w:left w:val="none" w:sz="0" w:space="0" w:color="auto"/>
        <w:bottom w:val="none" w:sz="0" w:space="0" w:color="auto"/>
        <w:right w:val="none" w:sz="0" w:space="0" w:color="auto"/>
      </w:divBdr>
    </w:div>
    <w:div w:id="624700314">
      <w:bodyDiv w:val="1"/>
      <w:marLeft w:val="0"/>
      <w:marRight w:val="0"/>
      <w:marTop w:val="0"/>
      <w:marBottom w:val="0"/>
      <w:divBdr>
        <w:top w:val="none" w:sz="0" w:space="0" w:color="auto"/>
        <w:left w:val="none" w:sz="0" w:space="0" w:color="auto"/>
        <w:bottom w:val="none" w:sz="0" w:space="0" w:color="auto"/>
        <w:right w:val="none" w:sz="0" w:space="0" w:color="auto"/>
      </w:divBdr>
    </w:div>
    <w:div w:id="703873270">
      <w:bodyDiv w:val="1"/>
      <w:marLeft w:val="0"/>
      <w:marRight w:val="0"/>
      <w:marTop w:val="0"/>
      <w:marBottom w:val="0"/>
      <w:divBdr>
        <w:top w:val="none" w:sz="0" w:space="0" w:color="auto"/>
        <w:left w:val="none" w:sz="0" w:space="0" w:color="auto"/>
        <w:bottom w:val="none" w:sz="0" w:space="0" w:color="auto"/>
        <w:right w:val="none" w:sz="0" w:space="0" w:color="auto"/>
      </w:divBdr>
      <w:divsChild>
        <w:div w:id="1314991360">
          <w:marLeft w:val="0"/>
          <w:marRight w:val="0"/>
          <w:marTop w:val="0"/>
          <w:marBottom w:val="0"/>
          <w:divBdr>
            <w:top w:val="none" w:sz="0" w:space="0" w:color="auto"/>
            <w:left w:val="none" w:sz="0" w:space="0" w:color="auto"/>
            <w:bottom w:val="none" w:sz="0" w:space="0" w:color="auto"/>
            <w:right w:val="none" w:sz="0" w:space="0" w:color="auto"/>
          </w:divBdr>
        </w:div>
        <w:div w:id="1689024028">
          <w:marLeft w:val="0"/>
          <w:marRight w:val="0"/>
          <w:marTop w:val="0"/>
          <w:marBottom w:val="0"/>
          <w:divBdr>
            <w:top w:val="none" w:sz="0" w:space="0" w:color="auto"/>
            <w:left w:val="none" w:sz="0" w:space="0" w:color="auto"/>
            <w:bottom w:val="none" w:sz="0" w:space="0" w:color="auto"/>
            <w:right w:val="none" w:sz="0" w:space="0" w:color="auto"/>
          </w:divBdr>
        </w:div>
        <w:div w:id="1256785100">
          <w:marLeft w:val="0"/>
          <w:marRight w:val="0"/>
          <w:marTop w:val="0"/>
          <w:marBottom w:val="0"/>
          <w:divBdr>
            <w:top w:val="none" w:sz="0" w:space="0" w:color="auto"/>
            <w:left w:val="none" w:sz="0" w:space="0" w:color="auto"/>
            <w:bottom w:val="none" w:sz="0" w:space="0" w:color="auto"/>
            <w:right w:val="none" w:sz="0" w:space="0" w:color="auto"/>
          </w:divBdr>
        </w:div>
        <w:div w:id="334386309">
          <w:marLeft w:val="0"/>
          <w:marRight w:val="0"/>
          <w:marTop w:val="0"/>
          <w:marBottom w:val="0"/>
          <w:divBdr>
            <w:top w:val="none" w:sz="0" w:space="0" w:color="auto"/>
            <w:left w:val="none" w:sz="0" w:space="0" w:color="auto"/>
            <w:bottom w:val="none" w:sz="0" w:space="0" w:color="auto"/>
            <w:right w:val="none" w:sz="0" w:space="0" w:color="auto"/>
          </w:divBdr>
        </w:div>
        <w:div w:id="149637759">
          <w:marLeft w:val="0"/>
          <w:marRight w:val="0"/>
          <w:marTop w:val="0"/>
          <w:marBottom w:val="0"/>
          <w:divBdr>
            <w:top w:val="none" w:sz="0" w:space="0" w:color="auto"/>
            <w:left w:val="none" w:sz="0" w:space="0" w:color="auto"/>
            <w:bottom w:val="none" w:sz="0" w:space="0" w:color="auto"/>
            <w:right w:val="none" w:sz="0" w:space="0" w:color="auto"/>
          </w:divBdr>
        </w:div>
        <w:div w:id="2024241961">
          <w:marLeft w:val="0"/>
          <w:marRight w:val="0"/>
          <w:marTop w:val="0"/>
          <w:marBottom w:val="0"/>
          <w:divBdr>
            <w:top w:val="none" w:sz="0" w:space="0" w:color="auto"/>
            <w:left w:val="none" w:sz="0" w:space="0" w:color="auto"/>
            <w:bottom w:val="none" w:sz="0" w:space="0" w:color="auto"/>
            <w:right w:val="none" w:sz="0" w:space="0" w:color="auto"/>
          </w:divBdr>
        </w:div>
        <w:div w:id="1869373468">
          <w:marLeft w:val="0"/>
          <w:marRight w:val="0"/>
          <w:marTop w:val="0"/>
          <w:marBottom w:val="0"/>
          <w:divBdr>
            <w:top w:val="none" w:sz="0" w:space="0" w:color="auto"/>
            <w:left w:val="none" w:sz="0" w:space="0" w:color="auto"/>
            <w:bottom w:val="none" w:sz="0" w:space="0" w:color="auto"/>
            <w:right w:val="none" w:sz="0" w:space="0" w:color="auto"/>
          </w:divBdr>
        </w:div>
        <w:div w:id="942229665">
          <w:marLeft w:val="0"/>
          <w:marRight w:val="0"/>
          <w:marTop w:val="0"/>
          <w:marBottom w:val="0"/>
          <w:divBdr>
            <w:top w:val="none" w:sz="0" w:space="0" w:color="auto"/>
            <w:left w:val="none" w:sz="0" w:space="0" w:color="auto"/>
            <w:bottom w:val="none" w:sz="0" w:space="0" w:color="auto"/>
            <w:right w:val="none" w:sz="0" w:space="0" w:color="auto"/>
          </w:divBdr>
        </w:div>
        <w:div w:id="1596329331">
          <w:marLeft w:val="0"/>
          <w:marRight w:val="0"/>
          <w:marTop w:val="0"/>
          <w:marBottom w:val="0"/>
          <w:divBdr>
            <w:top w:val="none" w:sz="0" w:space="0" w:color="auto"/>
            <w:left w:val="none" w:sz="0" w:space="0" w:color="auto"/>
            <w:bottom w:val="none" w:sz="0" w:space="0" w:color="auto"/>
            <w:right w:val="none" w:sz="0" w:space="0" w:color="auto"/>
          </w:divBdr>
        </w:div>
        <w:div w:id="175703239">
          <w:marLeft w:val="0"/>
          <w:marRight w:val="0"/>
          <w:marTop w:val="0"/>
          <w:marBottom w:val="0"/>
          <w:divBdr>
            <w:top w:val="none" w:sz="0" w:space="0" w:color="auto"/>
            <w:left w:val="none" w:sz="0" w:space="0" w:color="auto"/>
            <w:bottom w:val="none" w:sz="0" w:space="0" w:color="auto"/>
            <w:right w:val="none" w:sz="0" w:space="0" w:color="auto"/>
          </w:divBdr>
        </w:div>
        <w:div w:id="1635138069">
          <w:marLeft w:val="0"/>
          <w:marRight w:val="0"/>
          <w:marTop w:val="0"/>
          <w:marBottom w:val="0"/>
          <w:divBdr>
            <w:top w:val="none" w:sz="0" w:space="0" w:color="auto"/>
            <w:left w:val="none" w:sz="0" w:space="0" w:color="auto"/>
            <w:bottom w:val="none" w:sz="0" w:space="0" w:color="auto"/>
            <w:right w:val="none" w:sz="0" w:space="0" w:color="auto"/>
          </w:divBdr>
        </w:div>
        <w:div w:id="1407075324">
          <w:marLeft w:val="0"/>
          <w:marRight w:val="0"/>
          <w:marTop w:val="0"/>
          <w:marBottom w:val="0"/>
          <w:divBdr>
            <w:top w:val="none" w:sz="0" w:space="0" w:color="auto"/>
            <w:left w:val="none" w:sz="0" w:space="0" w:color="auto"/>
            <w:bottom w:val="none" w:sz="0" w:space="0" w:color="auto"/>
            <w:right w:val="none" w:sz="0" w:space="0" w:color="auto"/>
          </w:divBdr>
        </w:div>
        <w:div w:id="1158569508">
          <w:marLeft w:val="0"/>
          <w:marRight w:val="0"/>
          <w:marTop w:val="0"/>
          <w:marBottom w:val="0"/>
          <w:divBdr>
            <w:top w:val="none" w:sz="0" w:space="0" w:color="auto"/>
            <w:left w:val="none" w:sz="0" w:space="0" w:color="auto"/>
            <w:bottom w:val="none" w:sz="0" w:space="0" w:color="auto"/>
            <w:right w:val="none" w:sz="0" w:space="0" w:color="auto"/>
          </w:divBdr>
        </w:div>
        <w:div w:id="1105881923">
          <w:marLeft w:val="0"/>
          <w:marRight w:val="0"/>
          <w:marTop w:val="0"/>
          <w:marBottom w:val="0"/>
          <w:divBdr>
            <w:top w:val="none" w:sz="0" w:space="0" w:color="auto"/>
            <w:left w:val="none" w:sz="0" w:space="0" w:color="auto"/>
            <w:bottom w:val="none" w:sz="0" w:space="0" w:color="auto"/>
            <w:right w:val="none" w:sz="0" w:space="0" w:color="auto"/>
          </w:divBdr>
        </w:div>
        <w:div w:id="600916247">
          <w:marLeft w:val="0"/>
          <w:marRight w:val="0"/>
          <w:marTop w:val="0"/>
          <w:marBottom w:val="0"/>
          <w:divBdr>
            <w:top w:val="none" w:sz="0" w:space="0" w:color="auto"/>
            <w:left w:val="none" w:sz="0" w:space="0" w:color="auto"/>
            <w:bottom w:val="none" w:sz="0" w:space="0" w:color="auto"/>
            <w:right w:val="none" w:sz="0" w:space="0" w:color="auto"/>
          </w:divBdr>
        </w:div>
        <w:div w:id="821502206">
          <w:marLeft w:val="0"/>
          <w:marRight w:val="0"/>
          <w:marTop w:val="0"/>
          <w:marBottom w:val="0"/>
          <w:divBdr>
            <w:top w:val="none" w:sz="0" w:space="0" w:color="auto"/>
            <w:left w:val="none" w:sz="0" w:space="0" w:color="auto"/>
            <w:bottom w:val="none" w:sz="0" w:space="0" w:color="auto"/>
            <w:right w:val="none" w:sz="0" w:space="0" w:color="auto"/>
          </w:divBdr>
        </w:div>
        <w:div w:id="924220480">
          <w:marLeft w:val="0"/>
          <w:marRight w:val="0"/>
          <w:marTop w:val="0"/>
          <w:marBottom w:val="0"/>
          <w:divBdr>
            <w:top w:val="none" w:sz="0" w:space="0" w:color="auto"/>
            <w:left w:val="none" w:sz="0" w:space="0" w:color="auto"/>
            <w:bottom w:val="none" w:sz="0" w:space="0" w:color="auto"/>
            <w:right w:val="none" w:sz="0" w:space="0" w:color="auto"/>
          </w:divBdr>
        </w:div>
        <w:div w:id="1167790042">
          <w:marLeft w:val="0"/>
          <w:marRight w:val="0"/>
          <w:marTop w:val="0"/>
          <w:marBottom w:val="0"/>
          <w:divBdr>
            <w:top w:val="none" w:sz="0" w:space="0" w:color="auto"/>
            <w:left w:val="none" w:sz="0" w:space="0" w:color="auto"/>
            <w:bottom w:val="none" w:sz="0" w:space="0" w:color="auto"/>
            <w:right w:val="none" w:sz="0" w:space="0" w:color="auto"/>
          </w:divBdr>
        </w:div>
        <w:div w:id="484510941">
          <w:marLeft w:val="0"/>
          <w:marRight w:val="0"/>
          <w:marTop w:val="0"/>
          <w:marBottom w:val="0"/>
          <w:divBdr>
            <w:top w:val="none" w:sz="0" w:space="0" w:color="auto"/>
            <w:left w:val="none" w:sz="0" w:space="0" w:color="auto"/>
            <w:bottom w:val="none" w:sz="0" w:space="0" w:color="auto"/>
            <w:right w:val="none" w:sz="0" w:space="0" w:color="auto"/>
          </w:divBdr>
        </w:div>
        <w:div w:id="218059561">
          <w:marLeft w:val="0"/>
          <w:marRight w:val="0"/>
          <w:marTop w:val="0"/>
          <w:marBottom w:val="0"/>
          <w:divBdr>
            <w:top w:val="none" w:sz="0" w:space="0" w:color="auto"/>
            <w:left w:val="none" w:sz="0" w:space="0" w:color="auto"/>
            <w:bottom w:val="none" w:sz="0" w:space="0" w:color="auto"/>
            <w:right w:val="none" w:sz="0" w:space="0" w:color="auto"/>
          </w:divBdr>
        </w:div>
        <w:div w:id="1921402022">
          <w:marLeft w:val="0"/>
          <w:marRight w:val="0"/>
          <w:marTop w:val="0"/>
          <w:marBottom w:val="0"/>
          <w:divBdr>
            <w:top w:val="none" w:sz="0" w:space="0" w:color="auto"/>
            <w:left w:val="none" w:sz="0" w:space="0" w:color="auto"/>
            <w:bottom w:val="none" w:sz="0" w:space="0" w:color="auto"/>
            <w:right w:val="none" w:sz="0" w:space="0" w:color="auto"/>
          </w:divBdr>
        </w:div>
        <w:div w:id="766728054">
          <w:marLeft w:val="0"/>
          <w:marRight w:val="0"/>
          <w:marTop w:val="0"/>
          <w:marBottom w:val="0"/>
          <w:divBdr>
            <w:top w:val="none" w:sz="0" w:space="0" w:color="auto"/>
            <w:left w:val="none" w:sz="0" w:space="0" w:color="auto"/>
            <w:bottom w:val="none" w:sz="0" w:space="0" w:color="auto"/>
            <w:right w:val="none" w:sz="0" w:space="0" w:color="auto"/>
          </w:divBdr>
        </w:div>
        <w:div w:id="1981227202">
          <w:marLeft w:val="0"/>
          <w:marRight w:val="0"/>
          <w:marTop w:val="0"/>
          <w:marBottom w:val="0"/>
          <w:divBdr>
            <w:top w:val="none" w:sz="0" w:space="0" w:color="auto"/>
            <w:left w:val="none" w:sz="0" w:space="0" w:color="auto"/>
            <w:bottom w:val="none" w:sz="0" w:space="0" w:color="auto"/>
            <w:right w:val="none" w:sz="0" w:space="0" w:color="auto"/>
          </w:divBdr>
        </w:div>
        <w:div w:id="1453279001">
          <w:marLeft w:val="0"/>
          <w:marRight w:val="0"/>
          <w:marTop w:val="0"/>
          <w:marBottom w:val="0"/>
          <w:divBdr>
            <w:top w:val="none" w:sz="0" w:space="0" w:color="auto"/>
            <w:left w:val="none" w:sz="0" w:space="0" w:color="auto"/>
            <w:bottom w:val="none" w:sz="0" w:space="0" w:color="auto"/>
            <w:right w:val="none" w:sz="0" w:space="0" w:color="auto"/>
          </w:divBdr>
        </w:div>
        <w:div w:id="824509879">
          <w:marLeft w:val="0"/>
          <w:marRight w:val="0"/>
          <w:marTop w:val="0"/>
          <w:marBottom w:val="0"/>
          <w:divBdr>
            <w:top w:val="none" w:sz="0" w:space="0" w:color="auto"/>
            <w:left w:val="none" w:sz="0" w:space="0" w:color="auto"/>
            <w:bottom w:val="none" w:sz="0" w:space="0" w:color="auto"/>
            <w:right w:val="none" w:sz="0" w:space="0" w:color="auto"/>
          </w:divBdr>
        </w:div>
        <w:div w:id="910889844">
          <w:marLeft w:val="0"/>
          <w:marRight w:val="0"/>
          <w:marTop w:val="0"/>
          <w:marBottom w:val="0"/>
          <w:divBdr>
            <w:top w:val="none" w:sz="0" w:space="0" w:color="auto"/>
            <w:left w:val="none" w:sz="0" w:space="0" w:color="auto"/>
            <w:bottom w:val="none" w:sz="0" w:space="0" w:color="auto"/>
            <w:right w:val="none" w:sz="0" w:space="0" w:color="auto"/>
          </w:divBdr>
        </w:div>
        <w:div w:id="1777409254">
          <w:marLeft w:val="0"/>
          <w:marRight w:val="0"/>
          <w:marTop w:val="0"/>
          <w:marBottom w:val="0"/>
          <w:divBdr>
            <w:top w:val="none" w:sz="0" w:space="0" w:color="auto"/>
            <w:left w:val="none" w:sz="0" w:space="0" w:color="auto"/>
            <w:bottom w:val="none" w:sz="0" w:space="0" w:color="auto"/>
            <w:right w:val="none" w:sz="0" w:space="0" w:color="auto"/>
          </w:divBdr>
        </w:div>
        <w:div w:id="632056023">
          <w:marLeft w:val="0"/>
          <w:marRight w:val="0"/>
          <w:marTop w:val="0"/>
          <w:marBottom w:val="0"/>
          <w:divBdr>
            <w:top w:val="none" w:sz="0" w:space="0" w:color="auto"/>
            <w:left w:val="none" w:sz="0" w:space="0" w:color="auto"/>
            <w:bottom w:val="none" w:sz="0" w:space="0" w:color="auto"/>
            <w:right w:val="none" w:sz="0" w:space="0" w:color="auto"/>
          </w:divBdr>
        </w:div>
        <w:div w:id="865826659">
          <w:marLeft w:val="0"/>
          <w:marRight w:val="0"/>
          <w:marTop w:val="0"/>
          <w:marBottom w:val="0"/>
          <w:divBdr>
            <w:top w:val="none" w:sz="0" w:space="0" w:color="auto"/>
            <w:left w:val="none" w:sz="0" w:space="0" w:color="auto"/>
            <w:bottom w:val="none" w:sz="0" w:space="0" w:color="auto"/>
            <w:right w:val="none" w:sz="0" w:space="0" w:color="auto"/>
          </w:divBdr>
        </w:div>
        <w:div w:id="829979117">
          <w:marLeft w:val="0"/>
          <w:marRight w:val="0"/>
          <w:marTop w:val="0"/>
          <w:marBottom w:val="0"/>
          <w:divBdr>
            <w:top w:val="none" w:sz="0" w:space="0" w:color="auto"/>
            <w:left w:val="none" w:sz="0" w:space="0" w:color="auto"/>
            <w:bottom w:val="none" w:sz="0" w:space="0" w:color="auto"/>
            <w:right w:val="none" w:sz="0" w:space="0" w:color="auto"/>
          </w:divBdr>
        </w:div>
        <w:div w:id="737821351">
          <w:marLeft w:val="0"/>
          <w:marRight w:val="0"/>
          <w:marTop w:val="0"/>
          <w:marBottom w:val="0"/>
          <w:divBdr>
            <w:top w:val="none" w:sz="0" w:space="0" w:color="auto"/>
            <w:left w:val="none" w:sz="0" w:space="0" w:color="auto"/>
            <w:bottom w:val="none" w:sz="0" w:space="0" w:color="auto"/>
            <w:right w:val="none" w:sz="0" w:space="0" w:color="auto"/>
          </w:divBdr>
        </w:div>
        <w:div w:id="379477482">
          <w:marLeft w:val="0"/>
          <w:marRight w:val="0"/>
          <w:marTop w:val="0"/>
          <w:marBottom w:val="0"/>
          <w:divBdr>
            <w:top w:val="none" w:sz="0" w:space="0" w:color="auto"/>
            <w:left w:val="none" w:sz="0" w:space="0" w:color="auto"/>
            <w:bottom w:val="none" w:sz="0" w:space="0" w:color="auto"/>
            <w:right w:val="none" w:sz="0" w:space="0" w:color="auto"/>
          </w:divBdr>
        </w:div>
        <w:div w:id="1855799869">
          <w:marLeft w:val="0"/>
          <w:marRight w:val="0"/>
          <w:marTop w:val="0"/>
          <w:marBottom w:val="0"/>
          <w:divBdr>
            <w:top w:val="none" w:sz="0" w:space="0" w:color="auto"/>
            <w:left w:val="none" w:sz="0" w:space="0" w:color="auto"/>
            <w:bottom w:val="none" w:sz="0" w:space="0" w:color="auto"/>
            <w:right w:val="none" w:sz="0" w:space="0" w:color="auto"/>
          </w:divBdr>
        </w:div>
        <w:div w:id="1271015550">
          <w:marLeft w:val="0"/>
          <w:marRight w:val="0"/>
          <w:marTop w:val="0"/>
          <w:marBottom w:val="0"/>
          <w:divBdr>
            <w:top w:val="none" w:sz="0" w:space="0" w:color="auto"/>
            <w:left w:val="none" w:sz="0" w:space="0" w:color="auto"/>
            <w:bottom w:val="none" w:sz="0" w:space="0" w:color="auto"/>
            <w:right w:val="none" w:sz="0" w:space="0" w:color="auto"/>
          </w:divBdr>
        </w:div>
        <w:div w:id="1835368077">
          <w:marLeft w:val="0"/>
          <w:marRight w:val="0"/>
          <w:marTop w:val="0"/>
          <w:marBottom w:val="0"/>
          <w:divBdr>
            <w:top w:val="none" w:sz="0" w:space="0" w:color="auto"/>
            <w:left w:val="none" w:sz="0" w:space="0" w:color="auto"/>
            <w:bottom w:val="none" w:sz="0" w:space="0" w:color="auto"/>
            <w:right w:val="none" w:sz="0" w:space="0" w:color="auto"/>
          </w:divBdr>
        </w:div>
        <w:div w:id="418913713">
          <w:marLeft w:val="0"/>
          <w:marRight w:val="0"/>
          <w:marTop w:val="0"/>
          <w:marBottom w:val="0"/>
          <w:divBdr>
            <w:top w:val="none" w:sz="0" w:space="0" w:color="auto"/>
            <w:left w:val="none" w:sz="0" w:space="0" w:color="auto"/>
            <w:bottom w:val="none" w:sz="0" w:space="0" w:color="auto"/>
            <w:right w:val="none" w:sz="0" w:space="0" w:color="auto"/>
          </w:divBdr>
        </w:div>
        <w:div w:id="785198285">
          <w:marLeft w:val="0"/>
          <w:marRight w:val="0"/>
          <w:marTop w:val="0"/>
          <w:marBottom w:val="0"/>
          <w:divBdr>
            <w:top w:val="none" w:sz="0" w:space="0" w:color="auto"/>
            <w:left w:val="none" w:sz="0" w:space="0" w:color="auto"/>
            <w:bottom w:val="none" w:sz="0" w:space="0" w:color="auto"/>
            <w:right w:val="none" w:sz="0" w:space="0" w:color="auto"/>
          </w:divBdr>
        </w:div>
        <w:div w:id="1489901450">
          <w:marLeft w:val="0"/>
          <w:marRight w:val="0"/>
          <w:marTop w:val="0"/>
          <w:marBottom w:val="0"/>
          <w:divBdr>
            <w:top w:val="none" w:sz="0" w:space="0" w:color="auto"/>
            <w:left w:val="none" w:sz="0" w:space="0" w:color="auto"/>
            <w:bottom w:val="none" w:sz="0" w:space="0" w:color="auto"/>
            <w:right w:val="none" w:sz="0" w:space="0" w:color="auto"/>
          </w:divBdr>
        </w:div>
        <w:div w:id="496967597">
          <w:marLeft w:val="0"/>
          <w:marRight w:val="0"/>
          <w:marTop w:val="0"/>
          <w:marBottom w:val="0"/>
          <w:divBdr>
            <w:top w:val="none" w:sz="0" w:space="0" w:color="auto"/>
            <w:left w:val="none" w:sz="0" w:space="0" w:color="auto"/>
            <w:bottom w:val="none" w:sz="0" w:space="0" w:color="auto"/>
            <w:right w:val="none" w:sz="0" w:space="0" w:color="auto"/>
          </w:divBdr>
        </w:div>
        <w:div w:id="1331524290">
          <w:marLeft w:val="0"/>
          <w:marRight w:val="0"/>
          <w:marTop w:val="0"/>
          <w:marBottom w:val="0"/>
          <w:divBdr>
            <w:top w:val="none" w:sz="0" w:space="0" w:color="auto"/>
            <w:left w:val="none" w:sz="0" w:space="0" w:color="auto"/>
            <w:bottom w:val="none" w:sz="0" w:space="0" w:color="auto"/>
            <w:right w:val="none" w:sz="0" w:space="0" w:color="auto"/>
          </w:divBdr>
        </w:div>
        <w:div w:id="905800371">
          <w:marLeft w:val="0"/>
          <w:marRight w:val="0"/>
          <w:marTop w:val="0"/>
          <w:marBottom w:val="0"/>
          <w:divBdr>
            <w:top w:val="none" w:sz="0" w:space="0" w:color="auto"/>
            <w:left w:val="none" w:sz="0" w:space="0" w:color="auto"/>
            <w:bottom w:val="none" w:sz="0" w:space="0" w:color="auto"/>
            <w:right w:val="none" w:sz="0" w:space="0" w:color="auto"/>
          </w:divBdr>
        </w:div>
        <w:div w:id="231040200">
          <w:marLeft w:val="0"/>
          <w:marRight w:val="0"/>
          <w:marTop w:val="0"/>
          <w:marBottom w:val="0"/>
          <w:divBdr>
            <w:top w:val="none" w:sz="0" w:space="0" w:color="auto"/>
            <w:left w:val="none" w:sz="0" w:space="0" w:color="auto"/>
            <w:bottom w:val="none" w:sz="0" w:space="0" w:color="auto"/>
            <w:right w:val="none" w:sz="0" w:space="0" w:color="auto"/>
          </w:divBdr>
        </w:div>
        <w:div w:id="2026325647">
          <w:marLeft w:val="0"/>
          <w:marRight w:val="0"/>
          <w:marTop w:val="0"/>
          <w:marBottom w:val="0"/>
          <w:divBdr>
            <w:top w:val="none" w:sz="0" w:space="0" w:color="auto"/>
            <w:left w:val="none" w:sz="0" w:space="0" w:color="auto"/>
            <w:bottom w:val="none" w:sz="0" w:space="0" w:color="auto"/>
            <w:right w:val="none" w:sz="0" w:space="0" w:color="auto"/>
          </w:divBdr>
        </w:div>
        <w:div w:id="141316713">
          <w:marLeft w:val="0"/>
          <w:marRight w:val="0"/>
          <w:marTop w:val="0"/>
          <w:marBottom w:val="0"/>
          <w:divBdr>
            <w:top w:val="none" w:sz="0" w:space="0" w:color="auto"/>
            <w:left w:val="none" w:sz="0" w:space="0" w:color="auto"/>
            <w:bottom w:val="none" w:sz="0" w:space="0" w:color="auto"/>
            <w:right w:val="none" w:sz="0" w:space="0" w:color="auto"/>
          </w:divBdr>
        </w:div>
      </w:divsChild>
    </w:div>
    <w:div w:id="899751151">
      <w:bodyDiv w:val="1"/>
      <w:marLeft w:val="0"/>
      <w:marRight w:val="0"/>
      <w:marTop w:val="0"/>
      <w:marBottom w:val="0"/>
      <w:divBdr>
        <w:top w:val="none" w:sz="0" w:space="0" w:color="auto"/>
        <w:left w:val="none" w:sz="0" w:space="0" w:color="auto"/>
        <w:bottom w:val="none" w:sz="0" w:space="0" w:color="auto"/>
        <w:right w:val="none" w:sz="0" w:space="0" w:color="auto"/>
      </w:divBdr>
    </w:div>
    <w:div w:id="970938494">
      <w:bodyDiv w:val="1"/>
      <w:marLeft w:val="0"/>
      <w:marRight w:val="0"/>
      <w:marTop w:val="0"/>
      <w:marBottom w:val="0"/>
      <w:divBdr>
        <w:top w:val="none" w:sz="0" w:space="0" w:color="auto"/>
        <w:left w:val="none" w:sz="0" w:space="0" w:color="auto"/>
        <w:bottom w:val="none" w:sz="0" w:space="0" w:color="auto"/>
        <w:right w:val="none" w:sz="0" w:space="0" w:color="auto"/>
      </w:divBdr>
    </w:div>
    <w:div w:id="1290436197">
      <w:bodyDiv w:val="1"/>
      <w:marLeft w:val="0"/>
      <w:marRight w:val="0"/>
      <w:marTop w:val="0"/>
      <w:marBottom w:val="0"/>
      <w:divBdr>
        <w:top w:val="none" w:sz="0" w:space="0" w:color="auto"/>
        <w:left w:val="none" w:sz="0" w:space="0" w:color="auto"/>
        <w:bottom w:val="none" w:sz="0" w:space="0" w:color="auto"/>
        <w:right w:val="none" w:sz="0" w:space="0" w:color="auto"/>
      </w:divBdr>
      <w:divsChild>
        <w:div w:id="224073675">
          <w:marLeft w:val="0"/>
          <w:marRight w:val="0"/>
          <w:marTop w:val="0"/>
          <w:marBottom w:val="0"/>
          <w:divBdr>
            <w:top w:val="none" w:sz="0" w:space="0" w:color="auto"/>
            <w:left w:val="none" w:sz="0" w:space="0" w:color="auto"/>
            <w:bottom w:val="none" w:sz="0" w:space="0" w:color="auto"/>
            <w:right w:val="none" w:sz="0" w:space="0" w:color="auto"/>
          </w:divBdr>
          <w:divsChild>
            <w:div w:id="603802509">
              <w:marLeft w:val="0"/>
              <w:marRight w:val="0"/>
              <w:marTop w:val="0"/>
              <w:marBottom w:val="0"/>
              <w:divBdr>
                <w:top w:val="none" w:sz="0" w:space="0" w:color="auto"/>
                <w:left w:val="none" w:sz="0" w:space="0" w:color="auto"/>
                <w:bottom w:val="none" w:sz="0" w:space="0" w:color="auto"/>
                <w:right w:val="none" w:sz="0" w:space="0" w:color="auto"/>
              </w:divBdr>
              <w:divsChild>
                <w:div w:id="11104545">
                  <w:marLeft w:val="0"/>
                  <w:marRight w:val="0"/>
                  <w:marTop w:val="0"/>
                  <w:marBottom w:val="0"/>
                  <w:divBdr>
                    <w:top w:val="none" w:sz="0" w:space="0" w:color="auto"/>
                    <w:left w:val="none" w:sz="0" w:space="0" w:color="auto"/>
                    <w:bottom w:val="none" w:sz="0" w:space="0" w:color="auto"/>
                    <w:right w:val="none" w:sz="0" w:space="0" w:color="auto"/>
                  </w:divBdr>
                  <w:divsChild>
                    <w:div w:id="13969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147">
          <w:marLeft w:val="0"/>
          <w:marRight w:val="0"/>
          <w:marTop w:val="0"/>
          <w:marBottom w:val="0"/>
          <w:divBdr>
            <w:top w:val="none" w:sz="0" w:space="0" w:color="auto"/>
            <w:left w:val="none" w:sz="0" w:space="0" w:color="auto"/>
            <w:bottom w:val="none" w:sz="0" w:space="0" w:color="auto"/>
            <w:right w:val="none" w:sz="0" w:space="0" w:color="auto"/>
          </w:divBdr>
          <w:divsChild>
            <w:div w:id="1363749399">
              <w:marLeft w:val="0"/>
              <w:marRight w:val="0"/>
              <w:marTop w:val="0"/>
              <w:marBottom w:val="0"/>
              <w:divBdr>
                <w:top w:val="none" w:sz="0" w:space="0" w:color="auto"/>
                <w:left w:val="none" w:sz="0" w:space="0" w:color="auto"/>
                <w:bottom w:val="none" w:sz="0" w:space="0" w:color="auto"/>
                <w:right w:val="none" w:sz="0" w:space="0" w:color="auto"/>
              </w:divBdr>
              <w:divsChild>
                <w:div w:id="1698655388">
                  <w:marLeft w:val="0"/>
                  <w:marRight w:val="0"/>
                  <w:marTop w:val="0"/>
                  <w:marBottom w:val="0"/>
                  <w:divBdr>
                    <w:top w:val="none" w:sz="0" w:space="0" w:color="auto"/>
                    <w:left w:val="none" w:sz="0" w:space="0" w:color="auto"/>
                    <w:bottom w:val="none" w:sz="0" w:space="0" w:color="auto"/>
                    <w:right w:val="none" w:sz="0" w:space="0" w:color="auto"/>
                  </w:divBdr>
                  <w:divsChild>
                    <w:div w:id="43914881">
                      <w:marLeft w:val="0"/>
                      <w:marRight w:val="0"/>
                      <w:marTop w:val="0"/>
                      <w:marBottom w:val="0"/>
                      <w:divBdr>
                        <w:top w:val="none" w:sz="0" w:space="0" w:color="auto"/>
                        <w:left w:val="none" w:sz="0" w:space="0" w:color="auto"/>
                        <w:bottom w:val="none" w:sz="0" w:space="0" w:color="auto"/>
                        <w:right w:val="none" w:sz="0" w:space="0" w:color="auto"/>
                      </w:divBdr>
                      <w:divsChild>
                        <w:div w:id="500050436">
                          <w:marLeft w:val="0"/>
                          <w:marRight w:val="0"/>
                          <w:marTop w:val="0"/>
                          <w:marBottom w:val="0"/>
                          <w:divBdr>
                            <w:top w:val="none" w:sz="0" w:space="0" w:color="auto"/>
                            <w:left w:val="none" w:sz="0" w:space="0" w:color="auto"/>
                            <w:bottom w:val="none" w:sz="0" w:space="0" w:color="auto"/>
                            <w:right w:val="none" w:sz="0" w:space="0" w:color="auto"/>
                          </w:divBdr>
                          <w:divsChild>
                            <w:div w:id="1405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4995">
      <w:bodyDiv w:val="1"/>
      <w:marLeft w:val="0"/>
      <w:marRight w:val="0"/>
      <w:marTop w:val="0"/>
      <w:marBottom w:val="0"/>
      <w:divBdr>
        <w:top w:val="none" w:sz="0" w:space="0" w:color="auto"/>
        <w:left w:val="none" w:sz="0" w:space="0" w:color="auto"/>
        <w:bottom w:val="none" w:sz="0" w:space="0" w:color="auto"/>
        <w:right w:val="none" w:sz="0" w:space="0" w:color="auto"/>
      </w:divBdr>
      <w:divsChild>
        <w:div w:id="1899853010">
          <w:marLeft w:val="0"/>
          <w:marRight w:val="0"/>
          <w:marTop w:val="0"/>
          <w:marBottom w:val="0"/>
          <w:divBdr>
            <w:top w:val="none" w:sz="0" w:space="0" w:color="auto"/>
            <w:left w:val="none" w:sz="0" w:space="0" w:color="auto"/>
            <w:bottom w:val="none" w:sz="0" w:space="0" w:color="auto"/>
            <w:right w:val="none" w:sz="0" w:space="0" w:color="auto"/>
          </w:divBdr>
          <w:divsChild>
            <w:div w:id="1329479240">
              <w:marLeft w:val="0"/>
              <w:marRight w:val="0"/>
              <w:marTop w:val="0"/>
              <w:marBottom w:val="0"/>
              <w:divBdr>
                <w:top w:val="none" w:sz="0" w:space="0" w:color="auto"/>
                <w:left w:val="none" w:sz="0" w:space="0" w:color="auto"/>
                <w:bottom w:val="none" w:sz="0" w:space="0" w:color="auto"/>
                <w:right w:val="none" w:sz="0" w:space="0" w:color="auto"/>
              </w:divBdr>
              <w:divsChild>
                <w:div w:id="920025152">
                  <w:marLeft w:val="0"/>
                  <w:marRight w:val="0"/>
                  <w:marTop w:val="0"/>
                  <w:marBottom w:val="0"/>
                  <w:divBdr>
                    <w:top w:val="none" w:sz="0" w:space="0" w:color="auto"/>
                    <w:left w:val="none" w:sz="0" w:space="0" w:color="auto"/>
                    <w:bottom w:val="none" w:sz="0" w:space="0" w:color="auto"/>
                    <w:right w:val="none" w:sz="0" w:space="0" w:color="auto"/>
                  </w:divBdr>
                  <w:divsChild>
                    <w:div w:id="708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759">
          <w:marLeft w:val="0"/>
          <w:marRight w:val="0"/>
          <w:marTop w:val="0"/>
          <w:marBottom w:val="0"/>
          <w:divBdr>
            <w:top w:val="none" w:sz="0" w:space="0" w:color="auto"/>
            <w:left w:val="none" w:sz="0" w:space="0" w:color="auto"/>
            <w:bottom w:val="none" w:sz="0" w:space="0" w:color="auto"/>
            <w:right w:val="none" w:sz="0" w:space="0" w:color="auto"/>
          </w:divBdr>
          <w:divsChild>
            <w:div w:id="1144003811">
              <w:marLeft w:val="0"/>
              <w:marRight w:val="0"/>
              <w:marTop w:val="0"/>
              <w:marBottom w:val="0"/>
              <w:divBdr>
                <w:top w:val="none" w:sz="0" w:space="0" w:color="auto"/>
                <w:left w:val="none" w:sz="0" w:space="0" w:color="auto"/>
                <w:bottom w:val="none" w:sz="0" w:space="0" w:color="auto"/>
                <w:right w:val="none" w:sz="0" w:space="0" w:color="auto"/>
              </w:divBdr>
              <w:divsChild>
                <w:div w:id="922034277">
                  <w:marLeft w:val="0"/>
                  <w:marRight w:val="0"/>
                  <w:marTop w:val="0"/>
                  <w:marBottom w:val="0"/>
                  <w:divBdr>
                    <w:top w:val="none" w:sz="0" w:space="0" w:color="auto"/>
                    <w:left w:val="none" w:sz="0" w:space="0" w:color="auto"/>
                    <w:bottom w:val="none" w:sz="0" w:space="0" w:color="auto"/>
                    <w:right w:val="none" w:sz="0" w:space="0" w:color="auto"/>
                  </w:divBdr>
                  <w:divsChild>
                    <w:div w:id="1202520179">
                      <w:marLeft w:val="0"/>
                      <w:marRight w:val="0"/>
                      <w:marTop w:val="0"/>
                      <w:marBottom w:val="0"/>
                      <w:divBdr>
                        <w:top w:val="none" w:sz="0" w:space="0" w:color="auto"/>
                        <w:left w:val="none" w:sz="0" w:space="0" w:color="auto"/>
                        <w:bottom w:val="none" w:sz="0" w:space="0" w:color="auto"/>
                        <w:right w:val="none" w:sz="0" w:space="0" w:color="auto"/>
                      </w:divBdr>
                      <w:divsChild>
                        <w:div w:id="1749811592">
                          <w:marLeft w:val="0"/>
                          <w:marRight w:val="0"/>
                          <w:marTop w:val="0"/>
                          <w:marBottom w:val="0"/>
                          <w:divBdr>
                            <w:top w:val="none" w:sz="0" w:space="0" w:color="auto"/>
                            <w:left w:val="none" w:sz="0" w:space="0" w:color="auto"/>
                            <w:bottom w:val="none" w:sz="0" w:space="0" w:color="auto"/>
                            <w:right w:val="none" w:sz="0" w:space="0" w:color="auto"/>
                          </w:divBdr>
                          <w:divsChild>
                            <w:div w:id="10725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44699">
      <w:bodyDiv w:val="1"/>
      <w:marLeft w:val="0"/>
      <w:marRight w:val="0"/>
      <w:marTop w:val="0"/>
      <w:marBottom w:val="0"/>
      <w:divBdr>
        <w:top w:val="none" w:sz="0" w:space="0" w:color="auto"/>
        <w:left w:val="none" w:sz="0" w:space="0" w:color="auto"/>
        <w:bottom w:val="none" w:sz="0" w:space="0" w:color="auto"/>
        <w:right w:val="none" w:sz="0" w:space="0" w:color="auto"/>
      </w:divBdr>
      <w:divsChild>
        <w:div w:id="524907227">
          <w:marLeft w:val="0"/>
          <w:marRight w:val="0"/>
          <w:marTop w:val="0"/>
          <w:marBottom w:val="0"/>
          <w:divBdr>
            <w:top w:val="none" w:sz="0" w:space="0" w:color="auto"/>
            <w:left w:val="none" w:sz="0" w:space="0" w:color="auto"/>
            <w:bottom w:val="none" w:sz="0" w:space="0" w:color="auto"/>
            <w:right w:val="none" w:sz="0" w:space="0" w:color="auto"/>
          </w:divBdr>
        </w:div>
        <w:div w:id="175743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en.al/"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ida-smefinance.gov.al/"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qbz.gov.al/eli/vendim/2023/03/24/173" TargetMode="External"/><Relationship Id="rId13" Type="http://schemas.openxmlformats.org/officeDocument/2006/relationships/hyperlink" Target="https://op.europa.eu/en/web/eu-law-and-publications/publication-detail/-/publication/67d5a207-4da1-11ec-91ac-01aa75ed71a1" TargetMode="External"/><Relationship Id="rId18" Type="http://schemas.openxmlformats.org/officeDocument/2006/relationships/hyperlink" Target="https://usia.al/about-project/" TargetMode="External"/><Relationship Id="rId3" Type="http://schemas.openxmlformats.org/officeDocument/2006/relationships/hyperlink" Target="https://ec.europa.eu/info/sites/default/files/about_the_european_commission/eu_budget/programme_statement_-_ipa.pdf" TargetMode="External"/><Relationship Id="rId7" Type="http://schemas.openxmlformats.org/officeDocument/2006/relationships/hyperlink" Target="https://qbz.gov.al/eli/vendim/2022/04/06/210" TargetMode="External"/><Relationship Id="rId12" Type="http://schemas.openxmlformats.org/officeDocument/2006/relationships/hyperlink" Target="https://research-and-innovation.ec.europa.eu/system/files/2021-11/ec_rtd_era-policy-agenda-2021.pdf" TargetMode="External"/><Relationship Id="rId17" Type="http://schemas.openxmlformats.org/officeDocument/2006/relationships/hyperlink" Target="https://www.rcc.int/download/docs/RI%20Roadmap%20Albania%20digital.pdf/c4abcbbc24ec0f623156ef8b257adebf.pdf" TargetMode="External"/><Relationship Id="rId2" Type="http://schemas.openxmlformats.org/officeDocument/2006/relationships/hyperlink" Target="https://doi.org/10.1787/b47d15f0-en" TargetMode="External"/><Relationship Id="rId16" Type="http://schemas.openxmlformats.org/officeDocument/2006/relationships/hyperlink" Target="https://www.rcc.int/download/docs/RI%20Roadmap%20Albania%20digital.pdf/c4abcbbc24ec0f623156ef8b257adebf.pdf" TargetMode="External"/><Relationship Id="rId20" Type="http://schemas.openxmlformats.org/officeDocument/2006/relationships/hyperlink" Target="https://usia.al/mauris-a-diam-maecenas-sed-enim-ut-sem-viverra-aliquet/" TargetMode="External"/><Relationship Id="rId1" Type="http://schemas.openxmlformats.org/officeDocument/2006/relationships/hyperlink" Target="https://doi.org/10.1787/764847ff-en" TargetMode="External"/><Relationship Id="rId6" Type="http://schemas.openxmlformats.org/officeDocument/2006/relationships/hyperlink" Target="https://aida.gov.al/sq/nvm/iniciativat-e-financimit/fondet-e-aida-s" TargetMode="External"/><Relationship Id="rId11" Type="http://schemas.openxmlformats.org/officeDocument/2006/relationships/hyperlink" Target="https://research-and-innovation.ec.europa.eu/strategy/strategy-2020-2024/our-digital-future/european-research-area_en" TargetMode="External"/><Relationship Id="rId5" Type="http://schemas.openxmlformats.org/officeDocument/2006/relationships/hyperlink" Target="https://doi.org/10.1787/764847ff-en" TargetMode="External"/><Relationship Id="rId15" Type="http://schemas.openxmlformats.org/officeDocument/2006/relationships/hyperlink" Target="https://www.financa.gov.al/wp-content/uploads/2021/02/Economic-Reform-Programme-2021-2023.pdf" TargetMode="External"/><Relationship Id="rId10" Type="http://schemas.openxmlformats.org/officeDocument/2006/relationships/hyperlink" Target="https://ec.europa.eu/info/sites/default/files/research_and_innovation/strategy_on_research_and_innovation/documents/ec_rtd_com2021-252.pdf" TargetMode="External"/><Relationship Id="rId19" Type="http://schemas.openxmlformats.org/officeDocument/2006/relationships/hyperlink" Target="https://www.cci.al/en/university-to-society-innomediaries-in-albania-co-production-of-knowledge-and-research-that-matters/" TargetMode="External"/><Relationship Id="rId4" Type="http://schemas.openxmlformats.org/officeDocument/2006/relationships/hyperlink" Target="https://ec.europa.eu/info/news/updates-association-third-countries-horizon-europe_en" TargetMode="External"/><Relationship Id="rId9" Type="http://schemas.openxmlformats.org/officeDocument/2006/relationships/hyperlink" Target="https://ec.europa.eu/info/research-and-innovation/strategy/strategy-2020-2024/europe-world/international-cooperation/western-balkans_en" TargetMode="External"/><Relationship Id="rId14" Type="http://schemas.openxmlformats.org/officeDocument/2006/relationships/hyperlink" Target="https://scidevcenter.org/network-of-albanian-women-in-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D47FFF37F74B76A930F83F0BC916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542</Nr_x002e__x0020_akti>
    <Data_x0020_e_x0020_Krijimit xmlns="0e656187-b300-4fb0-8bf4-3a50f872073c">2023-09-21T11:36:22Z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2015 - 2017</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2023-09-20T22:00:00Z</Date_x0020_protokolli>
    <Titulli xmlns="0e656187-b300-4fb0-8bf4-3a50f872073c">Për miratimin e Strategjisë Kombëtare për Kërkimin Shkencor, Teknologjinë dhe Inovacionin 2023-2030 dhe të planit të veprimit për zbatimin e saj</Titulli>
    <Modifikuesi xmlns="0e656187-b300-4fb0-8bf4-3a50f872073c">Fjora.Cahani</Modifikuesi>
    <Nr_x002e__x0020_prot_x0020_QBZ xmlns="0e656187-b300-4fb0-8bf4-3a50f872073c">1402</Nr_x002e__x0020_prot_x0020_QBZ>
    <Data_x0020_e_x0020_Modifikimit xmlns="0e656187-b300-4fb0-8bf4-3a50f872073c">2023-09-26T09:17:27Z</Data_x0020_e_x0020_Modifikimit>
    <Dekretuar xmlns="0e656187-b300-4fb0-8bf4-3a50f872073c">false</Dekretuar>
    <Data xmlns="0e656187-b300-4fb0-8bf4-3a50f872073c">2023-09-19T22:00:00Z</Data>
    <Nr_x002e__x0020_protokolli_x0020_i_x0020_aktit xmlns="0e656187-b300-4fb0-8bf4-3a50f872073c">4223/1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5D47FFF37F74B76A930F83F0BC916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D4A02-8E18-43D0-B984-AF3071ACC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7B5655-0E98-4FEA-913F-8FD17DA59B14}">
  <ds:schemaRefs>
    <ds:schemaRef ds:uri="http://purl.org/dc/terms/"/>
    <ds:schemaRef ds:uri="http://schemas.microsoft.com/office/2006/documentManagement/types"/>
    <ds:schemaRef ds:uri="0e656187-b300-4fb0-8bf4-3a50f872073c"/>
    <ds:schemaRef ds:uri="http://purl.org/dc/elements/1.1/"/>
    <ds:schemaRef ds:uri="http://purl.org/dc/dcmitype/"/>
    <ds:schemaRef ds:uri="http://schemas.openxmlformats.org/package/2006/metadata/core-properties"/>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BC52371C-0A43-44A7-A14C-C8F65A6D547D}">
  <ds:schemaRefs>
    <ds:schemaRef ds:uri="http://schemas.microsoft.com/sharepoint/v3/contenttype/forms"/>
  </ds:schemaRefs>
</ds:datastoreItem>
</file>

<file path=customXml/itemProps4.xml><?xml version="1.0" encoding="utf-8"?>
<ds:datastoreItem xmlns:ds="http://schemas.openxmlformats.org/officeDocument/2006/customXml" ds:itemID="{4989915B-4C25-4DCC-9561-F7A35CE27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15898CE-59EB-4386-AFC8-8361D7C28485}">
  <ds:schemaRefs>
    <ds:schemaRef ds:uri="http://schemas.microsoft.com/sharepoint/v3/contenttype/forms"/>
  </ds:schemaRefs>
</ds:datastoreItem>
</file>

<file path=customXml/itemProps6.xml><?xml version="1.0" encoding="utf-8"?>
<ds:datastoreItem xmlns:ds="http://schemas.openxmlformats.org/officeDocument/2006/customXml" ds:itemID="{A5840709-6AF4-4661-B33D-29CE8761B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56</Pages>
  <Words>28373</Words>
  <Characters>161728</Characters>
  <Application>Microsoft Office Word</Application>
  <DocSecurity>0</DocSecurity>
  <Lines>1347</Lines>
  <Paragraphs>379</Paragraphs>
  <ScaleCrop>false</ScaleCrop>
  <HeadingPairs>
    <vt:vector size="2" baseType="variant">
      <vt:variant>
        <vt:lpstr>Title</vt:lpstr>
      </vt:variant>
      <vt:variant>
        <vt:i4>1</vt:i4>
      </vt:variant>
    </vt:vector>
  </HeadingPairs>
  <TitlesOfParts>
    <vt:vector size="1" baseType="lpstr">
      <vt:lpstr>Për miratimin e Strategjisë Kombëtare për Kërkimin Shkencor, Teknologjinë dhe Inovacionin 2023-2030 dhe të planit të veprimit për zbatimin e saj</vt:lpstr>
    </vt:vector>
  </TitlesOfParts>
  <Company/>
  <LinksUpToDate>false</LinksUpToDate>
  <CharactersWithSpaces>189722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Kërkimin Shkencor, Teknologjinë dhe Inovacionin 2023-2030 dhe të planit të veprimit për zbatimin e saj</dc:title>
  <dc:subject>2015 - 2017</dc:subject>
  <dc:creator>Nadire Pilavi</dc:creator>
  <cp:lastModifiedBy>Entela Suli</cp:lastModifiedBy>
  <cp:revision>50</cp:revision>
  <cp:lastPrinted>2023-09-20T07:20:00Z</cp:lastPrinted>
  <dcterms:created xsi:type="dcterms:W3CDTF">2023-09-25T08:58:00Z</dcterms:created>
  <dcterms:modified xsi:type="dcterms:W3CDTF">2023-09-26T10:20:00Z</dcterms:modified>
</cp:coreProperties>
</file>