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C44DB" w14:textId="77777777" w:rsidR="00AB3F75" w:rsidRPr="00052B3A" w:rsidRDefault="00AB3F75" w:rsidP="00AB3F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2B3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BC44DC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>Nr. 725, datë 13.12.2023</w:t>
      </w:r>
    </w:p>
    <w:p w14:paraId="76BC44DD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BC44DE" w14:textId="016C87AD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>PËR DISA SHTESA DHE NDRYSHIME NË VENDIMIN NR.</w:t>
      </w:r>
      <w:r w:rsidR="00052B3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239, DATË 20.3.2020, TË KËSHILLIT TË MINISTRAVE, “PËR KËRKESAT TEKNIKE DHE FUNKSIONALE TË ZGJIDHJES </w:t>
      </w:r>
      <w:r w:rsidRPr="00052B3A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>-IKE</w:t>
      </w:r>
      <w:r w:rsidR="00052B3A"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PROCEDURËN E FATURIMIT DHE TË FISKALIZIMIT, SI DHE PROCEDURËN E KRITERET PËR REGJISTRIMIN E PRODHUESVE E TË MIRËMBAJTËSVE TË ZGJIDHJEVE </w:t>
      </w:r>
      <w:r w:rsidRPr="00052B3A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b/>
          <w:bCs/>
          <w:sz w:val="24"/>
          <w:szCs w:val="24"/>
          <w:lang w:val="sq-AL"/>
        </w:rPr>
        <w:t>-IKE”, TË NDRYSHUAR</w:t>
      </w:r>
    </w:p>
    <w:p w14:paraId="76BC44DF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BC44E0" w14:textId="28D565B3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pikës 10, të nenit 16, të ligjit nr.</w:t>
      </w:r>
      <w:r w:rsidR="00C409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87/2019, “Për faturën dhe sistemin e monitorimit të qarkullimit”, me propozimin e ministrit të Financave dhe Ekonomisë, Këshilli i Ministrave </w:t>
      </w:r>
    </w:p>
    <w:p w14:paraId="76BC44E1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BC44E2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52B3A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76BC44E3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BC44E4" w14:textId="123F59E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I.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vendimin nr.</w:t>
      </w:r>
      <w:r w:rsid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239, datë 20.3.2020, të Këshillit të Ministrave, bëhen këto shtesa dhe ndryshime:</w:t>
      </w:r>
    </w:p>
    <w:p w14:paraId="76BC44E5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1. Në pikën 1, pas fjalëve “... procedurën e kriteret për regjistrimin e prodhuesve e të mirëmbajtësve të programeve ...” shtohen “, ... dhe procedurën e monitorimit të shoqërive, të certifikuara si prodhues dhe/ose mirëmbajtës të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-ike”.</w:t>
      </w:r>
    </w:p>
    <w:p w14:paraId="76BC44E6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2. Pas pikës 3 shtohet pika 3.1, me këtë përmbajtje: </w:t>
      </w:r>
    </w:p>
    <w:p w14:paraId="76BC44E7" w14:textId="487788E8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“3.1.</w:t>
      </w:r>
      <w:r w:rsid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Prodhuesit dhe/ose mirëmbajtësit e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-ike, pas certifikimit duhet të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deklarojnë në platformën qendrore të faturave numrin real të bizneseve, pranë të cilave është instaluar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-i, të dhënat identifikuese për klientët, si dhe vlefshmërinë e kontratave të lidhura me ta. Prodhuesit dhe/ose mirëmbajtësit e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-ike përditësojnë në vazhdimësi këto të dhëna.”.</w:t>
      </w:r>
    </w:p>
    <w:p w14:paraId="76BC44E8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3. Në pikën 7 bëhen këto ndryshime:</w:t>
      </w:r>
    </w:p>
    <w:p w14:paraId="76BC44E9" w14:textId="0186C57A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a)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60544" w:rsidRPr="00052B3A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052B3A">
        <w:rPr>
          <w:rFonts w:ascii="Garamond" w:hAnsi="Garamond" w:cs="Times New Roman"/>
          <w:sz w:val="24"/>
          <w:szCs w:val="24"/>
          <w:lang w:val="sq-AL"/>
        </w:rPr>
        <w:t>shkronjën “a”, në fjalinë pas nënpikës “iv”, fjalët “... të paktën njërin nga ...” shfuqizohen</w:t>
      </w:r>
      <w:r w:rsidR="00A60544">
        <w:rPr>
          <w:rFonts w:ascii="Garamond" w:hAnsi="Garamond" w:cs="Times New Roman"/>
          <w:sz w:val="24"/>
          <w:szCs w:val="24"/>
          <w:lang w:val="sq-AL"/>
        </w:rPr>
        <w:t>.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6BC44EA" w14:textId="268894CF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b)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60544" w:rsidRPr="00052B3A">
        <w:rPr>
          <w:rFonts w:ascii="Garamond" w:hAnsi="Garamond" w:cs="Times New Roman"/>
          <w:sz w:val="24"/>
          <w:szCs w:val="24"/>
          <w:lang w:val="sq-AL"/>
        </w:rPr>
        <w:t xml:space="preserve">Shkronja </w:t>
      </w:r>
      <w:r w:rsidRPr="00052B3A">
        <w:rPr>
          <w:rFonts w:ascii="Garamond" w:hAnsi="Garamond" w:cs="Times New Roman"/>
          <w:sz w:val="24"/>
          <w:szCs w:val="24"/>
          <w:lang w:val="sq-AL"/>
        </w:rPr>
        <w:t>“c” ndryshohet, si më poshtë vijon:</w:t>
      </w:r>
    </w:p>
    <w:p w14:paraId="76BC44EB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“c) Të ketë të ardhura vjetore të tatueshme mbi 14 000 000 (katërmbëdhjetë milionë) lekë.”.</w:t>
      </w:r>
    </w:p>
    <w:p w14:paraId="76BC44EC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4. Në pikën 9 bëhen këto ndryshime :</w:t>
      </w:r>
    </w:p>
    <w:p w14:paraId="76BC44ED" w14:textId="2A5278B8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a)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paragrafin e parë brenda fjalëve “... përgjatë gjithë periudhës së regjistrimit, ...” hiqet fjala “... gjithë ...”;</w:t>
      </w:r>
    </w:p>
    <w:p w14:paraId="76BC44EE" w14:textId="109C1A64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b)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shkronjën “a”. fjalët “... në më pak se ...” zëvendësohen me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“... deri në ...”;</w:t>
      </w:r>
    </w:p>
    <w:p w14:paraId="76BC44EF" w14:textId="4FAD1969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c)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shkronjën “b”, fjalët “... por më pak se ...” zëvendësohen me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“... dhe deri në ...”;</w:t>
      </w:r>
    </w:p>
    <w:p w14:paraId="76BC44F0" w14:textId="3EB4BBFE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ç) Në shkronjën “c”, fjalët “... por më pak se ...” zëvendësohen me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“... dhe deri në ...”.</w:t>
      </w:r>
    </w:p>
    <w:p w14:paraId="76BC44F1" w14:textId="369CD9DD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5.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pikën 10, fjalia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e dytë ndryshohet, si më poshtë vijon: </w:t>
      </w:r>
    </w:p>
    <w:p w14:paraId="76BC44F2" w14:textId="3A5EBDEA" w:rsidR="00AB3F75" w:rsidRPr="00052B3A" w:rsidRDefault="00AB3F75" w:rsidP="00AB3F7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“Në këtë rast, të gjitha shoqëritë që marrin pjesë në bashkimin e operatorëve ekonomikë paraqesin dokumentet e kërkuara, sipas këtij vendimi, dhe vlerësimi i kritereve kryhet për të gjithë pjesëmarrësit, me përjashtim të kërkesave të shkronjave “a”, “c” dhe “d”, të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pikës 7, të cilat duhet të përmbushen minimalisht nga njëri prej pjesëmarrësve në bashkimin e operatorëve.”.</w:t>
      </w:r>
    </w:p>
    <w:p w14:paraId="76BC44F3" w14:textId="5FA8908C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6.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Në pikën 12, fjala “... ngarkojnë ...” zëvendësohet me fjalët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“... depozitojnë pranë AKSHI-t ...”.</w:t>
      </w:r>
    </w:p>
    <w:p w14:paraId="76BC44F4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7. Pika 15 ndryshohet, si më poshtë vijon:</w:t>
      </w:r>
    </w:p>
    <w:p w14:paraId="76BC44F5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“15. Komisioni i certifikimit, pas marrjes së informacionit të ardhur nga komisioni i monitorimit, i ngritur sipas pikës 16.2, të këtij vendimi, në rast se për operatorët prodhues/mirëmbajtës të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-ike të certifikuar kanë ndryshuar kriteret mbi bazën e të cilave janë certifikuar, vendos ricertifikimin e tyre, pasi të jetë rivlerësuar përmbushja e kërkesave, sipas kreut III, të këtij vendimi. Informacioni i përcjellë përmban të dhëna në lidhje me subjektin dhe kriteret konkrete që kanë ndryshuar, për të cilat nevojitet ricertifikimi i tij.”.</w:t>
      </w:r>
    </w:p>
    <w:p w14:paraId="76BC44F7" w14:textId="286C4DA0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8.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Pas pikës 16.1 shtohet pika 16.2, me këtë përmbajtje: </w:t>
      </w:r>
    </w:p>
    <w:p w14:paraId="76BC44F8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“16.2. AKSHI dhe DPT-ja, për monitorimin e zbatimit të këtij vendimi, me urdhër të përbashkët, ngrenë një komision të përhershëm me specialistë, sipas fushave të përkatësisë, të ndryshëm nga komisioni i ngritur sipas pikës 16, të këtij vendimi, i cili do t’i monitorojë prodhuesit dhe/ose mirëmbajtësit e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-ike, në mënyrë të detyrueshme, të paktën 1 (një) herë në vit, në bazë të analizës së riskut dhe sa herë konstatohet e nevojshme, bazuar në informacionet e marra. Ky komision shqyrton informacionet e ardhura nga strukturat e tjera në DPT apo tek AKSHI, nga palët e treta, si dhe nga ankesat e qytetarëve, në lidhje me shkeljet e kryera nga prodhuesit dhe/ose mirëmbajtësit e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-ike, duke kryer më tej monitorime apo kontrolle për verifikimin e informacionit të marrë.”. </w:t>
      </w:r>
    </w:p>
    <w:p w14:paraId="76BC44F9" w14:textId="0F95C1A5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9.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Pika 18 ndryshohet, si më poshtë vijon: </w:t>
      </w:r>
    </w:p>
    <w:p w14:paraId="76BC44FA" w14:textId="7F328C96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“18. Nëse komisioni i përhershëm, i ngritur sipas pikës 16.2, të këtij vendimi, konstaton se personi i certifikuar ka shkelur ndonjë nga dispozitat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e këtij vendimi, brenda 10 (dhjetë) ditëve nga marrja dijeni për shkeljen e pretenduar, kryen verifikimet përkatëse, duke kërkuar të dhëna apo dokumente shtesë, sipas rastit edhe nga subjekti i certifikuar, ku është konstatuar shkelja, si dhe në çdo rast kërkon nga subjekti i certifikuar listën e tatimpaguesve, së bashku me të dhënat e kontaktit të tyre, të cilët kanë instaluar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-in e subjektit të certifikuar. Në përfundim të verifikimeve, komisioni harton një relacion sqarues dhe propozon masën përkatëse, të cilën ia përcjell titullarëve të AKSHI-t dhe DPT-së. Titullarët e AKSHI-t dhe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DPT-së vendosin nëse do të shfuqizojnë ose jo certifikatën e dhënë. Vendimi për shfuqizimin e certifikatës, i marrë sipas kësaj pike, publikohet në një aneks të veçantë të regjistrit.</w:t>
      </w:r>
    </w:p>
    <w:p w14:paraId="76BC44FB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Subjektet e certifikuara gëzojnë të gjitha të drejtat dhe detyrimet e parashikuara nga Kodi i Procedurave Administrative.</w:t>
      </w:r>
    </w:p>
    <w:p w14:paraId="76BC44FC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Përgjegjësitë, detyrat, mënyra e monitorimit të prodhuesve dhe/ose mirëmbajtësve të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-ike, si dhe raportimi nga ana e komisionit të ngritur sipas pikës 16.2, të këtij vendimi, përcaktohen në mënyrë të hollësishme në rregulloren e përbashkët të AKSHI-t dhe DPT-së, të miratuar për këtë qëllim.”. </w:t>
      </w:r>
    </w:p>
    <w:p w14:paraId="76BC44FD" w14:textId="48267D71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10.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Pas pikës 21 shtohen pikat 21.1, 21.2, 21.3 dhe 21.4, me këtë përmbajtje: </w:t>
      </w:r>
    </w:p>
    <w:p w14:paraId="76BC44FE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“21.1. Konsiderohen shkelje të rënda, me pasojë revokimin e certifikatës, këto raste:</w:t>
      </w:r>
    </w:p>
    <w:p w14:paraId="76BC44FF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Heqja, shtimi apo ndryshimi i elementeve në faturat e lëshuara nga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-et e certifikuara;</w:t>
      </w:r>
    </w:p>
    <w:p w14:paraId="76BC4500" w14:textId="4DCB188B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Vënia në dispozicion apo hedhja në treg nga shoqëritë e certifikuara të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-eve të tjera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të pacertifikuara;</w:t>
      </w:r>
    </w:p>
    <w:p w14:paraId="76BC4501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Mosdeklarimi real i numrit të bizneseve pranë të cilave është instaluar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-i; </w:t>
      </w:r>
    </w:p>
    <w:p w14:paraId="76BC4502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Mosdeklarimi real i klientëve, si dhe i vlefshmërisë së kontratave; </w:t>
      </w:r>
    </w:p>
    <w:p w14:paraId="76BC4503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>Shoqëritë e certifikuara pas përfundimit të afatit të garancisë nuk e rinovojnë atë në mënyrë të përsëritur;</w:t>
      </w:r>
    </w:p>
    <w:p w14:paraId="76BC4504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Shoqëritë e certifikuara e instalojnë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-in në një numër më të madh biznesesh nga sa është vendosur garancia dhe nuk shtojnë vlerën e garancisë;</w:t>
      </w:r>
    </w:p>
    <w:p w14:paraId="76BC4505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52B3A">
        <w:rPr>
          <w:rFonts w:ascii="Garamond" w:hAnsi="Garamond" w:cs="Times New Roman"/>
          <w:sz w:val="24"/>
          <w:szCs w:val="24"/>
          <w:lang w:val="sq-AL"/>
        </w:rPr>
        <w:t>Kur komisioni i monitorimit, bazuar në informacionet e ardhura nga burimet e ndryshme, pas kryerjes së verifikimeve përkatëse, konstaton shkelje me pasojë revokimin e certifikatës.</w:t>
      </w:r>
    </w:p>
    <w:p w14:paraId="76BC4506" w14:textId="576CFDAE" w:rsidR="00AB3F75" w:rsidRPr="00052B3A" w:rsidRDefault="00AB3F75" w:rsidP="00AB3F75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21.2. Çdo shkelje tjetër e dispozitave të këtij vendimi, që nuk përfshihet në përcaktimet e pikës 21.1 të këtij vendimi, konsiderohet shkelje e lehtë dhe</w:t>
      </w:r>
      <w:r w:rsidR="00A60544">
        <w:rPr>
          <w:rFonts w:ascii="Garamond" w:hAnsi="Garamond" w:cs="Times New Roman"/>
          <w:sz w:val="24"/>
          <w:szCs w:val="24"/>
          <w:lang w:val="sq-AL"/>
        </w:rPr>
        <w:t>,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 në këto raste</w:t>
      </w:r>
      <w:r w:rsidR="00A60544">
        <w:rPr>
          <w:rFonts w:ascii="Garamond" w:hAnsi="Garamond" w:cs="Times New Roman"/>
          <w:sz w:val="24"/>
          <w:szCs w:val="24"/>
          <w:lang w:val="sq-AL"/>
        </w:rPr>
        <w:t>,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 komisioni i ngritur sipas pikës 16.2</w:t>
      </w:r>
      <w:r w:rsidR="00A6054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të këtij vendimi, paralajmëron shoqërinë e certifikuar se, në rast përsëritjeje</w:t>
      </w:r>
      <w:r w:rsidR="001F78BE">
        <w:rPr>
          <w:rFonts w:ascii="Garamond" w:hAnsi="Garamond" w:cs="Times New Roman"/>
          <w:sz w:val="24"/>
          <w:szCs w:val="24"/>
          <w:lang w:val="sq-AL"/>
        </w:rPr>
        <w:t>,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 do të procedohet me revokimin e certifikatës. Gjithashtu, ky komision ia përcjell këtë informacion tatimpaguesve që rezultojnë se përdorin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-in e shoqërisë, tek e cila janë hasur problematika.</w:t>
      </w:r>
    </w:p>
    <w:p w14:paraId="76BC4507" w14:textId="0962411A" w:rsidR="00AB3F75" w:rsidRPr="00052B3A" w:rsidRDefault="00AB3F75" w:rsidP="00AB3F75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21.3. Në rastet kur komisioni i ngritur sipas pikës 16.2 të këtij vendimi, vendos revokimin e certifikatës, ky vendim hyn në fuqi pas kalimit të një afati 60</w:t>
      </w:r>
      <w:r w:rsidR="009B0BFD" w:rsidRPr="00052B3A">
        <w:rPr>
          <w:rFonts w:ascii="Garamond" w:hAnsi="Garamond" w:cs="Times New Roman"/>
          <w:sz w:val="24"/>
          <w:szCs w:val="24"/>
          <w:lang w:val="sq-AL"/>
        </w:rPr>
        <w:t>-ditor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 (gjashtëdhjetë</w:t>
      </w:r>
      <w:r w:rsidR="009B0BFD" w:rsidRPr="00052B3A">
        <w:rPr>
          <w:rFonts w:ascii="Garamond" w:hAnsi="Garamond" w:cs="Times New Roman"/>
          <w:sz w:val="24"/>
          <w:szCs w:val="24"/>
          <w:lang w:val="sq-AL"/>
        </w:rPr>
        <w:t>ditor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) nga e nesërmja e njoftimit të tij pranë shoqërisë (prodhuesit/mirëmbajtësit të zgjidhjes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-ike). Komisioni merr masa të menjëhershme për njoftimin e tatimpaguesve, të cilët rezultojnë se përdorin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-in e kësaj shoqërie, për t’u regjistruar pranë një shoqërie tjetër të certifikuar. Brenda afatit </w:t>
      </w:r>
      <w:r w:rsidR="00C76885" w:rsidRPr="00052B3A">
        <w:rPr>
          <w:rFonts w:ascii="Garamond" w:hAnsi="Garamond" w:cs="Times New Roman"/>
          <w:sz w:val="24"/>
          <w:szCs w:val="24"/>
          <w:lang w:val="sq-AL"/>
        </w:rPr>
        <w:t>60-ditor (gjashtëdhjetëditor)</w:t>
      </w:r>
      <w:r w:rsidR="00C768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këta tatimpagues duhet të regjistrohen pranë një shoqërie tjetër të certifikuar.</w:t>
      </w:r>
    </w:p>
    <w:p w14:paraId="76BC4508" w14:textId="12A481C0" w:rsidR="00AB3F75" w:rsidRPr="00052B3A" w:rsidRDefault="00AB3F75" w:rsidP="00AB3F75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21.4. Pas revokimit të certifikatës, garancia e vendosur sipas parashikimeve të pikës 9, të këtij vendimi, ekzekutohet menjëherë nga DPT-ja. Tatimpaguesit e përmendur në pikën 21.3 të këtij </w:t>
      </w:r>
      <w:r w:rsidRPr="00052B3A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vendimi, dëmshpërblehen nga DPT-ja deri në masën e garancisë së vendosur nga shoqëria, në përpjesëtim me numrin e bizneseve të regjistruara pranë saj. Procedurat dhe mënyrat e dëmshpërblimit, sipas kësaj pike, rregullohen me urdhër të titullarit të DPT-së. Në rastin e prodhuesve dhe të mirëmbajtësve të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 xml:space="preserve">-ike për përdorim vetjak, si dhe në rastin e bankave të certifikuara në cilësinë e prodhuesve dhe të mirëmbajtësve të zgjidhjeve </w:t>
      </w:r>
      <w:r w:rsidRPr="00052B3A">
        <w:rPr>
          <w:rFonts w:ascii="Garamond" w:hAnsi="Garamond" w:cs="Times New Roman"/>
          <w:i/>
          <w:iCs/>
          <w:sz w:val="24"/>
          <w:szCs w:val="24"/>
          <w:lang w:val="sq-AL"/>
        </w:rPr>
        <w:t>software</w:t>
      </w:r>
      <w:r w:rsidRPr="00052B3A">
        <w:rPr>
          <w:rFonts w:ascii="Garamond" w:hAnsi="Garamond" w:cs="Times New Roman"/>
          <w:sz w:val="24"/>
          <w:szCs w:val="24"/>
          <w:lang w:val="sq-AL"/>
        </w:rPr>
        <w:t>-ike për regjistrimin e pagesave pa para në dorë të faturave elektronike, garancia kalon në favor të DPT-së.”.</w:t>
      </w:r>
    </w:p>
    <w:p w14:paraId="76BC4509" w14:textId="379F7165" w:rsidR="00AB3F75" w:rsidRPr="00052B3A" w:rsidRDefault="00AB3F75" w:rsidP="00AB3F75">
      <w:pPr>
        <w:tabs>
          <w:tab w:val="left" w:pos="2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II.</w:t>
      </w:r>
      <w:r w:rsidR="00052B3A" w:rsidRPr="00052B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52B3A">
        <w:rPr>
          <w:rFonts w:ascii="Garamond" w:hAnsi="Garamond" w:cs="Times New Roman"/>
          <w:sz w:val="24"/>
          <w:szCs w:val="24"/>
          <w:lang w:val="sq-AL"/>
        </w:rPr>
        <w:t>Ngarkohen Agjencia Kombëtare e Shoqërisë së Informacionit dhe Drejtoria e Përgjithshme e Tatimeve për zbatimin e këtij vendimi.</w:t>
      </w:r>
    </w:p>
    <w:p w14:paraId="76BC450A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2B3A">
        <w:rPr>
          <w:rFonts w:ascii="Garamond" w:hAnsi="Garamond" w:cs="Times New Roman"/>
          <w:sz w:val="24"/>
          <w:szCs w:val="24"/>
          <w:lang w:val="sq-AL"/>
        </w:rPr>
        <w:t>Ky vendim hyn në fuqi pas botimit në Fletoren Zyrtare.</w:t>
      </w:r>
    </w:p>
    <w:p w14:paraId="76BC450B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BC450C" w14:textId="77777777" w:rsidR="00AB3F75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2B3A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76BC450D" w14:textId="77777777" w:rsidR="00E73DC8" w:rsidRPr="00052B3A" w:rsidRDefault="00AB3F75" w:rsidP="00AB3F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052B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Belinda Balluku </w:t>
      </w:r>
    </w:p>
    <w:sectPr w:rsidR="00E73DC8" w:rsidRPr="00052B3A" w:rsidSect="0036617C">
      <w:headerReference w:type="default" r:id="rId13"/>
      <w:footerReference w:type="default" r:id="rId14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CED9D" w14:textId="77777777" w:rsidR="00052B3A" w:rsidRDefault="00052B3A" w:rsidP="0036617C">
      <w:pPr>
        <w:spacing w:after="0" w:line="240" w:lineRule="auto"/>
      </w:pPr>
      <w:r>
        <w:separator/>
      </w:r>
    </w:p>
  </w:endnote>
  <w:endnote w:type="continuationSeparator" w:id="0">
    <w:p w14:paraId="5C8D2D92" w14:textId="77777777" w:rsidR="00052B3A" w:rsidRDefault="00052B3A" w:rsidP="0036617C">
      <w:pPr>
        <w:spacing w:after="0" w:line="240" w:lineRule="auto"/>
      </w:pPr>
      <w:r>
        <w:continuationSeparator/>
      </w:r>
    </w:p>
  </w:endnote>
  <w:endnote w:type="continuationNotice" w:id="1">
    <w:p w14:paraId="33435D57" w14:textId="77777777" w:rsidR="00167B2A" w:rsidRDefault="00167B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03905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6BC4513" w14:textId="77777777" w:rsidR="00052B3A" w:rsidRPr="004D6795" w:rsidRDefault="00052B3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D6795">
          <w:rPr>
            <w:rFonts w:ascii="Times New Roman" w:hAnsi="Times New Roman" w:cs="Times New Roman"/>
            <w:sz w:val="24"/>
          </w:rPr>
          <w:fldChar w:fldCharType="begin"/>
        </w:r>
        <w:r w:rsidRPr="004D679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D679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</w:t>
        </w:r>
        <w:r w:rsidRPr="004D679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6BC4514" w14:textId="77777777" w:rsidR="00052B3A" w:rsidRDefault="00052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0892F" w14:textId="77777777" w:rsidR="00052B3A" w:rsidRDefault="00052B3A" w:rsidP="0036617C">
      <w:pPr>
        <w:spacing w:after="0" w:line="240" w:lineRule="auto"/>
      </w:pPr>
      <w:r>
        <w:separator/>
      </w:r>
    </w:p>
  </w:footnote>
  <w:footnote w:type="continuationSeparator" w:id="0">
    <w:p w14:paraId="37AC5E55" w14:textId="77777777" w:rsidR="00052B3A" w:rsidRDefault="00052B3A" w:rsidP="0036617C">
      <w:pPr>
        <w:spacing w:after="0" w:line="240" w:lineRule="auto"/>
      </w:pPr>
      <w:r>
        <w:continuationSeparator/>
      </w:r>
    </w:p>
  </w:footnote>
  <w:footnote w:type="continuationNotice" w:id="1">
    <w:p w14:paraId="181FFD67" w14:textId="77777777" w:rsidR="00167B2A" w:rsidRDefault="00167B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C4512" w14:textId="77777777" w:rsidR="00052B3A" w:rsidRPr="0036617C" w:rsidRDefault="00052B3A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689"/>
    <w:multiLevelType w:val="hybridMultilevel"/>
    <w:tmpl w:val="5C44F254"/>
    <w:lvl w:ilvl="0" w:tplc="69EC0C48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8"/>
  </w:num>
  <w:num w:numId="4">
    <w:abstractNumId w:val="30"/>
  </w:num>
  <w:num w:numId="5">
    <w:abstractNumId w:val="16"/>
  </w:num>
  <w:num w:numId="6">
    <w:abstractNumId w:val="26"/>
  </w:num>
  <w:num w:numId="7">
    <w:abstractNumId w:val="22"/>
  </w:num>
  <w:num w:numId="8">
    <w:abstractNumId w:val="15"/>
  </w:num>
  <w:num w:numId="9">
    <w:abstractNumId w:val="1"/>
  </w:num>
  <w:num w:numId="10">
    <w:abstractNumId w:val="10"/>
  </w:num>
  <w:num w:numId="11">
    <w:abstractNumId w:val="5"/>
  </w:num>
  <w:num w:numId="12">
    <w:abstractNumId w:val="33"/>
  </w:num>
  <w:num w:numId="13">
    <w:abstractNumId w:val="13"/>
  </w:num>
  <w:num w:numId="14">
    <w:abstractNumId w:val="24"/>
  </w:num>
  <w:num w:numId="15">
    <w:abstractNumId w:val="20"/>
  </w:num>
  <w:num w:numId="16">
    <w:abstractNumId w:val="3"/>
  </w:num>
  <w:num w:numId="17">
    <w:abstractNumId w:val="18"/>
  </w:num>
  <w:num w:numId="18">
    <w:abstractNumId w:val="6"/>
  </w:num>
  <w:num w:numId="19">
    <w:abstractNumId w:val="21"/>
  </w:num>
  <w:num w:numId="20">
    <w:abstractNumId w:val="29"/>
  </w:num>
  <w:num w:numId="21">
    <w:abstractNumId w:val="2"/>
  </w:num>
  <w:num w:numId="22">
    <w:abstractNumId w:val="17"/>
  </w:num>
  <w:num w:numId="23">
    <w:abstractNumId w:val="32"/>
  </w:num>
  <w:num w:numId="24">
    <w:abstractNumId w:val="0"/>
  </w:num>
  <w:num w:numId="25">
    <w:abstractNumId w:val="19"/>
  </w:num>
  <w:num w:numId="26">
    <w:abstractNumId w:val="34"/>
  </w:num>
  <w:num w:numId="27">
    <w:abstractNumId w:val="9"/>
  </w:num>
  <w:num w:numId="28">
    <w:abstractNumId w:val="4"/>
  </w:num>
  <w:num w:numId="29">
    <w:abstractNumId w:val="11"/>
  </w:num>
  <w:num w:numId="30">
    <w:abstractNumId w:val="36"/>
  </w:num>
  <w:num w:numId="31">
    <w:abstractNumId w:val="28"/>
  </w:num>
  <w:num w:numId="32">
    <w:abstractNumId w:val="12"/>
  </w:num>
  <w:num w:numId="33">
    <w:abstractNumId w:val="35"/>
  </w:num>
  <w:num w:numId="34">
    <w:abstractNumId w:val="23"/>
  </w:num>
  <w:num w:numId="35">
    <w:abstractNumId w:val="27"/>
  </w:num>
  <w:num w:numId="36">
    <w:abstractNumId w:val="31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5182"/>
    <w:rsid w:val="00026C39"/>
    <w:rsid w:val="0003589F"/>
    <w:rsid w:val="0003663A"/>
    <w:rsid w:val="0004199F"/>
    <w:rsid w:val="00045A65"/>
    <w:rsid w:val="00050116"/>
    <w:rsid w:val="00052175"/>
    <w:rsid w:val="00052B3A"/>
    <w:rsid w:val="00057A1F"/>
    <w:rsid w:val="00081A37"/>
    <w:rsid w:val="00084D46"/>
    <w:rsid w:val="0009714E"/>
    <w:rsid w:val="000A08DE"/>
    <w:rsid w:val="000A124F"/>
    <w:rsid w:val="000A1C0A"/>
    <w:rsid w:val="000A6F2F"/>
    <w:rsid w:val="000B448F"/>
    <w:rsid w:val="000B47A0"/>
    <w:rsid w:val="000B6585"/>
    <w:rsid w:val="000E1403"/>
    <w:rsid w:val="000E4DC8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32A97"/>
    <w:rsid w:val="001353DB"/>
    <w:rsid w:val="00140F67"/>
    <w:rsid w:val="00154EC1"/>
    <w:rsid w:val="00156E47"/>
    <w:rsid w:val="00163A88"/>
    <w:rsid w:val="00167B2A"/>
    <w:rsid w:val="001751F3"/>
    <w:rsid w:val="00176B4C"/>
    <w:rsid w:val="001E000F"/>
    <w:rsid w:val="001F553B"/>
    <w:rsid w:val="001F78BE"/>
    <w:rsid w:val="00206617"/>
    <w:rsid w:val="00206DEF"/>
    <w:rsid w:val="002202FC"/>
    <w:rsid w:val="00222467"/>
    <w:rsid w:val="00224F8D"/>
    <w:rsid w:val="00225896"/>
    <w:rsid w:val="00233D1A"/>
    <w:rsid w:val="0024577F"/>
    <w:rsid w:val="00273F8D"/>
    <w:rsid w:val="00282B24"/>
    <w:rsid w:val="00290415"/>
    <w:rsid w:val="002A797E"/>
    <w:rsid w:val="002B6DEA"/>
    <w:rsid w:val="002C1E2E"/>
    <w:rsid w:val="002F72F7"/>
    <w:rsid w:val="00300EFA"/>
    <w:rsid w:val="00301973"/>
    <w:rsid w:val="003129FF"/>
    <w:rsid w:val="003373D1"/>
    <w:rsid w:val="00352121"/>
    <w:rsid w:val="003604B6"/>
    <w:rsid w:val="003636B3"/>
    <w:rsid w:val="0036617C"/>
    <w:rsid w:val="00375302"/>
    <w:rsid w:val="00386B40"/>
    <w:rsid w:val="003C0064"/>
    <w:rsid w:val="003E1B5E"/>
    <w:rsid w:val="003E48AA"/>
    <w:rsid w:val="003E6B58"/>
    <w:rsid w:val="004004F8"/>
    <w:rsid w:val="004025E6"/>
    <w:rsid w:val="00403D80"/>
    <w:rsid w:val="00417201"/>
    <w:rsid w:val="00443DC1"/>
    <w:rsid w:val="00452127"/>
    <w:rsid w:val="00455DE7"/>
    <w:rsid w:val="00461A9B"/>
    <w:rsid w:val="00461B36"/>
    <w:rsid w:val="0046532D"/>
    <w:rsid w:val="00477457"/>
    <w:rsid w:val="00497471"/>
    <w:rsid w:val="004A1A99"/>
    <w:rsid w:val="004B16BF"/>
    <w:rsid w:val="004B26A9"/>
    <w:rsid w:val="004B48F3"/>
    <w:rsid w:val="004D196C"/>
    <w:rsid w:val="004D26E8"/>
    <w:rsid w:val="004D5A5B"/>
    <w:rsid w:val="004D6795"/>
    <w:rsid w:val="004D7690"/>
    <w:rsid w:val="004E21A2"/>
    <w:rsid w:val="004E2463"/>
    <w:rsid w:val="004E6FD4"/>
    <w:rsid w:val="004F1936"/>
    <w:rsid w:val="00503CE6"/>
    <w:rsid w:val="00515A82"/>
    <w:rsid w:val="005226CF"/>
    <w:rsid w:val="00522A16"/>
    <w:rsid w:val="0052780A"/>
    <w:rsid w:val="005330EC"/>
    <w:rsid w:val="005416B3"/>
    <w:rsid w:val="005417AD"/>
    <w:rsid w:val="00546685"/>
    <w:rsid w:val="0057045B"/>
    <w:rsid w:val="00583FB5"/>
    <w:rsid w:val="005853F3"/>
    <w:rsid w:val="00586C3E"/>
    <w:rsid w:val="005947C9"/>
    <w:rsid w:val="005A048C"/>
    <w:rsid w:val="005A1E97"/>
    <w:rsid w:val="005B26E5"/>
    <w:rsid w:val="005C0D5E"/>
    <w:rsid w:val="005C1067"/>
    <w:rsid w:val="005C4C4B"/>
    <w:rsid w:val="005D3C73"/>
    <w:rsid w:val="005D6B1E"/>
    <w:rsid w:val="00600FD9"/>
    <w:rsid w:val="006111DE"/>
    <w:rsid w:val="006138B8"/>
    <w:rsid w:val="00623FB1"/>
    <w:rsid w:val="00626623"/>
    <w:rsid w:val="00630655"/>
    <w:rsid w:val="0063246D"/>
    <w:rsid w:val="00634B58"/>
    <w:rsid w:val="0063638A"/>
    <w:rsid w:val="00645565"/>
    <w:rsid w:val="006518F2"/>
    <w:rsid w:val="0066782E"/>
    <w:rsid w:val="00685B8F"/>
    <w:rsid w:val="0068623F"/>
    <w:rsid w:val="00686350"/>
    <w:rsid w:val="00690E8A"/>
    <w:rsid w:val="006A15F1"/>
    <w:rsid w:val="006B53EB"/>
    <w:rsid w:val="006C4314"/>
    <w:rsid w:val="006C4F57"/>
    <w:rsid w:val="006F0BCA"/>
    <w:rsid w:val="0070024B"/>
    <w:rsid w:val="00701DC3"/>
    <w:rsid w:val="0074603E"/>
    <w:rsid w:val="00752A7C"/>
    <w:rsid w:val="007577A7"/>
    <w:rsid w:val="00786474"/>
    <w:rsid w:val="00790924"/>
    <w:rsid w:val="007A0329"/>
    <w:rsid w:val="007B1103"/>
    <w:rsid w:val="007B1A3F"/>
    <w:rsid w:val="007B4526"/>
    <w:rsid w:val="007D3C69"/>
    <w:rsid w:val="007D4ED2"/>
    <w:rsid w:val="007D76A6"/>
    <w:rsid w:val="007D7833"/>
    <w:rsid w:val="007E0FE5"/>
    <w:rsid w:val="007E6DB3"/>
    <w:rsid w:val="007F0FD6"/>
    <w:rsid w:val="007F33BD"/>
    <w:rsid w:val="007F33E0"/>
    <w:rsid w:val="0081255A"/>
    <w:rsid w:val="00814D76"/>
    <w:rsid w:val="008336E4"/>
    <w:rsid w:val="0083539D"/>
    <w:rsid w:val="00841BBF"/>
    <w:rsid w:val="00841C0C"/>
    <w:rsid w:val="00853C98"/>
    <w:rsid w:val="00856428"/>
    <w:rsid w:val="00871274"/>
    <w:rsid w:val="008737B8"/>
    <w:rsid w:val="008804AC"/>
    <w:rsid w:val="00882A36"/>
    <w:rsid w:val="00886C3F"/>
    <w:rsid w:val="008B47D7"/>
    <w:rsid w:val="008B65AB"/>
    <w:rsid w:val="008C5417"/>
    <w:rsid w:val="008C6234"/>
    <w:rsid w:val="008C669C"/>
    <w:rsid w:val="008C7A1A"/>
    <w:rsid w:val="008D1F94"/>
    <w:rsid w:val="008E0D39"/>
    <w:rsid w:val="00904AD2"/>
    <w:rsid w:val="00910F6F"/>
    <w:rsid w:val="009123F1"/>
    <w:rsid w:val="00920EA8"/>
    <w:rsid w:val="00931344"/>
    <w:rsid w:val="0094099B"/>
    <w:rsid w:val="00953F8A"/>
    <w:rsid w:val="0095404C"/>
    <w:rsid w:val="009544B4"/>
    <w:rsid w:val="009545E1"/>
    <w:rsid w:val="00972FBC"/>
    <w:rsid w:val="009763A6"/>
    <w:rsid w:val="009771EB"/>
    <w:rsid w:val="00980978"/>
    <w:rsid w:val="00984DCB"/>
    <w:rsid w:val="00987C97"/>
    <w:rsid w:val="00987EE4"/>
    <w:rsid w:val="00993740"/>
    <w:rsid w:val="009B0BFD"/>
    <w:rsid w:val="009C1007"/>
    <w:rsid w:val="009C4500"/>
    <w:rsid w:val="009D02B7"/>
    <w:rsid w:val="009D2957"/>
    <w:rsid w:val="009D7102"/>
    <w:rsid w:val="009E1A91"/>
    <w:rsid w:val="009E70B5"/>
    <w:rsid w:val="009F1592"/>
    <w:rsid w:val="009F414A"/>
    <w:rsid w:val="00A003DC"/>
    <w:rsid w:val="00A061C1"/>
    <w:rsid w:val="00A10EB2"/>
    <w:rsid w:val="00A1188C"/>
    <w:rsid w:val="00A15C9B"/>
    <w:rsid w:val="00A17C12"/>
    <w:rsid w:val="00A23F95"/>
    <w:rsid w:val="00A27A50"/>
    <w:rsid w:val="00A30329"/>
    <w:rsid w:val="00A54A40"/>
    <w:rsid w:val="00A60544"/>
    <w:rsid w:val="00A60C04"/>
    <w:rsid w:val="00A6523E"/>
    <w:rsid w:val="00A703B7"/>
    <w:rsid w:val="00A90927"/>
    <w:rsid w:val="00AA4185"/>
    <w:rsid w:val="00AA7657"/>
    <w:rsid w:val="00AB2F65"/>
    <w:rsid w:val="00AB3F75"/>
    <w:rsid w:val="00AB7774"/>
    <w:rsid w:val="00AD3858"/>
    <w:rsid w:val="00B15D5B"/>
    <w:rsid w:val="00B178A6"/>
    <w:rsid w:val="00B20E55"/>
    <w:rsid w:val="00B22902"/>
    <w:rsid w:val="00B453C4"/>
    <w:rsid w:val="00B50EBA"/>
    <w:rsid w:val="00B519BA"/>
    <w:rsid w:val="00B55D35"/>
    <w:rsid w:val="00B60D2F"/>
    <w:rsid w:val="00B70A63"/>
    <w:rsid w:val="00B80387"/>
    <w:rsid w:val="00B829AE"/>
    <w:rsid w:val="00B854B9"/>
    <w:rsid w:val="00B85B03"/>
    <w:rsid w:val="00B87B63"/>
    <w:rsid w:val="00B936C4"/>
    <w:rsid w:val="00BB6AC6"/>
    <w:rsid w:val="00BC151E"/>
    <w:rsid w:val="00BC1539"/>
    <w:rsid w:val="00BC228B"/>
    <w:rsid w:val="00BC2335"/>
    <w:rsid w:val="00BC3CEE"/>
    <w:rsid w:val="00BE1367"/>
    <w:rsid w:val="00BE6381"/>
    <w:rsid w:val="00C02494"/>
    <w:rsid w:val="00C1729A"/>
    <w:rsid w:val="00C2466A"/>
    <w:rsid w:val="00C24F26"/>
    <w:rsid w:val="00C27445"/>
    <w:rsid w:val="00C31062"/>
    <w:rsid w:val="00C4073F"/>
    <w:rsid w:val="00C4099E"/>
    <w:rsid w:val="00C5505B"/>
    <w:rsid w:val="00C63734"/>
    <w:rsid w:val="00C6677A"/>
    <w:rsid w:val="00C76162"/>
    <w:rsid w:val="00C76885"/>
    <w:rsid w:val="00C81C70"/>
    <w:rsid w:val="00C82900"/>
    <w:rsid w:val="00C8341A"/>
    <w:rsid w:val="00CA3A50"/>
    <w:rsid w:val="00CA44F2"/>
    <w:rsid w:val="00CA6287"/>
    <w:rsid w:val="00CA6407"/>
    <w:rsid w:val="00CB0FCF"/>
    <w:rsid w:val="00CB34C6"/>
    <w:rsid w:val="00CC31B2"/>
    <w:rsid w:val="00CC7C67"/>
    <w:rsid w:val="00CD5EEF"/>
    <w:rsid w:val="00CE01F6"/>
    <w:rsid w:val="00CE6592"/>
    <w:rsid w:val="00CE788A"/>
    <w:rsid w:val="00CF14EE"/>
    <w:rsid w:val="00D03F1E"/>
    <w:rsid w:val="00D047D8"/>
    <w:rsid w:val="00D049DC"/>
    <w:rsid w:val="00D05315"/>
    <w:rsid w:val="00D27BA1"/>
    <w:rsid w:val="00D302FB"/>
    <w:rsid w:val="00D347B5"/>
    <w:rsid w:val="00D3637D"/>
    <w:rsid w:val="00D40CBC"/>
    <w:rsid w:val="00D60778"/>
    <w:rsid w:val="00D6297D"/>
    <w:rsid w:val="00D846F5"/>
    <w:rsid w:val="00D96205"/>
    <w:rsid w:val="00DA5DBB"/>
    <w:rsid w:val="00DB4E42"/>
    <w:rsid w:val="00DD466E"/>
    <w:rsid w:val="00DD624C"/>
    <w:rsid w:val="00DE3A35"/>
    <w:rsid w:val="00DE44E0"/>
    <w:rsid w:val="00DF6737"/>
    <w:rsid w:val="00E00CBB"/>
    <w:rsid w:val="00E039C9"/>
    <w:rsid w:val="00E043F9"/>
    <w:rsid w:val="00E07A2F"/>
    <w:rsid w:val="00E2153A"/>
    <w:rsid w:val="00E26537"/>
    <w:rsid w:val="00E3490B"/>
    <w:rsid w:val="00E36138"/>
    <w:rsid w:val="00E4719B"/>
    <w:rsid w:val="00E56719"/>
    <w:rsid w:val="00E61BEE"/>
    <w:rsid w:val="00E73DC8"/>
    <w:rsid w:val="00E841EE"/>
    <w:rsid w:val="00E8434F"/>
    <w:rsid w:val="00E846A8"/>
    <w:rsid w:val="00EB2697"/>
    <w:rsid w:val="00EB7FEA"/>
    <w:rsid w:val="00ED34F7"/>
    <w:rsid w:val="00EE1CFB"/>
    <w:rsid w:val="00EE4E82"/>
    <w:rsid w:val="00F22372"/>
    <w:rsid w:val="00F244FF"/>
    <w:rsid w:val="00F254E5"/>
    <w:rsid w:val="00F4205D"/>
    <w:rsid w:val="00F4571F"/>
    <w:rsid w:val="00F47D80"/>
    <w:rsid w:val="00F53029"/>
    <w:rsid w:val="00F71399"/>
    <w:rsid w:val="00F73CA6"/>
    <w:rsid w:val="00F76056"/>
    <w:rsid w:val="00F80A4D"/>
    <w:rsid w:val="00F852AC"/>
    <w:rsid w:val="00FB525C"/>
    <w:rsid w:val="00FC06B5"/>
    <w:rsid w:val="00FD3906"/>
    <w:rsid w:val="00FD5772"/>
    <w:rsid w:val="00FD64CA"/>
    <w:rsid w:val="00FE2D63"/>
    <w:rsid w:val="00FE3C4B"/>
    <w:rsid w:val="00FE6FFC"/>
    <w:rsid w:val="00FF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C44DB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</Nr_x002e__x0020_akti>
    <Data_x0020_e_x0020_Krijimit xmlns="0e656187-b300-4fb0-8bf4-3a50f872073c">2023-12-14T16:21:06Z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disa shtesa dhe ndryshime në vendimin nr. 239,  datë 20.3.2020, të Këshillit të Ministrave, “Për kërkesat teknike dhe funksionale të zgjidhjes software-ike për procedurën e faturimit dhe të fiskalizimit, si dhe procedurën e kriteret për regjistrimin  e prodhuesve e të mirëmbajtësve të zgjidhjeve software-ike”, të ndryshuar</Titulli>
    <Modifikuesi xmlns="0e656187-b300-4fb0-8bf4-3a50f872073c">nevila.samarxhi</Modifikuesi>
    <Nr_x002e__x0020_prot_x0020_QBZ xmlns="0e656187-b300-4fb0-8bf4-3a50f872073c">1908</Nr_x002e__x0020_prot_x0020_QBZ>
    <Data_x0020_e_x0020_Modifikimit xmlns="0e656187-b300-4fb0-8bf4-3a50f872073c">2023-12-15T10:30:21Z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4670/4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5C4CB07944C83BE1C399F31952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5C4CB07944C83BE1C399F31952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8F081-39D2-4C80-B784-442CB0E3A513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5ACC504-BA1A-4DDF-B1D5-9A8963D8C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20340-3F4C-468F-BD26-A497C7CAE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C80BED-1B69-4567-BA8C-FD6AE6B681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A2A7D8-8216-4606-ACF6-5E0B90042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2E9663-05D6-4D97-85BB-5CC5EFA6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14</cp:revision>
  <cp:lastPrinted>2023-12-12T17:54:00Z</cp:lastPrinted>
  <dcterms:created xsi:type="dcterms:W3CDTF">2023-12-15T09:29:00Z</dcterms:created>
  <dcterms:modified xsi:type="dcterms:W3CDTF">2023-12-15T10:05:00Z</dcterms:modified>
</cp:coreProperties>
</file>