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B1D70" w14:textId="77777777" w:rsidR="003445C3" w:rsidRDefault="003445C3" w:rsidP="003445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VENDIM</w:t>
      </w:r>
    </w:p>
    <w:p w14:paraId="25C51E44" w14:textId="77777777" w:rsidR="003445C3" w:rsidRDefault="003445C3" w:rsidP="003445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Nr. 757, datë 20.12.2023</w:t>
      </w:r>
    </w:p>
    <w:p w14:paraId="1626E29C" w14:textId="77777777" w:rsidR="003445C3" w:rsidRDefault="003445C3" w:rsidP="003445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CD02E38" w14:textId="7DCA237E" w:rsidR="003445C3" w:rsidRDefault="003445C3" w:rsidP="003445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PËR MIRATIMIN E REZOLUTAVE NR. 259, “NDRYSHIM NË NENIN 1 TË MARRËVESHJES, QË THEMELON BANKËN EVROPIANE PËR RINDËRTIM DHE ZHVILLIM PËR MUNDËSIMIN</w:t>
      </w:r>
      <w:r>
        <w:rPr>
          <w:rFonts w:ascii="Garamond" w:hAnsi="Garamond"/>
          <w:b/>
          <w:sz w:val="24"/>
          <w:lang w:val="sq-AL"/>
        </w:rPr>
        <w:t xml:space="preserve"> </w:t>
      </w:r>
      <w:r>
        <w:rPr>
          <w:rFonts w:ascii="Garamond" w:hAnsi="Garamond"/>
          <w:b/>
          <w:sz w:val="24"/>
          <w:lang w:val="sq-AL"/>
        </w:rPr>
        <w:t xml:space="preserve">E NJË ZGJERIMI TË KUFIZUAR DHE RRITËS TË SHTRIRJES GJEOGRAFIKE TË OPERACIONEVE TË BANKËS PËR AFRIKËN </w:t>
      </w:r>
      <w:proofErr w:type="spellStart"/>
      <w:r>
        <w:rPr>
          <w:rFonts w:ascii="Garamond" w:hAnsi="Garamond"/>
          <w:b/>
          <w:sz w:val="24"/>
          <w:lang w:val="sq-AL"/>
        </w:rPr>
        <w:t>SUB-SAHARIANE</w:t>
      </w:r>
      <w:proofErr w:type="spellEnd"/>
      <w:r>
        <w:rPr>
          <w:rFonts w:ascii="Garamond" w:hAnsi="Garamond"/>
          <w:b/>
          <w:sz w:val="24"/>
          <w:lang w:val="sq-AL"/>
        </w:rPr>
        <w:t xml:space="preserve"> DHE IRAKUN”, DHE NR. 260, “NDRYSHIM NË NENIN 12.1 TË MARRËVESHJES, QË THEMELON BANKËN EVROPIANE PËR RINDËRTIM DHE ZHVILLIM PËR HEQJEN E KUFIZIMIT TË KAPITALIT </w:t>
      </w:r>
      <w:proofErr w:type="spellStart"/>
      <w:r>
        <w:rPr>
          <w:rFonts w:ascii="Garamond" w:hAnsi="Garamond"/>
          <w:b/>
          <w:sz w:val="24"/>
          <w:lang w:val="sq-AL"/>
        </w:rPr>
        <w:t>STATUTOR</w:t>
      </w:r>
      <w:proofErr w:type="spellEnd"/>
      <w:r>
        <w:rPr>
          <w:rFonts w:ascii="Garamond" w:hAnsi="Garamond"/>
          <w:b/>
          <w:sz w:val="24"/>
          <w:lang w:val="sq-AL"/>
        </w:rPr>
        <w:t xml:space="preserve"> PËR OPERACIONET E ZAKONSHME”, TË VITIT 2023, TË BORDIT TË GUVERNATORËVE TË BANKËS EVROPIANE PËR RINDËRTIM DHE ZHVILLIM (</w:t>
      </w:r>
      <w:proofErr w:type="spellStart"/>
      <w:r>
        <w:rPr>
          <w:rFonts w:ascii="Garamond" w:hAnsi="Garamond"/>
          <w:b/>
          <w:sz w:val="24"/>
          <w:lang w:val="sq-AL"/>
        </w:rPr>
        <w:t>BERZH</w:t>
      </w:r>
      <w:proofErr w:type="spellEnd"/>
      <w:r>
        <w:rPr>
          <w:rFonts w:ascii="Garamond" w:hAnsi="Garamond"/>
          <w:b/>
          <w:sz w:val="24"/>
          <w:lang w:val="sq-AL"/>
        </w:rPr>
        <w:t>)</w:t>
      </w:r>
    </w:p>
    <w:p w14:paraId="098A195A" w14:textId="77777777" w:rsidR="003445C3" w:rsidRDefault="003445C3" w:rsidP="003445C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1FB40AE" w14:textId="5F357A74" w:rsidR="003445C3" w:rsidRDefault="003445C3" w:rsidP="003445C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Në mbështetje të nenit 100 të Kushtetutës, të ligjit nr. 7525, datë 3.12.</w:t>
      </w:r>
      <w:r w:rsidR="001268DA">
        <w:rPr>
          <w:rFonts w:ascii="Garamond" w:hAnsi="Garamond"/>
          <w:sz w:val="24"/>
          <w:lang w:val="sq-AL"/>
        </w:rPr>
        <w:t>1</w:t>
      </w:r>
      <w:r>
        <w:rPr>
          <w:rFonts w:ascii="Garamond" w:hAnsi="Garamond"/>
          <w:sz w:val="24"/>
          <w:lang w:val="sq-AL"/>
        </w:rPr>
        <w:t>991, “Për anëtarësinë e Republikës së Shqipërisë në Bankën Evropiane për Rindërtim dhe Zhvillim”, dhe të nenit 2, të ligjit nr. 10429, datë 9.6.2011, “Për ratifikimin e vendimeve të Bordit të Guvernatorëve të Bankës Evropiane për Rindërtim dhe Zhvillim (</w:t>
      </w:r>
      <w:proofErr w:type="spellStart"/>
      <w:r>
        <w:rPr>
          <w:rFonts w:ascii="Garamond" w:hAnsi="Garamond"/>
          <w:sz w:val="24"/>
          <w:lang w:val="sq-AL"/>
        </w:rPr>
        <w:t>EBRD</w:t>
      </w:r>
      <w:proofErr w:type="spellEnd"/>
      <w:r>
        <w:rPr>
          <w:rFonts w:ascii="Garamond" w:hAnsi="Garamond"/>
          <w:sz w:val="24"/>
          <w:lang w:val="sq-AL"/>
        </w:rPr>
        <w:t xml:space="preserve">), rezoluta nr. 126, “Rritja e kapitalit themeltar të autorizuar, emetimi i aksioneve të paguara dhe pagesa, nëpërmjet </w:t>
      </w:r>
      <w:proofErr w:type="spellStart"/>
      <w:r>
        <w:rPr>
          <w:rFonts w:ascii="Garamond" w:hAnsi="Garamond"/>
          <w:sz w:val="24"/>
          <w:lang w:val="sq-AL"/>
        </w:rPr>
        <w:t>rialokimit</w:t>
      </w:r>
      <w:proofErr w:type="spellEnd"/>
      <w:r>
        <w:rPr>
          <w:rFonts w:ascii="Garamond" w:hAnsi="Garamond"/>
          <w:sz w:val="24"/>
          <w:lang w:val="sq-AL"/>
        </w:rPr>
        <w:t xml:space="preserve"> të </w:t>
      </w:r>
      <w:proofErr w:type="spellStart"/>
      <w:r>
        <w:rPr>
          <w:rFonts w:ascii="Garamond" w:hAnsi="Garamond"/>
          <w:sz w:val="24"/>
          <w:lang w:val="sq-AL"/>
        </w:rPr>
        <w:t>të</w:t>
      </w:r>
      <w:proofErr w:type="spellEnd"/>
      <w:r>
        <w:rPr>
          <w:rFonts w:ascii="Garamond" w:hAnsi="Garamond"/>
          <w:sz w:val="24"/>
          <w:lang w:val="sq-AL"/>
        </w:rPr>
        <w:t xml:space="preserve"> ardhurave neto” (shtojca A) dhe rezoluta nr. 128, “Shtimi i kapitalit themeltar të autorizuar, emetimi dhe nënshkrimi i kapitalit të </w:t>
      </w:r>
      <w:proofErr w:type="spellStart"/>
      <w:r>
        <w:rPr>
          <w:rFonts w:ascii="Garamond" w:hAnsi="Garamond"/>
          <w:sz w:val="24"/>
          <w:lang w:val="sq-AL"/>
        </w:rPr>
        <w:t>shlyeshëm</w:t>
      </w:r>
      <w:proofErr w:type="spellEnd"/>
      <w:r>
        <w:rPr>
          <w:rFonts w:ascii="Garamond" w:hAnsi="Garamond"/>
          <w:sz w:val="24"/>
          <w:lang w:val="sq-AL"/>
        </w:rPr>
        <w:t>, nëse kërkohet dhe shlyerja” (shtojca B), si dhe dokumenti “Informacion për hapat që duhet të merren pas mbledhjes vjetore të vitit 2010”, me propozimin e ministrit të Financave dhe Ekonomisë, Këshilli i Ministrave</w:t>
      </w:r>
    </w:p>
    <w:p w14:paraId="6EED026A" w14:textId="77777777" w:rsidR="003445C3" w:rsidRDefault="003445C3" w:rsidP="003445C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58286FC" w14:textId="77777777" w:rsidR="003445C3" w:rsidRDefault="003445C3" w:rsidP="003445C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VENDOSI:</w:t>
      </w:r>
    </w:p>
    <w:p w14:paraId="4B81295E" w14:textId="77777777" w:rsidR="003445C3" w:rsidRDefault="003445C3" w:rsidP="003445C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1CE15A" w14:textId="77777777" w:rsidR="003445C3" w:rsidRDefault="003445C3" w:rsidP="003445C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1. Miratimin e rezolutave nr. 259, “Ndryshim në nenin 1 të marrëveshjes, që themelon Bankën Evropiane për Rindërtim dhe Zhvillim për mundësimin e një zgjerimi të kufizuar dhe rritës të shtrirjes gjeografike të operacioneve të Bankës për Afrikën </w:t>
      </w:r>
      <w:proofErr w:type="spellStart"/>
      <w:r>
        <w:rPr>
          <w:rFonts w:ascii="Garamond" w:hAnsi="Garamond"/>
          <w:sz w:val="24"/>
          <w:lang w:val="sq-AL"/>
        </w:rPr>
        <w:t>Sub-Sahariane</w:t>
      </w:r>
      <w:proofErr w:type="spellEnd"/>
      <w:r>
        <w:rPr>
          <w:rFonts w:ascii="Garamond" w:hAnsi="Garamond"/>
          <w:sz w:val="24"/>
          <w:lang w:val="sq-AL"/>
        </w:rPr>
        <w:t xml:space="preserve"> dhe Irakun”, dhe nr. 260, “Ndryshim në nenin 12.1 të marrëveshjes, që themelon Bankën Evropiane për Rindërtim dhe Zhvillim për heqjen e kufizimit të kapitalit </w:t>
      </w:r>
      <w:proofErr w:type="spellStart"/>
      <w:r>
        <w:rPr>
          <w:rFonts w:ascii="Garamond" w:hAnsi="Garamond"/>
          <w:sz w:val="24"/>
          <w:lang w:val="sq-AL"/>
        </w:rPr>
        <w:t>statutor</w:t>
      </w:r>
      <w:proofErr w:type="spellEnd"/>
      <w:r>
        <w:rPr>
          <w:rFonts w:ascii="Garamond" w:hAnsi="Garamond"/>
          <w:sz w:val="24"/>
          <w:lang w:val="sq-AL"/>
        </w:rPr>
        <w:t xml:space="preserve"> për operacionet e zakonshme”, të vitit 2023, të Bordit të Guvernatorëve të Bankës Evropiane për Rindërtim dhe Zhvillim (</w:t>
      </w:r>
      <w:proofErr w:type="spellStart"/>
      <w:r>
        <w:rPr>
          <w:rFonts w:ascii="Garamond" w:hAnsi="Garamond"/>
          <w:sz w:val="24"/>
          <w:lang w:val="sq-AL"/>
        </w:rPr>
        <w:t>BERZH</w:t>
      </w:r>
      <w:proofErr w:type="spellEnd"/>
      <w:r>
        <w:rPr>
          <w:rFonts w:ascii="Garamond" w:hAnsi="Garamond"/>
          <w:sz w:val="24"/>
          <w:lang w:val="sq-AL"/>
        </w:rPr>
        <w:t xml:space="preserve">), sipas tekstit që i bashkëlidhet këtij vendimi. </w:t>
      </w:r>
    </w:p>
    <w:p w14:paraId="2FFE0A3F" w14:textId="4CB3EC43" w:rsidR="003445C3" w:rsidRDefault="003445C3" w:rsidP="003445C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2. Ngarkohet Ministria e Financave dhe Ekonomisë</w:t>
      </w:r>
      <w:r>
        <w:rPr>
          <w:rFonts w:ascii="Garamond" w:hAnsi="Garamond"/>
          <w:sz w:val="24"/>
          <w:lang w:val="sq-AL"/>
        </w:rPr>
        <w:t xml:space="preserve"> </w:t>
      </w:r>
      <w:r>
        <w:rPr>
          <w:rFonts w:ascii="Garamond" w:hAnsi="Garamond"/>
          <w:sz w:val="24"/>
          <w:lang w:val="sq-AL"/>
        </w:rPr>
        <w:t>për zbatimin e këtij vendimi.</w:t>
      </w:r>
    </w:p>
    <w:p w14:paraId="3FDBD07A" w14:textId="77777777" w:rsidR="003445C3" w:rsidRDefault="003445C3" w:rsidP="003445C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Ky vendim hyn në fuqi pas botimit në Fletoren Zyrtare.</w:t>
      </w:r>
    </w:p>
    <w:p w14:paraId="6ED9BDFF" w14:textId="77777777" w:rsidR="003445C3" w:rsidRDefault="003445C3" w:rsidP="003445C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25ACC22" w14:textId="77777777" w:rsidR="003445C3" w:rsidRDefault="003445C3" w:rsidP="003445C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KRYEMINISTËR</w:t>
      </w:r>
    </w:p>
    <w:p w14:paraId="60560ECA" w14:textId="77777777" w:rsidR="003445C3" w:rsidRDefault="003445C3" w:rsidP="003445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60823E70" w14:textId="77777777" w:rsidR="003445C3" w:rsidRDefault="003445C3" w:rsidP="003445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32374932" w14:textId="77777777" w:rsidR="001C0D63" w:rsidRDefault="001C0D6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8D4834F" w14:textId="77777777" w:rsidR="001C0D63" w:rsidRDefault="001C0D6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4AA94EE3" w14:textId="77777777" w:rsidR="001C0D63" w:rsidRDefault="001C0D6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F5DE898" w14:textId="77777777" w:rsidR="001C0D63" w:rsidRDefault="001C0D6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EB2ED11" w14:textId="77777777" w:rsidR="001C0D63" w:rsidRDefault="001C0D6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1F06F2A" w14:textId="77777777" w:rsidR="001C0D63" w:rsidRDefault="001C0D6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DB9713C" w14:textId="77777777" w:rsidR="001C0D63" w:rsidRDefault="001C0D6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4BC90C9F" w14:textId="77777777" w:rsidR="001C0D63" w:rsidRDefault="001C0D6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4DF4B26F" w14:textId="77777777" w:rsidR="001C0D63" w:rsidRDefault="001C0D6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FA22D78" w14:textId="7AF6179C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lastRenderedPageBreak/>
        <w:t>REZOLUTA NR. 259</w:t>
      </w:r>
    </w:p>
    <w:p w14:paraId="0BB74C2F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NDRYSHIM NË NENIN 1 TË MARRËVESHJES QË THEMELON BANKËN </w:t>
      </w:r>
    </w:p>
    <w:p w14:paraId="11F256A8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EVROPIANE PËR RINDËRTIM DHE ZHVILLIM PËR MUNDËSIMIN E NJË </w:t>
      </w:r>
    </w:p>
    <w:p w14:paraId="18F32B9F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ZGJERIMI TË KUFIZUAR DHE RRITËS TË SHTRIRJES GJEOGRAFIKE TË </w:t>
      </w:r>
    </w:p>
    <w:p w14:paraId="43DD3C44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OPERACIONEVE TË BANKËS PËR AFRIKËN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SUB-SAHARIANE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DHE </w:t>
      </w:r>
    </w:p>
    <w:p w14:paraId="195DDDD0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IRAKUN</w:t>
      </w:r>
    </w:p>
    <w:p w14:paraId="411337A0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949BE68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BORDI I GUVERNATORËVE,</w:t>
      </w:r>
    </w:p>
    <w:p w14:paraId="3D1A67FC" w14:textId="64925763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Duke sjellë në vëmendje Rezolutën nr. 248</w:t>
      </w:r>
      <w:r w:rsidR="00022F22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me të cilën Bordi i Guvernatorëve miratoi në parim, një zgjerim të kufizuar dhe rritës të shtrirjes gjeografike të operacioneve të Bankës në Afrikën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Sub-Sahariane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dhe Irak;</w:t>
      </w:r>
    </w:p>
    <w:p w14:paraId="3913FDF9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Duke theksuar rëndësinë e Afrikës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Sub-Sahariane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dhe Irakut për arritjen e prioriteteve gjeopolitike dhe të zhvillimit të komunitetit ndërkombëtar, lidhjet në rritje midis shumë vendeve në Afrikën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Sub-Sahariane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dhe Irakut dhe vendeve aktuale të operacioneve të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BERZH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-it, dhe rëndësinë dhe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zbatueshmërinë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e mandatit të Bankës, modelin e biznesit, fokusin në sektorin privat dhe kompetencat në Afrikën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Sub-Sahariane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dhe Irak;</w:t>
      </w:r>
    </w:p>
    <w:p w14:paraId="4F03019D" w14:textId="77777777" w:rsidR="003445C3" w:rsidRDefault="003445C3" w:rsidP="00A83A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Duke theksuar se prioriteti më urgjent i Bankës mbetet që të mbështesë Ukrainën dhe vendet e tjera të operacioneve të prekura nga lufta në Ukrainë;</w:t>
      </w:r>
    </w:p>
    <w:p w14:paraId="4161BACD" w14:textId="77777777" w:rsidR="003445C3" w:rsidRDefault="003445C3" w:rsidP="00A83A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Duke pranuar se lufta në Ukrainë ka përforcuar rëndësinë paralele të vazhdimit të adresimit të objektivave të grupeve të interesit në Afrikën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Sub-Sahariane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dhe Irak;</w:t>
      </w:r>
    </w:p>
    <w:p w14:paraId="5D483159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Duke nënvizuar se çdo zgjerim i mundshëm i kufizuar dhe rritës në vendet e reja të operacioneve nuk duhet të dëmtojë aftësinë e Bankës për të mbështetur vendet e veta aktuale të operacioneve, të komprometojë vlerësimin e kapaciteteve jashtëzakonisht të larta të Bankës për të përmbushur detyrimet financiare, të çojë në një kërkesë për kontribute kapitali shtesë ose të devijojë nga mandati i Bankës për të mbështetur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tranzicionin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dhe parimet e saj të funksionimit të mbështetjes së projekteve të investimeve dhe shërbimit të qëndrueshëm bankar;</w:t>
      </w:r>
    </w:p>
    <w:p w14:paraId="359A0C3C" w14:textId="420CC435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Pas shqyrtimit të Raportit të Bordit të Drejtorëve për Bordin e Guvernatorëve</w:t>
      </w:r>
      <w:r w:rsidR="00A83A65">
        <w:rPr>
          <w:rFonts w:ascii="Garamond" w:hAnsi="Garamond" w:cs="Times New Roman"/>
          <w:sz w:val="24"/>
          <w:szCs w:val="24"/>
          <w:lang w:val="sq-AL"/>
        </w:rPr>
        <w:t>: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“Ndryshimi i </w:t>
      </w:r>
      <w:r w:rsidR="00A83A65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nenit 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1 të Marrëveshjes për Themelimin e Bankës Evropiane për Rindërtim dhe Zhvillim, me qëllim mundësimin e zgjerimit të </w:t>
      </w:r>
      <w:r w:rsidR="00A83A65">
        <w:rPr>
          <w:rFonts w:ascii="Garamond" w:hAnsi="Garamond" w:cs="Times New Roman"/>
          <w:i/>
          <w:iCs/>
          <w:sz w:val="24"/>
          <w:szCs w:val="24"/>
          <w:lang w:val="sq-AL"/>
        </w:rPr>
        <w:t>kufizuar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dhe rritës të shtrirjes gjeografike të operacioneve të Bankës në Afrikën </w:t>
      </w:r>
      <w:proofErr w:type="spellStart"/>
      <w:r>
        <w:rPr>
          <w:rFonts w:ascii="Garamond" w:hAnsi="Garamond" w:cs="Times New Roman"/>
          <w:i/>
          <w:iCs/>
          <w:sz w:val="24"/>
          <w:szCs w:val="24"/>
          <w:lang w:val="sq-AL"/>
        </w:rPr>
        <w:t>Sub-Saharane</w:t>
      </w:r>
      <w:proofErr w:type="spellEnd"/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dhe Irak”</w:t>
      </w:r>
      <w:r w:rsidR="0027326D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sz w:val="24"/>
          <w:szCs w:val="24"/>
          <w:lang w:val="sq-AL"/>
        </w:rPr>
        <w:t>dhe duke qenë në pajtim me konkluzionet e saj, ndër të tjera, se:</w:t>
      </w:r>
    </w:p>
    <w:p w14:paraId="71D418A9" w14:textId="77777777" w:rsidR="003445C3" w:rsidRDefault="003445C3" w:rsidP="003445C3">
      <w:pPr>
        <w:tabs>
          <w:tab w:val="decimal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i. </w:t>
      </w:r>
      <w:r>
        <w:rPr>
          <w:rFonts w:ascii="Garamond" w:hAnsi="Garamond" w:cs="Times New Roman"/>
          <w:sz w:val="24"/>
          <w:szCs w:val="24"/>
          <w:lang w:val="sq-AL"/>
        </w:rPr>
        <w:tab/>
        <w:t xml:space="preserve">Analiza e implikimeve të kapitalit dhe financiare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rikonfirmon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se një zgjerim i kufizuar dhe rritës në Afrikën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Sub-Sahariane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dhe Irak nuk do të dëmtojë në vetvete aftësinë e Bankës për të mbështetur vendet e saj ekzistuese të operacioneve, duke kompromentuar vlerësimin e kapaciteteve jashtëzakonisht të larta të Bankës për të përmbushur detyrimet financiare, ose të çojë në një kërkesë për kontribute kapitali shtesë;</w:t>
      </w:r>
    </w:p>
    <w:p w14:paraId="70C2F471" w14:textId="7DA37FAC" w:rsidR="003445C3" w:rsidRDefault="003445C3" w:rsidP="003445C3">
      <w:pPr>
        <w:tabs>
          <w:tab w:val="decimal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. </w:t>
      </w:r>
      <w:r>
        <w:rPr>
          <w:rFonts w:ascii="Garamond" w:hAnsi="Garamond" w:cs="Times New Roman"/>
          <w:sz w:val="24"/>
          <w:szCs w:val="24"/>
          <w:lang w:val="sq-AL"/>
        </w:rPr>
        <w:tab/>
        <w:t xml:space="preserve">Një zgjerim i tillë i kufizuar dhe rritës i shtrirjes gjeografike të operacioneve të Bankës në Afrikën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Sub-Sahariane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dhe Irak duhet të mundësohet nëpërmjet një ndryshimi të </w:t>
      </w:r>
      <w:r w:rsidR="006E00B7">
        <w:rPr>
          <w:rFonts w:ascii="Garamond" w:hAnsi="Garamond" w:cs="Times New Roman"/>
          <w:sz w:val="24"/>
          <w:szCs w:val="24"/>
          <w:lang w:val="sq-AL"/>
        </w:rPr>
        <w:t xml:space="preserve">nenit </w:t>
      </w:r>
      <w:r>
        <w:rPr>
          <w:rFonts w:ascii="Garamond" w:hAnsi="Garamond" w:cs="Times New Roman"/>
          <w:sz w:val="24"/>
          <w:szCs w:val="24"/>
          <w:lang w:val="sq-AL"/>
        </w:rPr>
        <w:t>1 të Marrëveshjes për Themelimin e Bankës Evropiane për Rindërtim dhe Zhvillim (Marrëveshja); dhe</w:t>
      </w:r>
    </w:p>
    <w:p w14:paraId="0228865F" w14:textId="77777777" w:rsidR="003445C3" w:rsidRDefault="003445C3" w:rsidP="003445C3">
      <w:pPr>
        <w:tabs>
          <w:tab w:val="decimal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. Zbatimi i zgjerimit duhet të kryhet në një mënyrë që nuk do të zbehë fokusin e Bankës në mbështetjen e Ukrainës dhe vendeve të tjera të operacioneve të prekura nga lufta në Ukrainë.</w:t>
      </w:r>
    </w:p>
    <w:p w14:paraId="13D3D1F5" w14:textId="77777777" w:rsidR="001C0D63" w:rsidRDefault="001C0D63" w:rsidP="001C0D63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</w:p>
    <w:p w14:paraId="67B78C9A" w14:textId="196D5EA0" w:rsidR="003445C3" w:rsidRDefault="003445C3" w:rsidP="00783BC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>
        <w:rPr>
          <w:rFonts w:ascii="Garamond" w:hAnsi="Garamond" w:cs="Arial"/>
          <w:sz w:val="24"/>
          <w:szCs w:val="24"/>
          <w:lang w:val="sq-AL"/>
        </w:rPr>
        <w:t>VENDOS QË:</w:t>
      </w:r>
    </w:p>
    <w:p w14:paraId="44089C9F" w14:textId="77777777" w:rsidR="001C0D63" w:rsidRDefault="001C0D63" w:rsidP="003445C3">
      <w:pPr>
        <w:tabs>
          <w:tab w:val="right" w:pos="66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799E297" w14:textId="46B5B5B4" w:rsidR="003445C3" w:rsidRDefault="003445C3" w:rsidP="003445C3">
      <w:pPr>
        <w:tabs>
          <w:tab w:val="right" w:pos="66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1. Neni 1 i Marrëveshjes të ndryshohet me tekstin e mëposhtëm:</w:t>
      </w:r>
    </w:p>
    <w:p w14:paraId="359681E3" w14:textId="38E7C512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“Duke kontribuar në progresin dhe rindërtimin ekonomik, qëllimi i Bankës do të jetë të nxisë </w:t>
      </w:r>
      <w:proofErr w:type="spellStart"/>
      <w:r>
        <w:rPr>
          <w:rFonts w:ascii="Garamond" w:hAnsi="Garamond" w:cs="Times New Roman"/>
          <w:i/>
          <w:iCs/>
          <w:sz w:val="24"/>
          <w:szCs w:val="24"/>
          <w:lang w:val="sq-AL"/>
        </w:rPr>
        <w:t>tranzicionin</w:t>
      </w:r>
      <w:proofErr w:type="spellEnd"/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drejt ekonomive të hapura të orientuara nga tregu dhe të promovojë iniciativën private dhe sipërmarrëse në vendet e Evropës Qendrore dhe Lindore, të përkushtuara ndaj dhe që zbatojnë parimet e demokracisë </w:t>
      </w:r>
      <w:proofErr w:type="spellStart"/>
      <w:r>
        <w:rPr>
          <w:rFonts w:ascii="Garamond" w:hAnsi="Garamond" w:cs="Times New Roman"/>
          <w:i/>
          <w:iCs/>
          <w:sz w:val="24"/>
          <w:szCs w:val="24"/>
          <w:lang w:val="sq-AL"/>
        </w:rPr>
        <w:t>shumëpartiake</w:t>
      </w:r>
      <w:proofErr w:type="spellEnd"/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, pluralizmit dhe ekonomisë së tregut. Në bazë të </w:t>
      </w:r>
      <w:proofErr w:type="spellStart"/>
      <w:r>
        <w:rPr>
          <w:rFonts w:ascii="Garamond" w:hAnsi="Garamond" w:cs="Times New Roman"/>
          <w:i/>
          <w:iCs/>
          <w:sz w:val="24"/>
          <w:szCs w:val="24"/>
          <w:lang w:val="sq-AL"/>
        </w:rPr>
        <w:t>të</w:t>
      </w:r>
      <w:proofErr w:type="spellEnd"/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njëjtave kushte, qëllimi i Bankës mund të realizohet </w:t>
      </w:r>
      <w:r w:rsidR="00F76B2B">
        <w:rPr>
          <w:rFonts w:ascii="Garamond" w:hAnsi="Garamond" w:cs="Times New Roman"/>
          <w:i/>
          <w:iCs/>
          <w:sz w:val="24"/>
          <w:szCs w:val="24"/>
          <w:lang w:val="sq-AL"/>
        </w:rPr>
        <w:t>gjithashtu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, në: </w:t>
      </w:r>
      <w:r w:rsidRPr="004F7781">
        <w:rPr>
          <w:rFonts w:ascii="Garamond" w:hAnsi="Garamond" w:cs="Times New Roman"/>
          <w:i/>
          <w:iCs/>
          <w:sz w:val="24"/>
          <w:szCs w:val="24"/>
          <w:lang w:val="sq-AL"/>
        </w:rPr>
        <w:t>i.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Mongoli</w:t>
      </w:r>
      <w:r w:rsidR="003E015F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dhe </w:t>
      </w:r>
      <w:proofErr w:type="spellStart"/>
      <w:r w:rsidR="003E015F" w:rsidRPr="003E015F">
        <w:rPr>
          <w:rFonts w:ascii="Garamond" w:hAnsi="Garamond" w:cs="Times New Roman"/>
          <w:i/>
          <w:iCs/>
          <w:sz w:val="24"/>
          <w:szCs w:val="24"/>
          <w:highlight w:val="yellow"/>
          <w:lang w:val="sq-AL"/>
        </w:rPr>
        <w:lastRenderedPageBreak/>
        <w:t>ii</w:t>
      </w:r>
      <w:proofErr w:type="spellEnd"/>
      <w:r w:rsidR="003E015F" w:rsidRPr="003E015F">
        <w:rPr>
          <w:rFonts w:ascii="Garamond" w:hAnsi="Garamond" w:cs="Times New Roman"/>
          <w:i/>
          <w:iCs/>
          <w:sz w:val="24"/>
          <w:szCs w:val="24"/>
          <w:highlight w:val="yellow"/>
          <w:lang w:val="sq-AL"/>
        </w:rPr>
        <w:t>.</w:t>
      </w:r>
      <w:r w:rsidR="003E015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në vendet anëtare të Mesdheut Jugor dhe Lindor; </w:t>
      </w:r>
      <w:r w:rsidRPr="003E015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dhe </w:t>
      </w:r>
      <w:proofErr w:type="spellStart"/>
      <w:r w:rsidRPr="003E015F">
        <w:rPr>
          <w:rFonts w:ascii="Garamond" w:hAnsi="Garamond" w:cs="Times New Roman"/>
          <w:i/>
          <w:iCs/>
          <w:sz w:val="24"/>
          <w:szCs w:val="24"/>
          <w:lang w:val="sq-AL"/>
        </w:rPr>
        <w:t>iii</w:t>
      </w:r>
      <w:proofErr w:type="spellEnd"/>
      <w:r w:rsidRPr="003E015F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një numër i kufizuar vendesh anëtare të Afrikës </w:t>
      </w:r>
      <w:proofErr w:type="spellStart"/>
      <w:r>
        <w:rPr>
          <w:rFonts w:ascii="Garamond" w:hAnsi="Garamond" w:cs="Times New Roman"/>
          <w:i/>
          <w:iCs/>
          <w:sz w:val="24"/>
          <w:szCs w:val="24"/>
          <w:lang w:val="sq-AL"/>
        </w:rPr>
        <w:t>Sub-Sahariane</w:t>
      </w:r>
      <w:proofErr w:type="spellEnd"/>
      <w:r>
        <w:rPr>
          <w:rFonts w:ascii="Garamond" w:hAnsi="Garamond" w:cs="Times New Roman"/>
          <w:i/>
          <w:iCs/>
          <w:sz w:val="24"/>
          <w:szCs w:val="24"/>
          <w:lang w:val="sq-AL"/>
        </w:rPr>
        <w:t>: në secilin rast nënpikat “</w:t>
      </w:r>
      <w:proofErr w:type="spellStart"/>
      <w:r>
        <w:rPr>
          <w:rFonts w:ascii="Garamond" w:hAnsi="Garamond" w:cs="Times New Roman"/>
          <w:i/>
          <w:iCs/>
          <w:sz w:val="24"/>
          <w:szCs w:val="24"/>
          <w:lang w:val="sq-AL"/>
        </w:rPr>
        <w:t>ii</w:t>
      </w:r>
      <w:proofErr w:type="spellEnd"/>
      <w:r>
        <w:rPr>
          <w:rFonts w:ascii="Garamond" w:hAnsi="Garamond" w:cs="Times New Roman"/>
          <w:i/>
          <w:iCs/>
          <w:sz w:val="24"/>
          <w:szCs w:val="24"/>
          <w:lang w:val="sq-AL"/>
        </w:rPr>
        <w:t>” dhe “</w:t>
      </w:r>
      <w:proofErr w:type="spellStart"/>
      <w:r>
        <w:rPr>
          <w:rFonts w:ascii="Garamond" w:hAnsi="Garamond" w:cs="Times New Roman"/>
          <w:i/>
          <w:iCs/>
          <w:sz w:val="24"/>
          <w:szCs w:val="24"/>
          <w:lang w:val="sq-AL"/>
        </w:rPr>
        <w:t>iii</w:t>
      </w:r>
      <w:proofErr w:type="spellEnd"/>
      <w:r>
        <w:rPr>
          <w:rFonts w:ascii="Garamond" w:hAnsi="Garamond" w:cs="Times New Roman"/>
          <w:i/>
          <w:iCs/>
          <w:sz w:val="24"/>
          <w:szCs w:val="24"/>
          <w:lang w:val="sq-AL"/>
        </w:rPr>
        <w:t>”, siç përcaktohet nga Banka me votën pro të jo më pak se dy të treta</w:t>
      </w:r>
      <w:r w:rsidR="00C5669E">
        <w:rPr>
          <w:rFonts w:ascii="Garamond" w:hAnsi="Garamond" w:cs="Times New Roman"/>
          <w:i/>
          <w:iCs/>
          <w:sz w:val="24"/>
          <w:szCs w:val="24"/>
          <w:lang w:val="sq-AL"/>
        </w:rPr>
        <w:t>ve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e </w:t>
      </w:r>
      <w:r w:rsidR="0025400D">
        <w:rPr>
          <w:rFonts w:ascii="Garamond" w:hAnsi="Garamond" w:cs="Times New Roman"/>
          <w:i/>
          <w:iCs/>
          <w:sz w:val="24"/>
          <w:szCs w:val="24"/>
          <w:lang w:val="sq-AL"/>
        </w:rPr>
        <w:t>guvernatorëve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>, që përfaqësojnë jo më pak se tre të katërtat e totalit të fuqisë votuese të anëtarëve. Si rrjedhojë, çdo referencë në këtë Marrëveshje dhe anekset e saj për “vendet e Evropës Qendrore dhe Lindore</w:t>
      </w:r>
      <w:r w:rsidR="0025400D">
        <w:rPr>
          <w:rFonts w:ascii="Garamond" w:hAnsi="Garamond" w:cs="Times New Roman"/>
          <w:i/>
          <w:iCs/>
          <w:sz w:val="24"/>
          <w:szCs w:val="24"/>
          <w:lang w:val="sq-AL"/>
        </w:rPr>
        <w:t>”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>; “vendet nga Evropa Qendrore dhe Lindore”, “vendi (ose vendet) përfitues” ose “vendi anëtar (ose vendet) përfitues” do t’i referohet Mongolisë dhe</w:t>
      </w:r>
      <w:r w:rsidR="0025400D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gjithashtu</w:t>
      </w:r>
      <w:r w:rsidR="0025400D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secilit prej vendeve të tilla të Mesdheut Jugor dhe Lindor dhe të Afrikës </w:t>
      </w:r>
      <w:proofErr w:type="spellStart"/>
      <w:r>
        <w:rPr>
          <w:rFonts w:ascii="Garamond" w:hAnsi="Garamond" w:cs="Times New Roman"/>
          <w:i/>
          <w:iCs/>
          <w:sz w:val="24"/>
          <w:szCs w:val="24"/>
          <w:lang w:val="sq-AL"/>
        </w:rPr>
        <w:t>Sub-Sahariane</w:t>
      </w:r>
      <w:proofErr w:type="spellEnd"/>
      <w:r>
        <w:rPr>
          <w:rFonts w:ascii="Garamond" w:hAnsi="Garamond" w:cs="Times New Roman"/>
          <w:i/>
          <w:iCs/>
          <w:sz w:val="24"/>
          <w:szCs w:val="24"/>
          <w:lang w:val="sq-AL"/>
        </w:rPr>
        <w:t>.”</w:t>
      </w:r>
      <w:r w:rsidR="0025400D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</w:p>
    <w:p w14:paraId="6A01C2CB" w14:textId="7D815DA9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a) Termi “Afrikë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Sub-Sahariane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”</w:t>
      </w:r>
      <w:r w:rsidR="0025400D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siç përcaktohet në </w:t>
      </w:r>
      <w:r w:rsidR="0025400D">
        <w:rPr>
          <w:rFonts w:ascii="Garamond" w:hAnsi="Garamond" w:cs="Times New Roman"/>
          <w:sz w:val="24"/>
          <w:szCs w:val="24"/>
          <w:lang w:val="sq-AL"/>
        </w:rPr>
        <w:t xml:space="preserve">nenin </w:t>
      </w:r>
      <w:r>
        <w:rPr>
          <w:rFonts w:ascii="Garamond" w:hAnsi="Garamond" w:cs="Times New Roman"/>
          <w:sz w:val="24"/>
          <w:szCs w:val="24"/>
          <w:lang w:val="sq-AL"/>
        </w:rPr>
        <w:t xml:space="preserve">1 të Marrëveshjes do të kuptohet se nënkupton rajonin e Afrikës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Sub-Sahariane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që përcaktohet nga Grupi i Bankës Botërore. </w:t>
      </w:r>
    </w:p>
    <w:p w14:paraId="312C902F" w14:textId="7DC93A5B" w:rsidR="003445C3" w:rsidRDefault="003445C3" w:rsidP="003445C3">
      <w:pPr>
        <w:tabs>
          <w:tab w:val="decimal" w:pos="1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b) Kufizimi i numrit të vendeve anëtare të Afrikës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Sub-Sahariane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në të cilat Banka mund të përmbushë qëllimin e saj</w:t>
      </w:r>
      <w:r w:rsidR="008F3F10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siç përcaktohet në </w:t>
      </w:r>
      <w:r w:rsidR="008F3F10">
        <w:rPr>
          <w:rFonts w:ascii="Garamond" w:hAnsi="Garamond" w:cs="Times New Roman"/>
          <w:sz w:val="24"/>
          <w:szCs w:val="24"/>
          <w:lang w:val="sq-AL"/>
        </w:rPr>
        <w:t xml:space="preserve">nenin </w:t>
      </w:r>
      <w:r>
        <w:rPr>
          <w:rFonts w:ascii="Garamond" w:hAnsi="Garamond" w:cs="Times New Roman"/>
          <w:sz w:val="24"/>
          <w:szCs w:val="24"/>
          <w:lang w:val="sq-AL"/>
        </w:rPr>
        <w:t>1 të Marrëveshjes, do të kuptohet në mënyrë që të mundësojë një zgjerim të kufizuar dhe rritës të shtrirjes gjeografike të operacioneve të Bankës, në përputhje me masat dhe mekanizmat e përcaktuar në raportin e Bordit të Drejtorëve</w:t>
      </w:r>
      <w:r w:rsidR="008F3F10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“Ndryshimi i Marrëveshjes për Themelimin e Bankës Evropiane për Rindërtim dhe Zhvillim për të mundësuar zgjerimin e kufizuar dhe rritës të shtrirjes gjeografike të operacioneve të Bankës në Afrikën </w:t>
      </w:r>
      <w:proofErr w:type="spellStart"/>
      <w:r>
        <w:rPr>
          <w:rFonts w:ascii="Garamond" w:hAnsi="Garamond" w:cs="Times New Roman"/>
          <w:i/>
          <w:iCs/>
          <w:sz w:val="24"/>
          <w:szCs w:val="24"/>
          <w:lang w:val="sq-AL"/>
        </w:rPr>
        <w:t>Sub-Saharane</w:t>
      </w:r>
      <w:proofErr w:type="spellEnd"/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dhe Irak”. </w:t>
      </w:r>
      <w:r>
        <w:rPr>
          <w:rFonts w:ascii="Garamond" w:hAnsi="Garamond" w:cs="Times New Roman"/>
          <w:sz w:val="24"/>
          <w:szCs w:val="24"/>
          <w:lang w:val="sq-AL"/>
        </w:rPr>
        <w:t xml:space="preserve">Në këtë kontekst, kërkohet një votë pro prej jo më pak se tre të katërtat e </w:t>
      </w:r>
      <w:r w:rsidR="008F3F10">
        <w:rPr>
          <w:rFonts w:ascii="Garamond" w:hAnsi="Garamond" w:cs="Times New Roman"/>
          <w:sz w:val="24"/>
          <w:szCs w:val="24"/>
          <w:lang w:val="sq-AL"/>
        </w:rPr>
        <w:t xml:space="preserve">guvernatorëve </w:t>
      </w:r>
      <w:r>
        <w:rPr>
          <w:rFonts w:ascii="Garamond" w:hAnsi="Garamond" w:cs="Times New Roman"/>
          <w:sz w:val="24"/>
          <w:szCs w:val="24"/>
          <w:lang w:val="sq-AL"/>
        </w:rPr>
        <w:t>që përfaqësojnë jo më pak se katër të pestat e fuqisë totale votuese të anëtarëve për të miratuar çdo rritje të mëtejsh</w:t>
      </w:r>
      <w:r>
        <w:rPr>
          <w:rFonts w:ascii="Garamond" w:hAnsi="Garamond" w:cs="Times New Roman"/>
          <w:sz w:val="24"/>
          <w:szCs w:val="24"/>
          <w:lang w:val="sq-AL"/>
        </w:rPr>
        <w:t>m</w:t>
      </w:r>
      <w:r>
        <w:rPr>
          <w:rFonts w:ascii="Garamond" w:hAnsi="Garamond" w:cs="Times New Roman"/>
          <w:sz w:val="24"/>
          <w:szCs w:val="24"/>
          <w:lang w:val="sq-AL"/>
        </w:rPr>
        <w:t>e të zgjerimit</w:t>
      </w:r>
      <w:r w:rsidR="008F3F1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5A42867" w14:textId="492C1ED8" w:rsidR="003445C3" w:rsidRDefault="003445C3" w:rsidP="003445C3">
      <w:pPr>
        <w:tabs>
          <w:tab w:val="decimal" w:pos="1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c) </w:t>
      </w:r>
      <w:r>
        <w:rPr>
          <w:rFonts w:ascii="Garamond" w:hAnsi="Garamond" w:cs="Times New Roman"/>
          <w:sz w:val="24"/>
          <w:szCs w:val="24"/>
          <w:lang w:val="sq-AL"/>
        </w:rPr>
        <w:tab/>
        <w:t>Iraku do të përfshihet në rajonin e Mesdheut Jugor dhe Lindor për qëllimet e Marrëveshjes dhe</w:t>
      </w:r>
      <w:r w:rsidR="008F3F10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rrjedhimisht termi “Mesdheu Jugor dhe Lindor”</w:t>
      </w:r>
      <w:r w:rsidR="008F3F10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siç përcaktohet në </w:t>
      </w:r>
      <w:r w:rsidR="008F3F10">
        <w:rPr>
          <w:rFonts w:ascii="Garamond" w:hAnsi="Garamond" w:cs="Times New Roman"/>
          <w:sz w:val="24"/>
          <w:szCs w:val="24"/>
          <w:lang w:val="sq-AL"/>
        </w:rPr>
        <w:t xml:space="preserve">nenin </w:t>
      </w:r>
      <w:r>
        <w:rPr>
          <w:rFonts w:ascii="Garamond" w:hAnsi="Garamond" w:cs="Times New Roman"/>
          <w:sz w:val="24"/>
          <w:szCs w:val="24"/>
          <w:lang w:val="sq-AL"/>
        </w:rPr>
        <w:t>1 të Marrëveshjes, do të kuptohet se nënkupton rajonin që përbëhet nga vendet që kanë një vijë bregdetare në Mesdhe, si dhe Jordani dhe Irak, të cilat janë të integruara ngushtë në këtë rajon.</w:t>
      </w:r>
    </w:p>
    <w:p w14:paraId="55AEBC47" w14:textId="23DB6BF4" w:rsidR="003445C3" w:rsidRDefault="003445C3" w:rsidP="008F3F1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2.</w:t>
      </w:r>
      <w:r>
        <w:rPr>
          <w:rFonts w:ascii="Garamond" w:hAnsi="Garamond" w:cs="Times New Roman"/>
          <w:sz w:val="24"/>
          <w:szCs w:val="24"/>
          <w:lang w:val="sq-AL"/>
        </w:rPr>
        <w:tab/>
        <w:t xml:space="preserve"> Anëtarët e Bankës do të pyeten nëse e pranojnë ndryshimin në fjalë</w:t>
      </w:r>
      <w:r w:rsidR="008F3F10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duke</w:t>
      </w:r>
      <w:r>
        <w:rPr>
          <w:rFonts w:ascii="Garamond" w:hAnsi="Garamond" w:cs="Times New Roman"/>
          <w:sz w:val="24"/>
          <w:szCs w:val="24"/>
          <w:lang w:val="sq-AL"/>
        </w:rPr>
        <w:t>:</w:t>
      </w:r>
      <w:r>
        <w:rPr>
          <w:rFonts w:ascii="Garamond" w:hAnsi="Garamond" w:cs="Times New Roman"/>
          <w:sz w:val="24"/>
          <w:szCs w:val="24"/>
          <w:lang w:val="sq-AL"/>
        </w:rPr>
        <w:t xml:space="preserve"> a)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sz w:val="24"/>
          <w:szCs w:val="24"/>
          <w:lang w:val="sq-AL"/>
        </w:rPr>
        <w:t>ekzekutuar dhe depozituar pranë Bankës një instrument që deklaron se ky anëtar ka pranuar ndryshimin në fjalë</w:t>
      </w:r>
      <w:r w:rsidR="008F3F10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në përputhje me ligjin e tij</w:t>
      </w:r>
      <w:r>
        <w:rPr>
          <w:rFonts w:ascii="Garamond" w:hAnsi="Garamond" w:cs="Times New Roman"/>
          <w:sz w:val="24"/>
          <w:szCs w:val="24"/>
          <w:lang w:val="sq-AL"/>
        </w:rPr>
        <w:t>;</w:t>
      </w:r>
      <w:r>
        <w:rPr>
          <w:rFonts w:ascii="Garamond" w:hAnsi="Garamond" w:cs="Times New Roman"/>
          <w:sz w:val="24"/>
          <w:szCs w:val="24"/>
          <w:lang w:val="sq-AL"/>
        </w:rPr>
        <w:t xml:space="preserve"> dhe b) duke dhënë prova, në formë dhe</w:t>
      </w:r>
      <w:r w:rsidR="008F3F10">
        <w:rPr>
          <w:rFonts w:ascii="Garamond" w:hAnsi="Garamond" w:cs="Times New Roman"/>
          <w:sz w:val="24"/>
          <w:szCs w:val="24"/>
          <w:lang w:val="sq-AL"/>
        </w:rPr>
        <w:t xml:space="preserve"> në</w:t>
      </w:r>
      <w:r>
        <w:rPr>
          <w:rFonts w:ascii="Garamond" w:hAnsi="Garamond" w:cs="Times New Roman"/>
          <w:sz w:val="24"/>
          <w:szCs w:val="24"/>
          <w:lang w:val="sq-AL"/>
        </w:rPr>
        <w:t xml:space="preserve"> thelb të pranueshme për Bankën, që ndryshimi është pranuar dhe instrumenti i pranimit është ekzekutuar dhe depozituar në përputhje me ligjin e atij anëtari.</w:t>
      </w:r>
    </w:p>
    <w:p w14:paraId="2B79C6DC" w14:textId="380F2A5D" w:rsidR="003445C3" w:rsidRDefault="003445C3" w:rsidP="008F3F1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3. </w:t>
      </w:r>
      <w:r>
        <w:rPr>
          <w:rFonts w:ascii="Garamond" w:hAnsi="Garamond" w:cs="Times New Roman"/>
          <w:sz w:val="24"/>
          <w:szCs w:val="24"/>
          <w:lang w:val="sq-AL"/>
        </w:rPr>
        <w:tab/>
        <w:t>Ndryshimi në fjalë do të hyjë në fuqi 3 (tre) muaj pas datës në të cilën Banka u ka konfirmuar zyrtarisht anëtarëve të saj</w:t>
      </w:r>
      <w:r w:rsidR="0031628B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se kërkesat për pranimin e ndryshimit në fjalë, siç parashikohet në </w:t>
      </w:r>
      <w:r w:rsidR="008F3F10">
        <w:rPr>
          <w:rFonts w:ascii="Garamond" w:hAnsi="Garamond" w:cs="Times New Roman"/>
          <w:sz w:val="24"/>
          <w:szCs w:val="24"/>
          <w:lang w:val="sq-AL"/>
        </w:rPr>
        <w:t xml:space="preserve">nenin </w:t>
      </w:r>
      <w:r>
        <w:rPr>
          <w:rFonts w:ascii="Garamond" w:hAnsi="Garamond" w:cs="Times New Roman"/>
          <w:sz w:val="24"/>
          <w:szCs w:val="24"/>
          <w:lang w:val="sq-AL"/>
        </w:rPr>
        <w:t>56 të Marrëveshjes, janë përmbushur.</w:t>
      </w:r>
    </w:p>
    <w:p w14:paraId="79CEC24E" w14:textId="6675C492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(Miratuar në datën 18 maj 2023)</w:t>
      </w:r>
    </w:p>
    <w:p w14:paraId="0C01291E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3932444" w14:textId="3E907C2A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REZOLUTA NR. 260</w:t>
      </w:r>
    </w:p>
    <w:p w14:paraId="5EE2F94D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NDRYSHIM NË NENIN 12.1 TË MARRËVESHJES QË THEMELON BANKËN</w:t>
      </w:r>
    </w:p>
    <w:p w14:paraId="4482EC71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EVROPIANE PËR RINDËRTIM DHE ZHVILLIM PËR HEQJEN E KUFIZIMIT</w:t>
      </w:r>
    </w:p>
    <w:p w14:paraId="6DB59359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TË KAPITALIT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STATUTOR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PËR OPERACIONET E ZAKONSHME</w:t>
      </w:r>
    </w:p>
    <w:p w14:paraId="3EB2C86B" w14:textId="77777777" w:rsidR="0031628B" w:rsidRDefault="0031628B" w:rsidP="003445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9E2B78A" w14:textId="140C80B8" w:rsidR="003445C3" w:rsidRDefault="003445C3" w:rsidP="003162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BORDI I </w:t>
      </w:r>
      <w:r w:rsidR="0031628B">
        <w:rPr>
          <w:rFonts w:ascii="Garamond" w:hAnsi="Garamond" w:cs="Times New Roman"/>
          <w:sz w:val="24"/>
          <w:szCs w:val="24"/>
          <w:lang w:val="sq-AL"/>
        </w:rPr>
        <w:t>GUVERNATORËVE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</w:p>
    <w:p w14:paraId="7F024B0E" w14:textId="77777777" w:rsidR="003445C3" w:rsidRDefault="003445C3" w:rsidP="00891A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Duke pranuar rolin thelbësor të Bankave të Zhvillimit Shumëpalësh (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BZHSH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) në trajtimin e sfidave të shumta urgjente globale;</w:t>
      </w:r>
    </w:p>
    <w:p w14:paraId="160650F3" w14:textId="77777777" w:rsidR="003445C3" w:rsidRDefault="003445C3" w:rsidP="00891A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Duke theksuar ndryshimet e konsiderueshme në praktikat e menaxhimit të kapitalit në sektorin financiar që nga hyrja në fuqi e Marrëveshjes më 28 mars 1991;</w:t>
      </w:r>
    </w:p>
    <w:p w14:paraId="0B5C2D4F" w14:textId="77777777" w:rsidR="003445C3" w:rsidRDefault="003445C3" w:rsidP="00891A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Me dëshirën për të mundësuar përdorimin optimal të kapacitetit të kapitalit të Bankës për të mbështetur Bankën në arritjen e ndikimit të mundshëm maksimal në vendet përfituese të saj;</w:t>
      </w:r>
    </w:p>
    <w:p w14:paraId="6A42D78F" w14:textId="56EFE882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Duke pranuar me kënaqësi rekomandimet me fushë të gjerë veprimi të Rishikimit të Pavarur të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G20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të Kornizave të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Mjaftueshmërisë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së Kapitalit dhe shqyrtimin e kujdesshëm që iu është dhënë atyre nga Banka, përfshirë veçanërisht rekomandimin për të modernizuar qasjen e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BZHSH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-ve për menaxhimin e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mjaftueshmërisë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së kapitalit</w:t>
      </w:r>
      <w:r w:rsidR="004E3993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duke zhvendosur kufijtë e stimulit specifik nga statutet e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BZHSH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-së për kornizat e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mjaftueshmërisë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së kapitalit të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BZHSH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-së në një mënyrë të koordinuar ndërmjet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BZHSH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softHyphen/>
      </w:r>
      <w:r w:rsidR="004E3993">
        <w:rPr>
          <w:rFonts w:ascii="Garamond" w:hAnsi="Garamond" w:cs="Times New Roman"/>
          <w:sz w:val="24"/>
          <w:szCs w:val="24"/>
          <w:lang w:val="sq-AL"/>
        </w:rPr>
        <w:t>-</w:t>
      </w:r>
      <w:r>
        <w:rPr>
          <w:rFonts w:ascii="Garamond" w:hAnsi="Garamond" w:cs="Times New Roman"/>
          <w:sz w:val="24"/>
          <w:szCs w:val="24"/>
          <w:lang w:val="sq-AL"/>
        </w:rPr>
        <w:t>ve;</w:t>
      </w:r>
    </w:p>
    <w:p w14:paraId="21547B11" w14:textId="617D1B98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lastRenderedPageBreak/>
        <w:t>Duke marrë parasysh dhe duke qenë në pajtim me raportin e Bordit të Drejtorëve</w:t>
      </w:r>
      <w:r w:rsidR="005669C0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“Ndryshimi i </w:t>
      </w:r>
      <w:r w:rsidR="005669C0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nenit 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>12.1 të Marrëveshjes për Themelimin e Bankës Evropiane për Rindërtim dhe Zhvillim,</w:t>
      </w:r>
      <w:r w:rsidR="005669C0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me qëllim heqjen e kufizimit të kapitalit </w:t>
      </w:r>
      <w:proofErr w:type="spellStart"/>
      <w:r>
        <w:rPr>
          <w:rFonts w:ascii="Garamond" w:hAnsi="Garamond" w:cs="Times New Roman"/>
          <w:i/>
          <w:iCs/>
          <w:sz w:val="24"/>
          <w:szCs w:val="24"/>
          <w:lang w:val="sq-AL"/>
        </w:rPr>
        <w:t>statutor</w:t>
      </w:r>
      <w:proofErr w:type="spellEnd"/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për operacionet e zakonshme”</w:t>
      </w:r>
      <w:r w:rsidR="005669C0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sz w:val="24"/>
          <w:szCs w:val="24"/>
          <w:lang w:val="sq-AL"/>
        </w:rPr>
        <w:t xml:space="preserve">dhe rekomandimin e tij për të miratuar një ndryshim të </w:t>
      </w:r>
      <w:r w:rsidR="005669C0">
        <w:rPr>
          <w:rFonts w:ascii="Garamond" w:hAnsi="Garamond" w:cs="Times New Roman"/>
          <w:sz w:val="24"/>
          <w:szCs w:val="24"/>
          <w:lang w:val="sq-AL"/>
        </w:rPr>
        <w:t xml:space="preserve">nenit </w:t>
      </w:r>
      <w:r>
        <w:rPr>
          <w:rFonts w:ascii="Garamond" w:hAnsi="Garamond" w:cs="Times New Roman"/>
          <w:sz w:val="24"/>
          <w:szCs w:val="24"/>
          <w:lang w:val="sq-AL"/>
        </w:rPr>
        <w:t xml:space="preserve">12.1 të Marrëveshjes për të hequr kufizimin e kapitalit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statutor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për operacionet e zakonshme; dhe</w:t>
      </w:r>
    </w:p>
    <w:p w14:paraId="41020727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Me mirëkuptimin që Bordi i Drejtorëve do të ruajë një kufi të duhur nominal të stimulit mbi operacionet, të vendosur kundrejt matjeve përkatëse të kapitalit, brenda kuadrit të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mjaftueshmërisë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së kapitalit të Bankës, si pjesë e përgjegjësisë së saj për të mbrojtur qëndrueshmërinë financiare dhe qëndrueshmërinë e Bankës.</w:t>
      </w:r>
    </w:p>
    <w:p w14:paraId="4DDA31CF" w14:textId="77777777" w:rsidR="001C0D63" w:rsidRDefault="001C0D63" w:rsidP="001C0D63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05D9440E" w14:textId="4D6C4685" w:rsidR="003445C3" w:rsidRDefault="003445C3" w:rsidP="00C75B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VENDOS QË:</w:t>
      </w:r>
    </w:p>
    <w:p w14:paraId="066E3823" w14:textId="77777777" w:rsidR="001C0D63" w:rsidRDefault="001C0D63" w:rsidP="003445C3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B147B3D" w14:textId="34A07161" w:rsidR="003445C3" w:rsidRDefault="003445C3" w:rsidP="00131892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1.</w:t>
      </w:r>
      <w:r>
        <w:rPr>
          <w:rFonts w:ascii="Garamond" w:hAnsi="Garamond" w:cs="Times New Roman"/>
          <w:sz w:val="24"/>
          <w:szCs w:val="24"/>
          <w:lang w:val="sq-AL"/>
        </w:rPr>
        <w:tab/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sz w:val="24"/>
          <w:szCs w:val="24"/>
          <w:lang w:val="sq-AL"/>
        </w:rPr>
        <w:t>Neni 12.1 i Marrëveshjes ndryshohet duke fshirë tekstin e saj ekzistues dhe duke paraqitur një tekst të ri</w:t>
      </w:r>
      <w:r w:rsidR="00120541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si më poshtë:</w:t>
      </w:r>
    </w:p>
    <w:p w14:paraId="5BC8CF2A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“Bordi i Drejtorëve do të vendosë dhe ruajë kufijtë e duhur në lidhje me matjet e </w:t>
      </w:r>
      <w:proofErr w:type="spellStart"/>
      <w:r>
        <w:rPr>
          <w:rFonts w:ascii="Garamond" w:hAnsi="Garamond" w:cs="Times New Roman"/>
          <w:i/>
          <w:iCs/>
          <w:sz w:val="24"/>
          <w:szCs w:val="24"/>
          <w:lang w:val="sq-AL"/>
        </w:rPr>
        <w:t>mjaftueshmërisë</w:t>
      </w:r>
      <w:proofErr w:type="spellEnd"/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së kapitalit, në mënyrë që të mbrojë qëndrueshmërinë financiare dhe qëndrueshmërinë e Bankës”.</w:t>
      </w:r>
    </w:p>
    <w:p w14:paraId="41C06FC6" w14:textId="6A67BC32" w:rsidR="003445C3" w:rsidRDefault="003445C3" w:rsidP="003445C3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2.</w:t>
      </w:r>
      <w:r>
        <w:rPr>
          <w:rFonts w:ascii="Garamond" w:hAnsi="Garamond" w:cs="Times New Roman"/>
          <w:sz w:val="24"/>
          <w:szCs w:val="24"/>
          <w:lang w:val="sq-AL"/>
        </w:rPr>
        <w:tab/>
        <w:t xml:space="preserve"> Anëtarët e Bankës do të pyeten nëse e pranojnë ndryshimin në fjalë</w:t>
      </w:r>
      <w:r w:rsidR="008C7684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duke</w:t>
      </w:r>
      <w:r w:rsidR="008C7684">
        <w:rPr>
          <w:rFonts w:ascii="Garamond" w:hAnsi="Garamond" w:cs="Times New Roman"/>
          <w:sz w:val="24"/>
          <w:szCs w:val="24"/>
          <w:lang w:val="sq-AL"/>
        </w:rPr>
        <w:t>:</w:t>
      </w:r>
      <w:r>
        <w:rPr>
          <w:rFonts w:ascii="Garamond" w:hAnsi="Garamond" w:cs="Times New Roman"/>
          <w:sz w:val="24"/>
          <w:szCs w:val="24"/>
          <w:lang w:val="sq-AL"/>
        </w:rPr>
        <w:t xml:space="preserve"> a) ekzekutuar dhe depozituar pranë Bankës një instrument që deklaron se ky anëtar ka pranuar ndryshimin në fjalë në përputhje me ligjin e tij</w:t>
      </w:r>
      <w:r w:rsidR="008C7684">
        <w:rPr>
          <w:rFonts w:ascii="Garamond" w:hAnsi="Garamond" w:cs="Times New Roman"/>
          <w:sz w:val="24"/>
          <w:szCs w:val="24"/>
          <w:lang w:val="sq-AL"/>
        </w:rPr>
        <w:t>;</w:t>
      </w:r>
      <w:r>
        <w:rPr>
          <w:rFonts w:ascii="Garamond" w:hAnsi="Garamond" w:cs="Times New Roman"/>
          <w:sz w:val="24"/>
          <w:szCs w:val="24"/>
          <w:lang w:val="sq-AL"/>
        </w:rPr>
        <w:t xml:space="preserve"> dhe b) duke dhënë prova, në fo</w:t>
      </w:r>
      <w:r w:rsidR="002549F1">
        <w:rPr>
          <w:rFonts w:ascii="Garamond" w:hAnsi="Garamond" w:cs="Times New Roman"/>
          <w:sz w:val="24"/>
          <w:szCs w:val="24"/>
          <w:lang w:val="sq-AL"/>
        </w:rPr>
        <w:t>rm</w:t>
      </w:r>
      <w:r>
        <w:rPr>
          <w:rFonts w:ascii="Garamond" w:hAnsi="Garamond" w:cs="Times New Roman"/>
          <w:sz w:val="24"/>
          <w:szCs w:val="24"/>
          <w:lang w:val="sq-AL"/>
        </w:rPr>
        <w:t>ë dhe thelb të pranueshme për Bankën, që ndryshimi është pranuar dhe instrumenti i pranimit është ekzekutuar dhe depozituar në përputhje me ligjin e atij anëtari</w:t>
      </w:r>
    </w:p>
    <w:p w14:paraId="0E8CDFE4" w14:textId="4450A7E2" w:rsidR="003445C3" w:rsidRDefault="003445C3" w:rsidP="003445C3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3.</w:t>
      </w:r>
      <w:r>
        <w:rPr>
          <w:rFonts w:ascii="Garamond" w:hAnsi="Garamond" w:cs="Times New Roman"/>
          <w:sz w:val="24"/>
          <w:szCs w:val="24"/>
          <w:lang w:val="sq-AL"/>
        </w:rPr>
        <w:tab/>
        <w:t xml:space="preserve"> Ndryshimi në fjalë do të hyjë në fuqi </w:t>
      </w:r>
      <w:r w:rsidR="008C7684">
        <w:rPr>
          <w:rFonts w:ascii="Garamond" w:hAnsi="Garamond" w:cs="Times New Roman"/>
          <w:sz w:val="24"/>
          <w:szCs w:val="24"/>
          <w:lang w:val="sq-AL"/>
        </w:rPr>
        <w:t>3</w:t>
      </w:r>
      <w:r>
        <w:rPr>
          <w:rFonts w:ascii="Garamond" w:hAnsi="Garamond" w:cs="Times New Roman"/>
          <w:sz w:val="24"/>
          <w:szCs w:val="24"/>
          <w:lang w:val="sq-AL"/>
        </w:rPr>
        <w:t xml:space="preserve"> (</w:t>
      </w:r>
      <w:r w:rsidR="008C7684">
        <w:rPr>
          <w:rFonts w:ascii="Garamond" w:hAnsi="Garamond" w:cs="Times New Roman"/>
          <w:sz w:val="24"/>
          <w:szCs w:val="24"/>
          <w:lang w:val="sq-AL"/>
        </w:rPr>
        <w:t>tre</w:t>
      </w:r>
      <w:r>
        <w:rPr>
          <w:rFonts w:ascii="Garamond" w:hAnsi="Garamond" w:cs="Times New Roman"/>
          <w:sz w:val="24"/>
          <w:szCs w:val="24"/>
          <w:lang w:val="sq-AL"/>
        </w:rPr>
        <w:t xml:space="preserve">) muaj pas datës në të cilën Banka u ka konfirmuar zyrtarisht anëtarëve të saj se kërkesat për pranimin e ndryshimit në fjalë, siç parashikohet në </w:t>
      </w:r>
      <w:r w:rsidR="0096679E">
        <w:rPr>
          <w:rFonts w:ascii="Garamond" w:hAnsi="Garamond" w:cs="Times New Roman"/>
          <w:sz w:val="24"/>
          <w:szCs w:val="24"/>
          <w:lang w:val="sq-AL"/>
        </w:rPr>
        <w:t xml:space="preserve">nenin </w:t>
      </w:r>
      <w:r>
        <w:rPr>
          <w:rFonts w:ascii="Garamond" w:hAnsi="Garamond" w:cs="Times New Roman"/>
          <w:sz w:val="24"/>
          <w:szCs w:val="24"/>
          <w:lang w:val="sq-AL"/>
        </w:rPr>
        <w:t>56 të Marrëveshjes, janë përmbushur.</w:t>
      </w:r>
    </w:p>
    <w:p w14:paraId="12F5A16D" w14:textId="77777777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p w14:paraId="4D75E2F4" w14:textId="6D4F36C9" w:rsidR="003445C3" w:rsidRDefault="003445C3" w:rsidP="003445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(Miratuar në datën 18 maj 2023)</w:t>
      </w:r>
    </w:p>
    <w:p w14:paraId="1AFB1D6A" w14:textId="1AD6C6F3" w:rsidR="001355A4" w:rsidRPr="003445C3" w:rsidRDefault="001355A4" w:rsidP="003445C3"/>
    <w:sectPr w:rsidR="001355A4" w:rsidRPr="00344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CC2"/>
    <w:rsid w:val="00022F22"/>
    <w:rsid w:val="000B0650"/>
    <w:rsid w:val="000F74B6"/>
    <w:rsid w:val="00120541"/>
    <w:rsid w:val="001268DA"/>
    <w:rsid w:val="00131892"/>
    <w:rsid w:val="001355A4"/>
    <w:rsid w:val="001C0D63"/>
    <w:rsid w:val="002506E0"/>
    <w:rsid w:val="0025400D"/>
    <w:rsid w:val="002549F1"/>
    <w:rsid w:val="0027326D"/>
    <w:rsid w:val="002F464C"/>
    <w:rsid w:val="0031628B"/>
    <w:rsid w:val="003445C3"/>
    <w:rsid w:val="003E015F"/>
    <w:rsid w:val="00405BF5"/>
    <w:rsid w:val="00420FCC"/>
    <w:rsid w:val="0046708D"/>
    <w:rsid w:val="00472DB9"/>
    <w:rsid w:val="00495544"/>
    <w:rsid w:val="004E3993"/>
    <w:rsid w:val="004F7781"/>
    <w:rsid w:val="005669C0"/>
    <w:rsid w:val="005A6CC2"/>
    <w:rsid w:val="005D34FE"/>
    <w:rsid w:val="0064043D"/>
    <w:rsid w:val="006565BD"/>
    <w:rsid w:val="00680285"/>
    <w:rsid w:val="006E00B7"/>
    <w:rsid w:val="00783BC0"/>
    <w:rsid w:val="007A0C22"/>
    <w:rsid w:val="007A461B"/>
    <w:rsid w:val="00813917"/>
    <w:rsid w:val="00816576"/>
    <w:rsid w:val="00882529"/>
    <w:rsid w:val="00891AED"/>
    <w:rsid w:val="008C7684"/>
    <w:rsid w:val="008C7EE7"/>
    <w:rsid w:val="008F3F10"/>
    <w:rsid w:val="0096679E"/>
    <w:rsid w:val="00A83A65"/>
    <w:rsid w:val="00AD6F91"/>
    <w:rsid w:val="00C5669E"/>
    <w:rsid w:val="00C75B62"/>
    <w:rsid w:val="00CD59AD"/>
    <w:rsid w:val="00D86556"/>
    <w:rsid w:val="00E21F21"/>
    <w:rsid w:val="00E332E1"/>
    <w:rsid w:val="00E8200F"/>
    <w:rsid w:val="00F23FBB"/>
    <w:rsid w:val="00F35A3C"/>
    <w:rsid w:val="00F75CC1"/>
    <w:rsid w:val="00F7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73487"/>
  <w15:chartTrackingRefBased/>
  <w15:docId w15:val="{BBBDC691-F130-409D-9706-F2E044A9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5C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043D"/>
    <w:pPr>
      <w:pBdr>
        <w:top w:val="single" w:sz="6" w:space="0" w:color="auto"/>
        <w:bottom w:val="single" w:sz="6" w:space="0" w:color="auto"/>
        <w:between w:val="single" w:sz="6" w:space="0" w:color="auto"/>
      </w:pBdr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355A4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757</Nr_x002e__x0020_akti>
    <Data_x0020_e_x0020_Krijimit xmlns="0e656187-b300-4fb0-8bf4-3a50f872073c">2023-12-21T15:43:54Z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2023-12-21T00:00:00Z</Date_x0020_protokolli>
    <Titulli xmlns="0e656187-b300-4fb0-8bf4-3a50f872073c">Për miratimin e rezolutave nr. 259, "Ndryshim në nenin 1 të marrëveshjes, që themelon Bankën Evropiane për Rindërtim dhe Zhvillim për mundësimin e një zgjerimi të kufizuar dhe rritës të shtrirjes gjeografike të operacioneve të bankës për Afrikën Sub-Sahariane dhe Irakun", dhe nr. 260, "Ndryshim në nenin 12.1 të marrëveshjes, që themelon Bankën Evropiane për Rindërtim dhe Zhvillim për heqjen e kufizimit të kapitalit statutor për operacionet e zakonshme", të vitit 2023, të bordit të guvernatorëve të Bankës Evropiane për Rindërtim dhe Zhvillim (Berzh)</Titulli>
    <Modifikuesi xmlns="0e656187-b300-4fb0-8bf4-3a50f872073c">alma.lisaku</Modifikuesi>
    <Nr_x002e__x0020_prot_x0020_QBZ xmlns="0e656187-b300-4fb0-8bf4-3a50f872073c">1966</Nr_x002e__x0020_prot_x0020_QBZ>
    <Data_x0020_e_x0020_Modifikimit xmlns="0e656187-b300-4fb0-8bf4-3a50f872073c">2023-12-22T11:42:40Z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5828/2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5BB43FEEBA47438B45E4AC93EEC8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3B47BA4-173C-4FC6-AD4E-912C8F3DD213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A0EF88A-5E7D-4463-8F51-E52A027A14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A418BB-955A-40D5-BA6D-D990E407D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1713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rezolutave nr. 259, "Ndryshim në nenin 1 të marrëveshjes, që themelon Bankën Evropiane për Rindërtim dhe Zhvillim për mundësimin e një zgjerimi të kufizuar dhe rritës të shtrirjes gjeografike të operacioneve të bankës për Afrikën Sub-Sahar</vt:lpstr>
    </vt:vector>
  </TitlesOfParts>
  <Company/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rezolutave nr. 259, "Ndryshim në nenin 1 të marrëveshjes, që themelon Bankën Evropiane për Rindërtim dhe Zhvillim për mundësimin e një zgjerimi të kufizuar dhe rritës të shtrirjes gjeografike të operacioneve të bankës për Afrikën Sub-Sahariane dhe Irakun", dhe nr. 260, "Ndryshim në nenin 12.1 të marrëveshjes, që themelon Bankën Evropiane për Rindërtim dhe Zhvillim për heqjen e kufizimit të kapitalit statutor për operacionet e zakonshme", të vitit 2023, të bordit të guvernatorëve të Bankës Evropiane për Rindërtim dhe Zhvillim (Berzh)</dc:title>
  <dc:creator>Entela Suli</dc:creator>
  <cp:lastModifiedBy>Alma Lisaku</cp:lastModifiedBy>
  <cp:revision>52</cp:revision>
  <dcterms:created xsi:type="dcterms:W3CDTF">2023-12-21T14:42:00Z</dcterms:created>
  <dcterms:modified xsi:type="dcterms:W3CDTF">2023-12-22T12:10:00Z</dcterms:modified>
</cp:coreProperties>
</file>