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AFABEF" w14:textId="77777777" w:rsidR="00145818" w:rsidRPr="00943752" w:rsidRDefault="00145818" w:rsidP="00943752">
      <w:pPr>
        <w:pStyle w:val="BodyA"/>
        <w:jc w:val="center"/>
        <w:rPr>
          <w:rFonts w:ascii="Garamond" w:hAnsi="Garamond"/>
          <w:b/>
          <w:bCs/>
          <w:lang w:val="sq-AL"/>
        </w:rPr>
      </w:pPr>
      <w:r w:rsidRPr="00943752">
        <w:rPr>
          <w:rFonts w:ascii="Garamond" w:hAnsi="Garamond"/>
          <w:b/>
          <w:bCs/>
          <w:lang w:val="sq-AL"/>
        </w:rPr>
        <w:t>VENDIM</w:t>
      </w:r>
    </w:p>
    <w:p w14:paraId="7850DC81" w14:textId="7667E1CC" w:rsidR="00B60D59" w:rsidRPr="00943752" w:rsidRDefault="003555B6" w:rsidP="00943752">
      <w:pPr>
        <w:pStyle w:val="BodyA"/>
        <w:jc w:val="center"/>
        <w:rPr>
          <w:rFonts w:ascii="Garamond" w:hAnsi="Garamond"/>
          <w:b/>
          <w:bCs/>
          <w:lang w:val="sq-AL"/>
        </w:rPr>
      </w:pPr>
      <w:r>
        <w:rPr>
          <w:rFonts w:ascii="Garamond" w:hAnsi="Garamond"/>
          <w:b/>
          <w:bCs/>
          <w:lang w:val="sq-AL"/>
        </w:rPr>
        <w:t>n</w:t>
      </w:r>
      <w:r w:rsidR="00C925FC" w:rsidRPr="00943752">
        <w:rPr>
          <w:rFonts w:ascii="Garamond" w:hAnsi="Garamond"/>
          <w:b/>
          <w:bCs/>
          <w:lang w:val="sq-AL"/>
        </w:rPr>
        <w:t>r</w:t>
      </w:r>
      <w:r w:rsidR="00264F72" w:rsidRPr="00943752">
        <w:rPr>
          <w:rFonts w:ascii="Garamond" w:hAnsi="Garamond"/>
          <w:b/>
          <w:bCs/>
          <w:lang w:val="sq-AL"/>
        </w:rPr>
        <w:t>.</w:t>
      </w:r>
      <w:r>
        <w:rPr>
          <w:rFonts w:ascii="Garamond" w:hAnsi="Garamond"/>
          <w:b/>
          <w:bCs/>
          <w:lang w:val="sq-AL"/>
        </w:rPr>
        <w:t xml:space="preserve"> </w:t>
      </w:r>
      <w:bookmarkStart w:id="0" w:name="_GoBack"/>
      <w:bookmarkEnd w:id="0"/>
      <w:r w:rsidR="00264F72" w:rsidRPr="00943752">
        <w:rPr>
          <w:rFonts w:ascii="Garamond" w:hAnsi="Garamond"/>
          <w:b/>
          <w:bCs/>
          <w:lang w:val="sq-AL"/>
        </w:rPr>
        <w:t>7</w:t>
      </w:r>
      <w:r w:rsidR="006203AE" w:rsidRPr="00943752">
        <w:rPr>
          <w:rFonts w:ascii="Garamond" w:hAnsi="Garamond"/>
          <w:b/>
          <w:bCs/>
          <w:lang w:val="sq-AL"/>
        </w:rPr>
        <w:t>9</w:t>
      </w:r>
      <w:r w:rsidR="00264F72" w:rsidRPr="00943752">
        <w:rPr>
          <w:rFonts w:ascii="Garamond" w:hAnsi="Garamond"/>
          <w:b/>
          <w:bCs/>
          <w:lang w:val="sq-AL"/>
        </w:rPr>
        <w:t>0</w:t>
      </w:r>
      <w:r>
        <w:rPr>
          <w:rFonts w:ascii="Garamond" w:hAnsi="Garamond"/>
          <w:b/>
          <w:bCs/>
          <w:lang w:val="sq-AL"/>
        </w:rPr>
        <w:t>, datë</w:t>
      </w:r>
      <w:r w:rsidR="004D50D8" w:rsidRPr="00943752">
        <w:rPr>
          <w:rFonts w:ascii="Garamond" w:hAnsi="Garamond"/>
          <w:b/>
          <w:bCs/>
          <w:lang w:val="sq-AL"/>
        </w:rPr>
        <w:t xml:space="preserve"> 28.12.2023</w:t>
      </w:r>
    </w:p>
    <w:p w14:paraId="4DE82CE1" w14:textId="5F0E95F8" w:rsidR="00943752" w:rsidRPr="00943752" w:rsidRDefault="00943752" w:rsidP="00943752">
      <w:pPr>
        <w:pStyle w:val="BodyA"/>
        <w:jc w:val="center"/>
        <w:rPr>
          <w:rFonts w:ascii="Garamond" w:hAnsi="Garamond"/>
          <w:b/>
          <w:bCs/>
          <w:smallCaps/>
          <w:spacing w:val="-1"/>
          <w:lang w:val="sq-AL"/>
        </w:rPr>
      </w:pPr>
    </w:p>
    <w:p w14:paraId="20F99D1F" w14:textId="5D96342C" w:rsidR="00943752" w:rsidRPr="00943752" w:rsidRDefault="00943752" w:rsidP="00943752">
      <w:pPr>
        <w:ind w:firstLine="284"/>
        <w:jc w:val="center"/>
        <w:rPr>
          <w:rFonts w:ascii="Garamond" w:hAnsi="Garamond"/>
          <w:b/>
        </w:rPr>
      </w:pPr>
      <w:r w:rsidRPr="00943752">
        <w:rPr>
          <w:rFonts w:ascii="Garamond" w:hAnsi="Garamond"/>
          <w:b/>
        </w:rPr>
        <w:t>PËR MIRATIMIN E PROGRAMIT TË PËRGJITHSHËM ANALITIK</w:t>
      </w:r>
    </w:p>
    <w:p w14:paraId="230D736C" w14:textId="665C70F2" w:rsidR="00943752" w:rsidRPr="00943752" w:rsidRDefault="00943752" w:rsidP="00943752">
      <w:pPr>
        <w:ind w:firstLine="284"/>
        <w:jc w:val="center"/>
        <w:rPr>
          <w:rFonts w:ascii="Garamond" w:hAnsi="Garamond"/>
          <w:b/>
        </w:rPr>
      </w:pPr>
      <w:r w:rsidRPr="00943752">
        <w:rPr>
          <w:rFonts w:ascii="Garamond" w:hAnsi="Garamond"/>
          <w:b/>
        </w:rPr>
        <w:t>TË PROJEKTAKTEVE QË DO TË PARAQITEN PËR SHQYRTIM</w:t>
      </w:r>
    </w:p>
    <w:p w14:paraId="5611C2CF" w14:textId="77777777" w:rsidR="00943752" w:rsidRPr="00943752" w:rsidRDefault="00943752" w:rsidP="00943752">
      <w:pPr>
        <w:ind w:firstLine="284"/>
        <w:jc w:val="center"/>
        <w:rPr>
          <w:rFonts w:ascii="Garamond" w:hAnsi="Garamond"/>
          <w:b/>
        </w:rPr>
      </w:pPr>
      <w:r w:rsidRPr="00943752">
        <w:rPr>
          <w:rFonts w:ascii="Garamond" w:hAnsi="Garamond"/>
          <w:b/>
        </w:rPr>
        <w:t>NË KËSHILLIN E MINISTRAVE GJATË VITIT 2024</w:t>
      </w:r>
    </w:p>
    <w:p w14:paraId="026B7178" w14:textId="77777777" w:rsidR="00943752" w:rsidRPr="00943752" w:rsidRDefault="00943752" w:rsidP="00943752">
      <w:pPr>
        <w:ind w:firstLine="284"/>
        <w:jc w:val="center"/>
        <w:rPr>
          <w:rFonts w:ascii="Garamond" w:hAnsi="Garamond"/>
          <w:b/>
        </w:rPr>
      </w:pPr>
    </w:p>
    <w:p w14:paraId="6EECBC24" w14:textId="5F5781C4" w:rsidR="00943752" w:rsidRPr="00943752" w:rsidRDefault="00943752" w:rsidP="00943752">
      <w:pPr>
        <w:ind w:firstLine="284"/>
        <w:jc w:val="both"/>
        <w:rPr>
          <w:rFonts w:ascii="Garamond" w:hAnsi="Garamond"/>
        </w:rPr>
      </w:pPr>
      <w:r w:rsidRPr="00943752">
        <w:rPr>
          <w:rFonts w:ascii="Garamond" w:hAnsi="Garamond"/>
        </w:rPr>
        <w:t>Në mbështetje të nenit 100 të Kushtetutës dhe të nenit 27, të ligjit nr.9000, datë 30.1.2003, “Për organizimin dhe funksionimin e Këshillit të Ministrave”, me propozimin e Kryeministrit, Këshilli i Ministrave</w:t>
      </w:r>
    </w:p>
    <w:p w14:paraId="4E4201E6" w14:textId="77777777" w:rsidR="00943752" w:rsidRPr="00943752" w:rsidRDefault="00943752" w:rsidP="00943752">
      <w:pPr>
        <w:ind w:firstLine="284"/>
        <w:jc w:val="both"/>
        <w:rPr>
          <w:rFonts w:ascii="Garamond" w:hAnsi="Garamond"/>
        </w:rPr>
      </w:pPr>
    </w:p>
    <w:p w14:paraId="554FC073" w14:textId="5BF2B3FB" w:rsidR="00943752" w:rsidRPr="00943752" w:rsidRDefault="00943752" w:rsidP="00943752">
      <w:pPr>
        <w:ind w:firstLine="284"/>
        <w:jc w:val="center"/>
        <w:rPr>
          <w:rFonts w:ascii="Garamond" w:hAnsi="Garamond"/>
        </w:rPr>
      </w:pPr>
      <w:r w:rsidRPr="00943752">
        <w:rPr>
          <w:rFonts w:ascii="Garamond" w:hAnsi="Garamond"/>
        </w:rPr>
        <w:t>VENDOSI:</w:t>
      </w:r>
    </w:p>
    <w:p w14:paraId="0BC9BAD4" w14:textId="77777777" w:rsidR="00943752" w:rsidRPr="00943752" w:rsidRDefault="00943752" w:rsidP="00943752">
      <w:pPr>
        <w:ind w:firstLine="284"/>
        <w:jc w:val="both"/>
        <w:rPr>
          <w:rFonts w:ascii="Garamond" w:hAnsi="Garamond"/>
        </w:rPr>
      </w:pPr>
    </w:p>
    <w:p w14:paraId="55110C97" w14:textId="77777777" w:rsidR="00943752" w:rsidRPr="00943752" w:rsidRDefault="00943752" w:rsidP="00943752">
      <w:pPr>
        <w:ind w:firstLine="284"/>
        <w:jc w:val="both"/>
        <w:rPr>
          <w:rFonts w:ascii="Garamond" w:hAnsi="Garamond"/>
        </w:rPr>
      </w:pPr>
      <w:r w:rsidRPr="00943752">
        <w:rPr>
          <w:rFonts w:ascii="Garamond" w:hAnsi="Garamond"/>
        </w:rPr>
        <w:t>Miratimin e programit të përgjithshëm analitik të projektakteve që do të paraqiten për shqyrtim në Këshillin e Ministrave gjatë vitit 2024, sipas tabelave që i bashkëlidhen këtij vendimi.</w:t>
      </w:r>
    </w:p>
    <w:p w14:paraId="0EAA64BF" w14:textId="1E30209A" w:rsidR="00943752" w:rsidRPr="00943752" w:rsidRDefault="00943752" w:rsidP="00943752">
      <w:pPr>
        <w:ind w:firstLine="284"/>
        <w:jc w:val="both"/>
        <w:rPr>
          <w:rFonts w:ascii="Garamond" w:hAnsi="Garamond"/>
        </w:rPr>
      </w:pPr>
      <w:r w:rsidRPr="00943752">
        <w:rPr>
          <w:rFonts w:ascii="Garamond" w:hAnsi="Garamond"/>
        </w:rPr>
        <w:t>Ky vendim hyn në fuqi menjëherë dhe botohet në Fletoren Zyrtare.</w:t>
      </w:r>
    </w:p>
    <w:p w14:paraId="39E7A5BD" w14:textId="77777777" w:rsidR="00943752" w:rsidRPr="00943752" w:rsidRDefault="00943752" w:rsidP="00943752">
      <w:pPr>
        <w:ind w:firstLine="284"/>
        <w:jc w:val="both"/>
        <w:rPr>
          <w:rFonts w:ascii="Garamond" w:hAnsi="Garamond"/>
        </w:rPr>
      </w:pPr>
    </w:p>
    <w:p w14:paraId="2CAA8509" w14:textId="74A2564E" w:rsidR="00943752" w:rsidRPr="00943752" w:rsidRDefault="00943752" w:rsidP="00943752">
      <w:pPr>
        <w:ind w:firstLine="284"/>
        <w:jc w:val="right"/>
        <w:rPr>
          <w:rFonts w:ascii="Garamond" w:hAnsi="Garamond"/>
        </w:rPr>
      </w:pPr>
      <w:r>
        <w:rPr>
          <w:rFonts w:ascii="Garamond" w:hAnsi="Garamond"/>
        </w:rPr>
        <w:t>KRYEMINISTËR</w:t>
      </w:r>
    </w:p>
    <w:p w14:paraId="6093D001" w14:textId="1D427B49" w:rsidR="00943752" w:rsidRDefault="00943752" w:rsidP="00943752">
      <w:pPr>
        <w:ind w:firstLine="284"/>
        <w:jc w:val="right"/>
        <w:rPr>
          <w:rFonts w:ascii="Garamond" w:hAnsi="Garamond"/>
          <w:b/>
        </w:rPr>
      </w:pPr>
      <w:r w:rsidRPr="00943752">
        <w:rPr>
          <w:rFonts w:ascii="Garamond" w:hAnsi="Garamond"/>
          <w:b/>
        </w:rPr>
        <w:t>Edi Rama</w:t>
      </w:r>
    </w:p>
    <w:p w14:paraId="1A8067AE" w14:textId="4B162E9D" w:rsidR="00E85315" w:rsidRDefault="00E85315" w:rsidP="00943752">
      <w:pPr>
        <w:ind w:firstLine="284"/>
        <w:jc w:val="right"/>
        <w:rPr>
          <w:rFonts w:ascii="Garamond" w:hAnsi="Garamond"/>
          <w:b/>
        </w:rPr>
      </w:pPr>
    </w:p>
    <w:p w14:paraId="2D0723EA" w14:textId="05F98A8C" w:rsidR="00E85315" w:rsidRDefault="00E85315" w:rsidP="00943752">
      <w:pPr>
        <w:ind w:firstLine="284"/>
        <w:jc w:val="right"/>
        <w:rPr>
          <w:rFonts w:ascii="Garamond" w:hAnsi="Garamond"/>
          <w:b/>
        </w:rPr>
      </w:pPr>
    </w:p>
    <w:p w14:paraId="5144DBB9" w14:textId="59AE3141" w:rsidR="00E85315" w:rsidRDefault="00E85315" w:rsidP="00943752">
      <w:pPr>
        <w:ind w:firstLine="284"/>
        <w:jc w:val="right"/>
        <w:rPr>
          <w:rFonts w:ascii="Garamond" w:hAnsi="Garamond"/>
          <w:b/>
        </w:rPr>
      </w:pPr>
    </w:p>
    <w:p w14:paraId="0AA47DC8" w14:textId="637A1C19" w:rsidR="00E85315" w:rsidRDefault="00E85315" w:rsidP="00943752">
      <w:pPr>
        <w:ind w:firstLine="284"/>
        <w:jc w:val="right"/>
        <w:rPr>
          <w:rFonts w:ascii="Garamond" w:hAnsi="Garamond"/>
          <w:b/>
        </w:rPr>
      </w:pPr>
    </w:p>
    <w:p w14:paraId="5E94DEFF" w14:textId="103BB667" w:rsidR="00E85315" w:rsidRDefault="00E85315" w:rsidP="00943752">
      <w:pPr>
        <w:ind w:firstLine="284"/>
        <w:jc w:val="right"/>
        <w:rPr>
          <w:rFonts w:ascii="Garamond" w:hAnsi="Garamond"/>
          <w:b/>
        </w:rPr>
      </w:pPr>
    </w:p>
    <w:p w14:paraId="5DD1581F" w14:textId="432E7AC6" w:rsidR="00E85315" w:rsidRDefault="00E85315" w:rsidP="00943752">
      <w:pPr>
        <w:ind w:firstLine="284"/>
        <w:jc w:val="right"/>
        <w:rPr>
          <w:rFonts w:ascii="Garamond" w:hAnsi="Garamond"/>
          <w:b/>
        </w:rPr>
      </w:pPr>
    </w:p>
    <w:p w14:paraId="6928CBC7" w14:textId="5D1E86EE" w:rsidR="00E85315" w:rsidRDefault="00E85315" w:rsidP="00943752">
      <w:pPr>
        <w:ind w:firstLine="284"/>
        <w:jc w:val="right"/>
        <w:rPr>
          <w:rFonts w:ascii="Garamond" w:hAnsi="Garamond"/>
          <w:b/>
        </w:rPr>
      </w:pPr>
    </w:p>
    <w:p w14:paraId="772B390A" w14:textId="50383A01" w:rsidR="00E85315" w:rsidRDefault="00E85315" w:rsidP="00943752">
      <w:pPr>
        <w:ind w:firstLine="284"/>
        <w:jc w:val="right"/>
        <w:rPr>
          <w:rFonts w:ascii="Garamond" w:hAnsi="Garamond"/>
          <w:b/>
        </w:rPr>
      </w:pPr>
    </w:p>
    <w:p w14:paraId="18161E7E" w14:textId="239C915B" w:rsidR="00E85315" w:rsidRDefault="00E85315" w:rsidP="00943752">
      <w:pPr>
        <w:ind w:firstLine="284"/>
        <w:jc w:val="right"/>
        <w:rPr>
          <w:rFonts w:ascii="Garamond" w:hAnsi="Garamond"/>
          <w:b/>
        </w:rPr>
      </w:pPr>
    </w:p>
    <w:p w14:paraId="488111C5" w14:textId="1A9397DF" w:rsidR="00E85315" w:rsidRDefault="00E85315" w:rsidP="00943752">
      <w:pPr>
        <w:ind w:firstLine="284"/>
        <w:jc w:val="right"/>
        <w:rPr>
          <w:rFonts w:ascii="Garamond" w:hAnsi="Garamond"/>
          <w:b/>
        </w:rPr>
      </w:pPr>
    </w:p>
    <w:p w14:paraId="2B360FAB" w14:textId="5403DBCD" w:rsidR="00E85315" w:rsidRDefault="00E85315" w:rsidP="00943752">
      <w:pPr>
        <w:ind w:firstLine="284"/>
        <w:jc w:val="right"/>
        <w:rPr>
          <w:rFonts w:ascii="Garamond" w:hAnsi="Garamond"/>
          <w:b/>
        </w:rPr>
      </w:pPr>
    </w:p>
    <w:p w14:paraId="331428A8" w14:textId="27687F10" w:rsidR="00E85315" w:rsidRDefault="00E85315" w:rsidP="00943752">
      <w:pPr>
        <w:ind w:firstLine="284"/>
        <w:jc w:val="right"/>
        <w:rPr>
          <w:rFonts w:ascii="Garamond" w:hAnsi="Garamond"/>
          <w:b/>
        </w:rPr>
      </w:pPr>
    </w:p>
    <w:p w14:paraId="6EDF4DF8" w14:textId="07BF160A" w:rsidR="00E85315" w:rsidRDefault="00E85315" w:rsidP="00943752">
      <w:pPr>
        <w:ind w:firstLine="284"/>
        <w:jc w:val="right"/>
        <w:rPr>
          <w:rFonts w:ascii="Garamond" w:hAnsi="Garamond"/>
          <w:b/>
        </w:rPr>
      </w:pPr>
    </w:p>
    <w:p w14:paraId="48BD2352" w14:textId="1B00E8A4" w:rsidR="00E85315" w:rsidRDefault="00E85315" w:rsidP="00943752">
      <w:pPr>
        <w:ind w:firstLine="284"/>
        <w:jc w:val="right"/>
        <w:rPr>
          <w:rFonts w:ascii="Garamond" w:hAnsi="Garamond"/>
          <w:b/>
        </w:rPr>
      </w:pPr>
    </w:p>
    <w:p w14:paraId="0CE9ABFB" w14:textId="7B776BD6" w:rsidR="00E85315" w:rsidRDefault="00E85315" w:rsidP="00943752">
      <w:pPr>
        <w:ind w:firstLine="284"/>
        <w:jc w:val="right"/>
        <w:rPr>
          <w:rFonts w:ascii="Garamond" w:hAnsi="Garamond"/>
          <w:b/>
        </w:rPr>
      </w:pPr>
    </w:p>
    <w:p w14:paraId="2F70DEAA" w14:textId="181AE538" w:rsidR="00E85315" w:rsidRDefault="00E85315" w:rsidP="00943752">
      <w:pPr>
        <w:ind w:firstLine="284"/>
        <w:jc w:val="right"/>
        <w:rPr>
          <w:rFonts w:ascii="Garamond" w:hAnsi="Garamond"/>
          <w:b/>
        </w:rPr>
      </w:pPr>
    </w:p>
    <w:p w14:paraId="5AD8576E" w14:textId="389EF8BE" w:rsidR="00E85315" w:rsidRDefault="00E85315" w:rsidP="00943752">
      <w:pPr>
        <w:ind w:firstLine="284"/>
        <w:jc w:val="right"/>
        <w:rPr>
          <w:rFonts w:ascii="Garamond" w:hAnsi="Garamond"/>
          <w:b/>
        </w:rPr>
      </w:pPr>
    </w:p>
    <w:p w14:paraId="45B96C70" w14:textId="7581CF3D" w:rsidR="00E85315" w:rsidRDefault="00E85315" w:rsidP="00943752">
      <w:pPr>
        <w:ind w:firstLine="284"/>
        <w:jc w:val="right"/>
        <w:rPr>
          <w:rFonts w:ascii="Garamond" w:hAnsi="Garamond"/>
          <w:b/>
        </w:rPr>
      </w:pPr>
    </w:p>
    <w:p w14:paraId="0FF84D1A" w14:textId="43B28E53" w:rsidR="00E85315" w:rsidRDefault="00E85315" w:rsidP="00943752">
      <w:pPr>
        <w:ind w:firstLine="284"/>
        <w:jc w:val="right"/>
        <w:rPr>
          <w:rFonts w:ascii="Garamond" w:hAnsi="Garamond"/>
          <w:b/>
        </w:rPr>
      </w:pPr>
    </w:p>
    <w:p w14:paraId="340AE29D" w14:textId="20A4806C" w:rsidR="00E85315" w:rsidRDefault="00E85315" w:rsidP="00943752">
      <w:pPr>
        <w:ind w:firstLine="284"/>
        <w:jc w:val="right"/>
        <w:rPr>
          <w:rFonts w:ascii="Garamond" w:hAnsi="Garamond"/>
          <w:b/>
        </w:rPr>
      </w:pPr>
    </w:p>
    <w:p w14:paraId="61DF6B7A" w14:textId="532B02A8" w:rsidR="00E85315" w:rsidRDefault="00E85315" w:rsidP="00943752">
      <w:pPr>
        <w:ind w:firstLine="284"/>
        <w:jc w:val="right"/>
        <w:rPr>
          <w:rFonts w:ascii="Garamond" w:hAnsi="Garamond"/>
          <w:b/>
        </w:rPr>
      </w:pPr>
    </w:p>
    <w:p w14:paraId="3411D0FB" w14:textId="2A8B00E1" w:rsidR="00E85315" w:rsidRDefault="00E85315" w:rsidP="00943752">
      <w:pPr>
        <w:ind w:firstLine="284"/>
        <w:jc w:val="right"/>
        <w:rPr>
          <w:rFonts w:ascii="Garamond" w:hAnsi="Garamond"/>
          <w:b/>
        </w:rPr>
      </w:pPr>
    </w:p>
    <w:p w14:paraId="31AD8D75" w14:textId="6A18938C" w:rsidR="00E85315" w:rsidRDefault="00E85315" w:rsidP="00943752">
      <w:pPr>
        <w:ind w:firstLine="284"/>
        <w:jc w:val="right"/>
        <w:rPr>
          <w:rFonts w:ascii="Garamond" w:hAnsi="Garamond"/>
          <w:b/>
        </w:rPr>
      </w:pPr>
    </w:p>
    <w:p w14:paraId="4BE15E17" w14:textId="1FE37857" w:rsidR="00E85315" w:rsidRDefault="00E85315" w:rsidP="00943752">
      <w:pPr>
        <w:ind w:firstLine="284"/>
        <w:jc w:val="right"/>
        <w:rPr>
          <w:rFonts w:ascii="Garamond" w:hAnsi="Garamond"/>
          <w:b/>
        </w:rPr>
      </w:pPr>
    </w:p>
    <w:p w14:paraId="748C6F3A" w14:textId="4A940B2A" w:rsidR="00E85315" w:rsidRDefault="00E85315" w:rsidP="00943752">
      <w:pPr>
        <w:ind w:firstLine="284"/>
        <w:jc w:val="right"/>
        <w:rPr>
          <w:rFonts w:ascii="Garamond" w:hAnsi="Garamond"/>
          <w:b/>
        </w:rPr>
      </w:pPr>
    </w:p>
    <w:p w14:paraId="2C7D3748" w14:textId="5ABE83A5" w:rsidR="00E85315" w:rsidRDefault="00E85315" w:rsidP="00943752">
      <w:pPr>
        <w:ind w:firstLine="284"/>
        <w:jc w:val="right"/>
        <w:rPr>
          <w:rFonts w:ascii="Garamond" w:hAnsi="Garamond"/>
          <w:b/>
        </w:rPr>
      </w:pPr>
    </w:p>
    <w:p w14:paraId="59CD3D83" w14:textId="31BDABFF" w:rsidR="00E85315" w:rsidRDefault="00E85315" w:rsidP="00943752">
      <w:pPr>
        <w:ind w:firstLine="284"/>
        <w:jc w:val="right"/>
        <w:rPr>
          <w:rFonts w:ascii="Garamond" w:hAnsi="Garamond"/>
          <w:b/>
        </w:rPr>
      </w:pPr>
    </w:p>
    <w:p w14:paraId="60FC7D5F" w14:textId="77777777" w:rsidR="00E85315" w:rsidRDefault="00E85315" w:rsidP="00943752">
      <w:pPr>
        <w:ind w:firstLine="284"/>
        <w:jc w:val="right"/>
        <w:rPr>
          <w:rFonts w:ascii="Garamond" w:hAnsi="Garamond"/>
          <w:b/>
        </w:rPr>
        <w:sectPr w:rsidR="00E85315" w:rsidSect="009F3407">
          <w:footerReference w:type="default" r:id="rId13"/>
          <w:pgSz w:w="11906" w:h="16838" w:code="9"/>
          <w:pgMar w:top="1440" w:right="1440" w:bottom="1440" w:left="1440" w:header="720" w:footer="720" w:gutter="0"/>
          <w:cols w:space="720"/>
          <w:docGrid w:linePitch="326"/>
        </w:sectPr>
      </w:pPr>
    </w:p>
    <w:tbl>
      <w:tblPr>
        <w:tblW w:w="9360" w:type="dxa"/>
        <w:jc w:val="center"/>
        <w:tblLook w:val="04A0" w:firstRow="1" w:lastRow="0" w:firstColumn="1" w:lastColumn="0" w:noHBand="0" w:noVBand="1"/>
      </w:tblPr>
      <w:tblGrid>
        <w:gridCol w:w="383"/>
        <w:gridCol w:w="1057"/>
        <w:gridCol w:w="977"/>
        <w:gridCol w:w="2010"/>
        <w:gridCol w:w="830"/>
        <w:gridCol w:w="1564"/>
        <w:gridCol w:w="1617"/>
        <w:gridCol w:w="989"/>
        <w:gridCol w:w="1317"/>
        <w:gridCol w:w="997"/>
        <w:gridCol w:w="1110"/>
      </w:tblGrid>
      <w:tr w:rsidR="00F622DE" w:rsidRPr="00F622DE" w14:paraId="4CC5CB0A" w14:textId="77777777" w:rsidTr="00F622DE">
        <w:trPr>
          <w:trHeight w:val="180"/>
          <w:jc w:val="center"/>
        </w:trPr>
        <w:tc>
          <w:tcPr>
            <w:tcW w:w="9360" w:type="dxa"/>
            <w:gridSpan w:val="11"/>
            <w:tcBorders>
              <w:top w:val="single" w:sz="4" w:space="0" w:color="FFFFFF"/>
              <w:left w:val="nil"/>
              <w:bottom w:val="single" w:sz="4" w:space="0" w:color="FFFFFF"/>
              <w:right w:val="nil"/>
            </w:tcBorders>
            <w:shd w:val="clear" w:color="000000" w:fill="F2F2F2"/>
            <w:vAlign w:val="center"/>
            <w:hideMark/>
          </w:tcPr>
          <w:p w14:paraId="623CAD0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F622DE">
              <w:rPr>
                <w:rFonts w:ascii="Arial" w:eastAsia="Times New Roman" w:hAnsi="Arial" w:cs="Arial"/>
                <w:b/>
                <w:bCs/>
                <w:color w:val="000000"/>
                <w:sz w:val="12"/>
                <w:szCs w:val="12"/>
                <w:bdr w:val="none" w:sz="0" w:space="0" w:color="auto"/>
              </w:rPr>
              <w:lastRenderedPageBreak/>
              <w:t>Programi i Përgjithshëm Analitik i Projektakteve për vitin 2024</w:t>
            </w:r>
          </w:p>
        </w:tc>
      </w:tr>
      <w:tr w:rsidR="00F622DE" w:rsidRPr="00F622DE" w14:paraId="56574D5E" w14:textId="77777777" w:rsidTr="00F622DE">
        <w:trPr>
          <w:trHeight w:val="180"/>
          <w:jc w:val="center"/>
        </w:trPr>
        <w:tc>
          <w:tcPr>
            <w:tcW w:w="9360" w:type="dxa"/>
            <w:gridSpan w:val="11"/>
            <w:tcBorders>
              <w:top w:val="single" w:sz="4" w:space="0" w:color="FFFFFF"/>
              <w:left w:val="nil"/>
              <w:bottom w:val="nil"/>
              <w:right w:val="nil"/>
            </w:tcBorders>
            <w:shd w:val="clear" w:color="000000" w:fill="F2F2F2"/>
            <w:vAlign w:val="center"/>
            <w:hideMark/>
          </w:tcPr>
          <w:p w14:paraId="5B0B2A0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F622DE">
              <w:rPr>
                <w:rFonts w:ascii="Arial" w:eastAsia="Times New Roman" w:hAnsi="Arial" w:cs="Arial"/>
                <w:b/>
                <w:bCs/>
                <w:color w:val="000000"/>
                <w:sz w:val="12"/>
                <w:szCs w:val="12"/>
                <w:bdr w:val="none" w:sz="0" w:space="0" w:color="auto"/>
              </w:rPr>
              <w:t>Kryeministri - Zëvendëskryeministri</w:t>
            </w:r>
          </w:p>
        </w:tc>
      </w:tr>
      <w:tr w:rsidR="00F622DE" w:rsidRPr="00F622DE" w14:paraId="38EDC320" w14:textId="77777777" w:rsidTr="00F622DE">
        <w:trPr>
          <w:trHeight w:val="180"/>
          <w:jc w:val="center"/>
        </w:trPr>
        <w:tc>
          <w:tcPr>
            <w:tcW w:w="168" w:type="dxa"/>
            <w:tcBorders>
              <w:top w:val="single" w:sz="8" w:space="0" w:color="auto"/>
              <w:left w:val="single" w:sz="8" w:space="0" w:color="auto"/>
              <w:bottom w:val="nil"/>
              <w:right w:val="nil"/>
            </w:tcBorders>
            <w:shd w:val="clear" w:color="000000" w:fill="C00000"/>
            <w:vAlign w:val="center"/>
            <w:hideMark/>
          </w:tcPr>
          <w:p w14:paraId="6E3FE34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Nr.</w:t>
            </w:r>
          </w:p>
        </w:tc>
        <w:tc>
          <w:tcPr>
            <w:tcW w:w="722" w:type="dxa"/>
            <w:tcBorders>
              <w:top w:val="single" w:sz="8" w:space="0" w:color="auto"/>
              <w:left w:val="single" w:sz="4" w:space="0" w:color="FFFFFF"/>
              <w:bottom w:val="nil"/>
              <w:right w:val="single" w:sz="4" w:space="0" w:color="FFFFFF"/>
            </w:tcBorders>
            <w:shd w:val="clear" w:color="000000" w:fill="C00000"/>
            <w:vAlign w:val="center"/>
            <w:hideMark/>
          </w:tcPr>
          <w:p w14:paraId="23FF8D6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Titulli i projektaktit</w:t>
            </w:r>
          </w:p>
        </w:tc>
        <w:tc>
          <w:tcPr>
            <w:tcW w:w="670" w:type="dxa"/>
            <w:tcBorders>
              <w:top w:val="single" w:sz="8" w:space="0" w:color="auto"/>
              <w:left w:val="nil"/>
              <w:bottom w:val="nil"/>
              <w:right w:val="single" w:sz="4" w:space="0" w:color="FFFFFF"/>
            </w:tcBorders>
            <w:shd w:val="clear" w:color="000000" w:fill="C00000"/>
            <w:vAlign w:val="center"/>
            <w:hideMark/>
          </w:tcPr>
          <w:p w14:paraId="1DE0D4F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Lloji i projektaktit</w:t>
            </w:r>
          </w:p>
        </w:tc>
        <w:tc>
          <w:tcPr>
            <w:tcW w:w="1573" w:type="dxa"/>
            <w:tcBorders>
              <w:top w:val="single" w:sz="8" w:space="0" w:color="auto"/>
              <w:left w:val="nil"/>
              <w:bottom w:val="nil"/>
              <w:right w:val="nil"/>
            </w:tcBorders>
            <w:shd w:val="clear" w:color="000000" w:fill="C00000"/>
            <w:vAlign w:val="center"/>
            <w:hideMark/>
          </w:tcPr>
          <w:p w14:paraId="555760D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Ministri propozues</w:t>
            </w:r>
          </w:p>
        </w:tc>
        <w:tc>
          <w:tcPr>
            <w:tcW w:w="678" w:type="dxa"/>
            <w:tcBorders>
              <w:top w:val="single" w:sz="8" w:space="0" w:color="auto"/>
              <w:left w:val="single" w:sz="4" w:space="0" w:color="FFFFFF"/>
              <w:bottom w:val="nil"/>
              <w:right w:val="nil"/>
            </w:tcBorders>
            <w:shd w:val="clear" w:color="000000" w:fill="C00000"/>
            <w:vAlign w:val="center"/>
            <w:hideMark/>
          </w:tcPr>
          <w:p w14:paraId="142C33F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Katër mujori</w:t>
            </w:r>
          </w:p>
        </w:tc>
        <w:tc>
          <w:tcPr>
            <w:tcW w:w="1180" w:type="dxa"/>
            <w:tcBorders>
              <w:top w:val="single" w:sz="8" w:space="0" w:color="auto"/>
              <w:left w:val="single" w:sz="4" w:space="0" w:color="FFFFFF"/>
              <w:bottom w:val="nil"/>
              <w:right w:val="nil"/>
            </w:tcBorders>
            <w:shd w:val="clear" w:color="000000" w:fill="C00000"/>
            <w:vAlign w:val="center"/>
            <w:hideMark/>
          </w:tcPr>
          <w:p w14:paraId="7ED336B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Arsyet kryesore për propozimin e projektaktit</w:t>
            </w:r>
          </w:p>
        </w:tc>
        <w:tc>
          <w:tcPr>
            <w:tcW w:w="1233" w:type="dxa"/>
            <w:tcBorders>
              <w:top w:val="single" w:sz="8" w:space="0" w:color="auto"/>
              <w:left w:val="single" w:sz="4" w:space="0" w:color="FFFFFF"/>
              <w:bottom w:val="nil"/>
              <w:right w:val="single" w:sz="4" w:space="0" w:color="FFFFFF"/>
            </w:tcBorders>
            <w:shd w:val="clear" w:color="000000" w:fill="C00000"/>
            <w:vAlign w:val="center"/>
            <w:hideMark/>
          </w:tcPr>
          <w:p w14:paraId="07E7FBF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 xml:space="preserve">Çështjet kryesore që parashikon të rregullojë projektakti </w:t>
            </w:r>
          </w:p>
        </w:tc>
        <w:tc>
          <w:tcPr>
            <w:tcW w:w="701" w:type="dxa"/>
            <w:tcBorders>
              <w:top w:val="single" w:sz="8" w:space="0" w:color="auto"/>
              <w:left w:val="nil"/>
              <w:bottom w:val="nil"/>
              <w:right w:val="single" w:sz="4" w:space="0" w:color="FFFFFF"/>
            </w:tcBorders>
            <w:shd w:val="clear" w:color="000000" w:fill="C00000"/>
            <w:vAlign w:val="center"/>
            <w:hideMark/>
          </w:tcPr>
          <w:p w14:paraId="69B98CE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A është parashikuar projektakti në PKIE?</w:t>
            </w:r>
            <w:r w:rsidRPr="00F622DE">
              <w:rPr>
                <w:rFonts w:ascii="Arial" w:eastAsia="Times New Roman" w:hAnsi="Arial" w:cs="Arial"/>
                <w:b/>
                <w:bCs/>
                <w:color w:val="FFFFFF"/>
                <w:sz w:val="12"/>
                <w:szCs w:val="12"/>
                <w:bdr w:val="none" w:sz="0" w:space="0" w:color="auto"/>
              </w:rPr>
              <w:br/>
            </w:r>
            <w:r w:rsidRPr="00F622DE">
              <w:rPr>
                <w:rFonts w:ascii="Arial" w:eastAsia="Times New Roman" w:hAnsi="Arial" w:cs="Arial"/>
                <w:b/>
                <w:bCs/>
                <w:color w:val="FFFFFF"/>
                <w:sz w:val="12"/>
                <w:szCs w:val="12"/>
                <w:bdr w:val="none" w:sz="0" w:space="0" w:color="auto"/>
              </w:rPr>
              <w:br/>
              <w:t>Nëse po, të specifikohet kapitulli përkatës</w:t>
            </w:r>
          </w:p>
        </w:tc>
        <w:tc>
          <w:tcPr>
            <w:tcW w:w="971" w:type="dxa"/>
            <w:tcBorders>
              <w:top w:val="single" w:sz="8" w:space="0" w:color="auto"/>
              <w:left w:val="nil"/>
              <w:bottom w:val="nil"/>
              <w:right w:val="single" w:sz="4" w:space="0" w:color="FFFFFF"/>
            </w:tcBorders>
            <w:shd w:val="clear" w:color="000000" w:fill="C00000"/>
            <w:vAlign w:val="center"/>
            <w:hideMark/>
          </w:tcPr>
          <w:p w14:paraId="0E5EEB1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Përputhshmëria e projektaktit me programin politik qeverisës 2021-2025</w:t>
            </w:r>
            <w:r w:rsidRPr="00F622DE">
              <w:rPr>
                <w:rFonts w:ascii="Arial" w:eastAsia="Times New Roman" w:hAnsi="Arial" w:cs="Arial"/>
                <w:b/>
                <w:bCs/>
                <w:color w:val="FFFFFF"/>
                <w:sz w:val="12"/>
                <w:szCs w:val="12"/>
                <w:bdr w:val="none" w:sz="0" w:space="0" w:color="auto"/>
              </w:rPr>
              <w:br/>
            </w:r>
            <w:r w:rsidRPr="00F622DE">
              <w:rPr>
                <w:rFonts w:ascii="Arial" w:eastAsia="Times New Roman" w:hAnsi="Arial" w:cs="Arial"/>
                <w:b/>
                <w:bCs/>
                <w:color w:val="FFFFFF"/>
                <w:sz w:val="12"/>
                <w:szCs w:val="12"/>
                <w:bdr w:val="none" w:sz="0" w:space="0" w:color="auto"/>
              </w:rPr>
              <w:br/>
              <w:t>Nëse përputhet, të jepet  referenca e saktë në progam</w:t>
            </w:r>
          </w:p>
        </w:tc>
        <w:tc>
          <w:tcPr>
            <w:tcW w:w="674" w:type="dxa"/>
            <w:tcBorders>
              <w:top w:val="single" w:sz="8" w:space="0" w:color="auto"/>
              <w:left w:val="nil"/>
              <w:bottom w:val="nil"/>
              <w:right w:val="single" w:sz="4" w:space="0" w:color="FFFFFF"/>
            </w:tcBorders>
            <w:shd w:val="clear" w:color="000000" w:fill="C00000"/>
            <w:vAlign w:val="center"/>
            <w:hideMark/>
          </w:tcPr>
          <w:p w14:paraId="6A6D5FD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Lidhja e projektaktit me strategjitë kombëtare dhe sektoriale</w:t>
            </w:r>
            <w:r w:rsidRPr="00F622DE">
              <w:rPr>
                <w:rFonts w:ascii="Arial" w:eastAsia="Times New Roman" w:hAnsi="Arial" w:cs="Arial"/>
                <w:b/>
                <w:bCs/>
                <w:color w:val="FFFFFF"/>
                <w:sz w:val="12"/>
                <w:szCs w:val="12"/>
                <w:bdr w:val="none" w:sz="0" w:space="0" w:color="auto"/>
              </w:rPr>
              <w:br/>
            </w:r>
            <w:r w:rsidRPr="00F622DE">
              <w:rPr>
                <w:rFonts w:ascii="Arial" w:eastAsia="Times New Roman" w:hAnsi="Arial" w:cs="Arial"/>
                <w:b/>
                <w:bCs/>
                <w:color w:val="FFFFFF"/>
                <w:sz w:val="12"/>
                <w:szCs w:val="12"/>
                <w:bdr w:val="none" w:sz="0" w:space="0" w:color="auto"/>
              </w:rPr>
              <w:br/>
              <w:t>Nëse lidhet, të specifikohen strategjitë</w:t>
            </w:r>
          </w:p>
        </w:tc>
        <w:tc>
          <w:tcPr>
            <w:tcW w:w="790" w:type="dxa"/>
            <w:tcBorders>
              <w:top w:val="single" w:sz="8" w:space="0" w:color="auto"/>
              <w:left w:val="nil"/>
              <w:bottom w:val="nil"/>
              <w:right w:val="nil"/>
            </w:tcBorders>
            <w:shd w:val="clear" w:color="000000" w:fill="C00000"/>
            <w:vAlign w:val="center"/>
            <w:hideMark/>
          </w:tcPr>
          <w:p w14:paraId="0101B0F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622DE">
              <w:rPr>
                <w:rFonts w:ascii="Arial" w:eastAsia="Times New Roman" w:hAnsi="Arial" w:cs="Arial"/>
                <w:b/>
                <w:bCs/>
                <w:color w:val="FFFFFF"/>
                <w:sz w:val="12"/>
                <w:szCs w:val="12"/>
                <w:bdr w:val="none" w:sz="0" w:space="0" w:color="auto"/>
              </w:rPr>
              <w:t>Ndikimet e mundshme ekonomike, financiare, sociale dhe mjedisore</w:t>
            </w:r>
            <w:r w:rsidRPr="00F622DE">
              <w:rPr>
                <w:rFonts w:ascii="Arial" w:eastAsia="Times New Roman" w:hAnsi="Arial" w:cs="Arial"/>
                <w:b/>
                <w:bCs/>
                <w:color w:val="FFFFFF"/>
                <w:sz w:val="12"/>
                <w:szCs w:val="12"/>
                <w:bdr w:val="none" w:sz="0" w:space="0" w:color="auto"/>
              </w:rPr>
              <w:br/>
            </w:r>
            <w:r w:rsidRPr="00F622DE">
              <w:rPr>
                <w:rFonts w:ascii="Arial" w:eastAsia="Times New Roman" w:hAnsi="Arial" w:cs="Arial"/>
                <w:b/>
                <w:bCs/>
                <w:color w:val="FFFFFF"/>
                <w:sz w:val="12"/>
                <w:szCs w:val="12"/>
                <w:bdr w:val="none" w:sz="0" w:space="0" w:color="auto"/>
              </w:rPr>
              <w:br/>
              <w:t xml:space="preserve">Përgjigjuni me Po/Jo për ndikimet përkatëse </w:t>
            </w:r>
          </w:p>
        </w:tc>
      </w:tr>
      <w:tr w:rsidR="00F622DE" w:rsidRPr="00F622DE" w14:paraId="02D1C77B" w14:textId="77777777" w:rsidTr="00F622DE">
        <w:trPr>
          <w:trHeight w:val="180"/>
          <w:jc w:val="center"/>
        </w:trPr>
        <w:tc>
          <w:tcPr>
            <w:tcW w:w="1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3779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w:t>
            </w:r>
          </w:p>
        </w:tc>
        <w:tc>
          <w:tcPr>
            <w:tcW w:w="722" w:type="dxa"/>
            <w:tcBorders>
              <w:top w:val="single" w:sz="4" w:space="0" w:color="auto"/>
              <w:left w:val="nil"/>
              <w:bottom w:val="single" w:sz="4" w:space="0" w:color="auto"/>
              <w:right w:val="single" w:sz="4" w:space="0" w:color="auto"/>
            </w:tcBorders>
            <w:shd w:val="clear" w:color="auto" w:fill="auto"/>
            <w:vAlign w:val="center"/>
            <w:hideMark/>
          </w:tcPr>
          <w:p w14:paraId="46EFE6C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Projektlgji " Per sigurine kibernetike"</w:t>
            </w:r>
          </w:p>
        </w:tc>
        <w:tc>
          <w:tcPr>
            <w:tcW w:w="670" w:type="dxa"/>
            <w:tcBorders>
              <w:top w:val="single" w:sz="4" w:space="0" w:color="auto"/>
              <w:left w:val="nil"/>
              <w:bottom w:val="single" w:sz="4" w:space="0" w:color="auto"/>
              <w:right w:val="single" w:sz="4" w:space="0" w:color="auto"/>
            </w:tcBorders>
            <w:shd w:val="clear" w:color="auto" w:fill="auto"/>
            <w:vAlign w:val="center"/>
            <w:hideMark/>
          </w:tcPr>
          <w:p w14:paraId="7C750AA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Projektligj</w:t>
            </w:r>
          </w:p>
        </w:tc>
        <w:tc>
          <w:tcPr>
            <w:tcW w:w="1573" w:type="dxa"/>
            <w:tcBorders>
              <w:top w:val="single" w:sz="4" w:space="0" w:color="auto"/>
              <w:left w:val="nil"/>
              <w:bottom w:val="single" w:sz="4" w:space="0" w:color="auto"/>
              <w:right w:val="single" w:sz="4" w:space="0" w:color="auto"/>
            </w:tcBorders>
            <w:shd w:val="clear" w:color="auto" w:fill="auto"/>
            <w:vAlign w:val="center"/>
            <w:hideMark/>
          </w:tcPr>
          <w:p w14:paraId="31258E0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Kryeministri-Zëvendëskryeministri (ACESK)</w:t>
            </w:r>
          </w:p>
        </w:tc>
        <w:tc>
          <w:tcPr>
            <w:tcW w:w="678" w:type="dxa"/>
            <w:tcBorders>
              <w:top w:val="single" w:sz="4" w:space="0" w:color="auto"/>
              <w:left w:val="nil"/>
              <w:bottom w:val="single" w:sz="4" w:space="0" w:color="auto"/>
              <w:right w:val="single" w:sz="4" w:space="0" w:color="auto"/>
            </w:tcBorders>
            <w:shd w:val="clear" w:color="auto" w:fill="auto"/>
            <w:noWrap/>
            <w:vAlign w:val="center"/>
            <w:hideMark/>
          </w:tcPr>
          <w:p w14:paraId="08C60CE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0E94DB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Permiresimi I kuadrit ligjor aktual ne fushen e sigurise kibernetike si dhe perafrimi I legjislacionit me acuqui te BE-se Direktiva (BE) 2022/2555 e Parlamentit Evropian dhe e Këshillit</w:t>
            </w:r>
            <w:r w:rsidRPr="00F622DE">
              <w:rPr>
                <w:rFonts w:ascii="Arial" w:eastAsia="Times New Roman" w:hAnsi="Arial" w:cs="Arial"/>
                <w:color w:val="000000"/>
                <w:sz w:val="12"/>
                <w:szCs w:val="12"/>
                <w:bdr w:val="none" w:sz="0" w:space="0" w:color="auto"/>
              </w:rPr>
              <w:br/>
              <w:t>e 14 dhjetorit 2022 mbi masat për një nivel të lartë të përbashkët të sigurisë kibernetike në të gjithë Bashkimin, duke amenduar Rregulloren (BE)</w:t>
            </w:r>
            <w:r w:rsidRPr="00F622DE">
              <w:rPr>
                <w:rFonts w:ascii="Arial" w:eastAsia="Times New Roman" w:hAnsi="Arial" w:cs="Arial"/>
                <w:color w:val="000000"/>
                <w:sz w:val="12"/>
                <w:szCs w:val="12"/>
                <w:bdr w:val="none" w:sz="0" w:space="0" w:color="auto"/>
              </w:rPr>
              <w:br/>
              <w:t>Nr 910/2014 dhe Direktiva (BE) 2018/1972, dhe shfuqizimi i Direktivës (BE) 2016/1148 (Direktiva NIS 2)</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0157128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Zgjerimi I kompetencave të Autoritetit përgjegjës për sigurinë kibernetike,  përcaktim i qartë i strukturave përgjegjëse për sigurinë kibernetike si dhe rolet dhe kompetencat e tyre, forcimi i detyrimeve të operatorëve të infrastrukturave të informacionit si dhe të masave të sigurisë kibernetike, trajtimi i gjendjes së situatave emergjente, krizës kibernetike si dhe përcaktimi i strukturave përkatëse për menaxhimin e tyre,  rregullimi i certifikimit të sigurisë kibernetike.              </w:t>
            </w:r>
          </w:p>
        </w:tc>
        <w:tc>
          <w:tcPr>
            <w:tcW w:w="701" w:type="dxa"/>
            <w:tcBorders>
              <w:top w:val="single" w:sz="4" w:space="0" w:color="auto"/>
              <w:left w:val="nil"/>
              <w:bottom w:val="single" w:sz="4" w:space="0" w:color="auto"/>
              <w:right w:val="single" w:sz="4" w:space="0" w:color="auto"/>
            </w:tcBorders>
            <w:shd w:val="clear" w:color="auto" w:fill="auto"/>
            <w:vAlign w:val="center"/>
            <w:hideMark/>
          </w:tcPr>
          <w:p w14:paraId="046E0BC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eshte parashikuar. Kapituli 10 "  "Sherbimet e Shoqerisë se Informacionit""</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0CC773A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674" w:type="dxa"/>
            <w:tcBorders>
              <w:top w:val="single" w:sz="4" w:space="0" w:color="auto"/>
              <w:left w:val="nil"/>
              <w:bottom w:val="single" w:sz="4" w:space="0" w:color="auto"/>
              <w:right w:val="single" w:sz="4" w:space="0" w:color="auto"/>
            </w:tcBorders>
            <w:shd w:val="clear" w:color="auto" w:fill="auto"/>
            <w:vAlign w:val="center"/>
            <w:hideMark/>
          </w:tcPr>
          <w:p w14:paraId="5AAC3A7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Vendim  i Këshillit të Ministrave nr.1084 datë 24.12.2020 "Për miratimin e Strategjisë Kombëtare për Sigurinë Kibernetike dhe të planit të veprimit 2020 – 2025"</w:t>
            </w:r>
          </w:p>
        </w:tc>
        <w:tc>
          <w:tcPr>
            <w:tcW w:w="790" w:type="dxa"/>
            <w:tcBorders>
              <w:top w:val="single" w:sz="4" w:space="0" w:color="auto"/>
              <w:left w:val="nil"/>
              <w:bottom w:val="single" w:sz="4" w:space="0" w:color="auto"/>
              <w:right w:val="single" w:sz="4" w:space="0" w:color="auto"/>
            </w:tcBorders>
            <w:shd w:val="clear" w:color="auto" w:fill="auto"/>
            <w:vAlign w:val="center"/>
            <w:hideMark/>
          </w:tcPr>
          <w:p w14:paraId="1C4AF62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ka ndikime ekonomike, financiare, sociale.</w:t>
            </w:r>
          </w:p>
        </w:tc>
      </w:tr>
      <w:tr w:rsidR="00F622DE" w:rsidRPr="00F622DE" w14:paraId="1C1CA954"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44DE6B9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w:t>
            </w:r>
          </w:p>
        </w:tc>
        <w:tc>
          <w:tcPr>
            <w:tcW w:w="722" w:type="dxa"/>
            <w:tcBorders>
              <w:top w:val="nil"/>
              <w:left w:val="nil"/>
              <w:bottom w:val="single" w:sz="4" w:space="0" w:color="auto"/>
              <w:right w:val="single" w:sz="4" w:space="0" w:color="auto"/>
            </w:tcBorders>
            <w:shd w:val="clear" w:color="auto" w:fill="auto"/>
            <w:vAlign w:val="center"/>
            <w:hideMark/>
          </w:tcPr>
          <w:p w14:paraId="23D2324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Mbi aksesin e faqeve të internetit dhe aplikacioneve celulare të organeve të sektorit publik</w:t>
            </w:r>
          </w:p>
        </w:tc>
        <w:tc>
          <w:tcPr>
            <w:tcW w:w="670" w:type="dxa"/>
            <w:tcBorders>
              <w:top w:val="nil"/>
              <w:left w:val="nil"/>
              <w:bottom w:val="single" w:sz="4" w:space="0" w:color="auto"/>
              <w:right w:val="single" w:sz="4" w:space="0" w:color="auto"/>
            </w:tcBorders>
            <w:shd w:val="clear" w:color="auto" w:fill="auto"/>
            <w:vAlign w:val="center"/>
            <w:hideMark/>
          </w:tcPr>
          <w:p w14:paraId="51DFEE5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16C8497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noWrap/>
            <w:vAlign w:val="center"/>
            <w:hideMark/>
          </w:tcPr>
          <w:p w14:paraId="1CB63DD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166FD12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Pershtatja dhe transpozimi I direktives</w:t>
            </w:r>
          </w:p>
        </w:tc>
        <w:tc>
          <w:tcPr>
            <w:tcW w:w="1233" w:type="dxa"/>
            <w:tcBorders>
              <w:top w:val="nil"/>
              <w:left w:val="nil"/>
              <w:bottom w:val="single" w:sz="4" w:space="0" w:color="auto"/>
              <w:right w:val="single" w:sz="4" w:space="0" w:color="auto"/>
            </w:tcBorders>
            <w:shd w:val="clear" w:color="auto" w:fill="auto"/>
            <w:vAlign w:val="center"/>
            <w:hideMark/>
          </w:tcPr>
          <w:p w14:paraId="5AB8844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Sigurimi i aksesueshmërisë për personat me aftësi të kufizuara është një prioritet kryesor. Eshte parashikuar transpozimi i Direktivës 2016/2102 (2024) në ligjin kombëtar, me nje Projektvendim i cili do të lehtësojë aksesin në shërbimet dixhitale për të gjithë qytetarët. Përveç kësaj, do të bëhen rregullime teknike për të siguruar që portali e-Albania të jetë në përputhje me Udhëzimet për Aksesueshmërinë e Përmbajtjes së Uebit (WCAG) deri në vitin 2025. Kjo do ta bëjë e-Albania më gjithëpërfshirëse dhe më miqësore për përdoruesit me aftësi të kufizuara. </w:t>
            </w:r>
          </w:p>
        </w:tc>
        <w:tc>
          <w:tcPr>
            <w:tcW w:w="701" w:type="dxa"/>
            <w:tcBorders>
              <w:top w:val="nil"/>
              <w:left w:val="nil"/>
              <w:bottom w:val="single" w:sz="4" w:space="0" w:color="auto"/>
              <w:right w:val="single" w:sz="4" w:space="0" w:color="auto"/>
            </w:tcBorders>
            <w:shd w:val="clear" w:color="auto" w:fill="auto"/>
            <w:vAlign w:val="center"/>
            <w:hideMark/>
          </w:tcPr>
          <w:p w14:paraId="73B7D5A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Direktiva (BE) 2016/2102 e Parlamentit dhe Këshillit Evropian, “Mbi aksesin e faqeve të internetit dhe aplikacioneve celulare të organeve të sektorit publik”</w:t>
            </w:r>
          </w:p>
        </w:tc>
        <w:tc>
          <w:tcPr>
            <w:tcW w:w="971" w:type="dxa"/>
            <w:tcBorders>
              <w:top w:val="nil"/>
              <w:left w:val="nil"/>
              <w:bottom w:val="single" w:sz="4" w:space="0" w:color="auto"/>
              <w:right w:val="single" w:sz="4" w:space="0" w:color="auto"/>
            </w:tcBorders>
            <w:shd w:val="clear" w:color="auto" w:fill="auto"/>
            <w:vAlign w:val="center"/>
            <w:hideMark/>
          </w:tcPr>
          <w:p w14:paraId="6E8C98D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22D1932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5D08226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362779A4"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1298C22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w:t>
            </w:r>
          </w:p>
        </w:tc>
        <w:tc>
          <w:tcPr>
            <w:tcW w:w="722" w:type="dxa"/>
            <w:tcBorders>
              <w:top w:val="nil"/>
              <w:left w:val="nil"/>
              <w:bottom w:val="single" w:sz="4" w:space="0" w:color="auto"/>
              <w:right w:val="single" w:sz="4" w:space="0" w:color="auto"/>
            </w:tcBorders>
            <w:shd w:val="clear" w:color="auto" w:fill="auto"/>
            <w:vAlign w:val="center"/>
            <w:hideMark/>
          </w:tcPr>
          <w:p w14:paraId="095DF6D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Per percaktimin e rregullave, formave te vetëdeklarimit </w:t>
            </w:r>
            <w:r w:rsidRPr="00F622DE">
              <w:rPr>
                <w:rFonts w:ascii="Arial" w:eastAsia="Times New Roman" w:hAnsi="Arial" w:cs="Arial"/>
                <w:color w:val="000000"/>
                <w:sz w:val="12"/>
                <w:szCs w:val="12"/>
                <w:bdr w:val="none" w:sz="0" w:space="0" w:color="auto"/>
              </w:rPr>
              <w:lastRenderedPageBreak/>
              <w:t>dhe procedurave për pajisjen me autorizimin e përmbushjes së standardeve e sigurisë elektronike dhe detyrimeve të tjera</w:t>
            </w:r>
          </w:p>
        </w:tc>
        <w:tc>
          <w:tcPr>
            <w:tcW w:w="670" w:type="dxa"/>
            <w:tcBorders>
              <w:top w:val="nil"/>
              <w:left w:val="nil"/>
              <w:bottom w:val="single" w:sz="4" w:space="0" w:color="auto"/>
              <w:right w:val="single" w:sz="4" w:space="0" w:color="auto"/>
            </w:tcBorders>
            <w:shd w:val="clear" w:color="auto" w:fill="auto"/>
            <w:vAlign w:val="center"/>
            <w:hideMark/>
          </w:tcPr>
          <w:p w14:paraId="74D35C4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lastRenderedPageBreak/>
              <w:t>Projektvendim</w:t>
            </w:r>
          </w:p>
        </w:tc>
        <w:tc>
          <w:tcPr>
            <w:tcW w:w="1573" w:type="dxa"/>
            <w:tcBorders>
              <w:top w:val="nil"/>
              <w:left w:val="nil"/>
              <w:bottom w:val="single" w:sz="4" w:space="0" w:color="auto"/>
              <w:right w:val="single" w:sz="4" w:space="0" w:color="auto"/>
            </w:tcBorders>
            <w:shd w:val="clear" w:color="auto" w:fill="auto"/>
            <w:vAlign w:val="center"/>
            <w:hideMark/>
          </w:tcPr>
          <w:p w14:paraId="6B894A7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noWrap/>
            <w:vAlign w:val="center"/>
            <w:hideMark/>
          </w:tcPr>
          <w:p w14:paraId="0CFABC8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0A1F664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Neni 9, pika 3 Ligj nr. 43/2023 "Për qeverisjen elektronike"</w:t>
            </w:r>
          </w:p>
        </w:tc>
        <w:tc>
          <w:tcPr>
            <w:tcW w:w="1233" w:type="dxa"/>
            <w:tcBorders>
              <w:top w:val="nil"/>
              <w:left w:val="nil"/>
              <w:bottom w:val="single" w:sz="4" w:space="0" w:color="auto"/>
              <w:right w:val="single" w:sz="4" w:space="0" w:color="auto"/>
            </w:tcBorders>
            <w:shd w:val="clear" w:color="auto" w:fill="auto"/>
            <w:vAlign w:val="center"/>
            <w:hideMark/>
          </w:tcPr>
          <w:p w14:paraId="71A3867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Zhvilluesi i një sistemi në fushën TIK (autoritet publik apo subjekt privat) duhet:</w:t>
            </w:r>
            <w:r w:rsidRPr="00F622DE">
              <w:rPr>
                <w:rFonts w:ascii="Arial" w:eastAsia="Times New Roman" w:hAnsi="Arial" w:cs="Arial"/>
                <w:color w:val="000000"/>
                <w:sz w:val="12"/>
                <w:szCs w:val="12"/>
                <w:bdr w:val="none" w:sz="0" w:space="0" w:color="auto"/>
              </w:rPr>
              <w:br/>
            </w:r>
            <w:r w:rsidRPr="00F622DE">
              <w:rPr>
                <w:rFonts w:ascii="Arial" w:eastAsia="Times New Roman" w:hAnsi="Arial" w:cs="Arial"/>
                <w:color w:val="000000"/>
                <w:sz w:val="12"/>
                <w:szCs w:val="12"/>
                <w:bdr w:val="none" w:sz="0" w:space="0" w:color="auto"/>
              </w:rPr>
              <w:lastRenderedPageBreak/>
              <w:t>a) të sigurojë që sistemet e teknologjisë së informacionit ta përpunojnë informacionin në mënyrë që të garantohet efikasiteti i ofrimit të shërbimeve;</w:t>
            </w:r>
            <w:r w:rsidRPr="00F622DE">
              <w:rPr>
                <w:rFonts w:ascii="Arial" w:eastAsia="Times New Roman" w:hAnsi="Arial" w:cs="Arial"/>
                <w:color w:val="000000"/>
                <w:sz w:val="12"/>
                <w:szCs w:val="12"/>
                <w:bdr w:val="none" w:sz="0" w:space="0" w:color="auto"/>
              </w:rPr>
              <w:br/>
              <w:t xml:space="preserve">b) të evidentojë sistemet ose pjesët e sistemeve, të cilat janë kritike për ofrimin e shërbimit 24 orë në 7 ditë të javës dhe të ketë plane të dokumentuara për menaxhimin e riskut, teknikat e menaxhimit dhe të vlerësimit të performancës së tij. Me qëllim garantimin e mirëfunksionimit të këtyre teknikave të menaxhimit të riskut, institucioni kryen auditime të brendshme; të identifikojë të dhënat parësore dhe të dhëna të tjera, të cilat janë të rëndësishme për funksionimin e sistemit të tij të teknologjisë së informacionit. </w:t>
            </w:r>
            <w:r w:rsidRPr="00F622DE">
              <w:rPr>
                <w:rFonts w:ascii="Arial" w:eastAsia="Times New Roman" w:hAnsi="Arial" w:cs="Arial"/>
                <w:color w:val="000000"/>
                <w:sz w:val="12"/>
                <w:szCs w:val="12"/>
                <w:bdr w:val="none" w:sz="0" w:space="0" w:color="auto"/>
              </w:rPr>
              <w:br/>
              <w:t xml:space="preserve">dh) të identifikojë pajisjet e veçanta (hardëare) dhe varësinë që sistemi, të dhënat dhe shërbimet kanë ndaj tyre. Të merren masa që dështimi i njërës prej këtyre pajisjeve të mos ndikojë në funksionimin e sistemit të teknologjisë së informacionit dhe shërbimeve të ofruara; </w:t>
            </w:r>
            <w:r w:rsidRPr="00F622DE">
              <w:rPr>
                <w:rFonts w:ascii="Arial" w:eastAsia="Times New Roman" w:hAnsi="Arial" w:cs="Arial"/>
                <w:color w:val="000000"/>
                <w:sz w:val="12"/>
                <w:szCs w:val="12"/>
                <w:bdr w:val="none" w:sz="0" w:space="0" w:color="auto"/>
              </w:rPr>
              <w:br/>
              <w:t>e) të marrë masa që të dhënat e mësipërme, të cilat do të ruhen me qëllim rivendosjen e sistemeve dhe të shërbimeve në punë, të ruhen në një vendndodhje fizike dytësore e ndryshme nga ajo në të cilën ndodhen sistemet dhe të dhënat e institucionit gjatë veprimtarisë normale të tij.</w:t>
            </w:r>
            <w:r w:rsidRPr="00F622DE">
              <w:rPr>
                <w:rFonts w:ascii="Arial" w:eastAsia="Times New Roman" w:hAnsi="Arial" w:cs="Arial"/>
                <w:color w:val="000000"/>
                <w:sz w:val="12"/>
                <w:szCs w:val="12"/>
                <w:bdr w:val="none" w:sz="0" w:space="0" w:color="auto"/>
              </w:rPr>
              <w:br/>
              <w:t>2. Autoritetet publike/subjektet private, përgjegjëse për ofrimin e shërbimit elektronik, janë të detyruara të paraqesin pranë AKSHI-t raportin e përmbushjes së detyrimit sipas pikës 1 përpara vendosjes në përdorim të shërbimit.</w:t>
            </w:r>
          </w:p>
        </w:tc>
        <w:tc>
          <w:tcPr>
            <w:tcW w:w="701" w:type="dxa"/>
            <w:tcBorders>
              <w:top w:val="nil"/>
              <w:left w:val="nil"/>
              <w:bottom w:val="single" w:sz="4" w:space="0" w:color="auto"/>
              <w:right w:val="single" w:sz="4" w:space="0" w:color="auto"/>
            </w:tcBorders>
            <w:shd w:val="clear" w:color="auto" w:fill="auto"/>
            <w:vAlign w:val="center"/>
            <w:hideMark/>
          </w:tcPr>
          <w:p w14:paraId="296A407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lastRenderedPageBreak/>
              <w:t>Jo</w:t>
            </w:r>
          </w:p>
        </w:tc>
        <w:tc>
          <w:tcPr>
            <w:tcW w:w="971" w:type="dxa"/>
            <w:tcBorders>
              <w:top w:val="nil"/>
              <w:left w:val="nil"/>
              <w:bottom w:val="single" w:sz="4" w:space="0" w:color="auto"/>
              <w:right w:val="single" w:sz="4" w:space="0" w:color="auto"/>
            </w:tcBorders>
            <w:shd w:val="clear" w:color="auto" w:fill="auto"/>
            <w:vAlign w:val="center"/>
            <w:hideMark/>
          </w:tcPr>
          <w:p w14:paraId="6C373EB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1E6CC7A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w:t>
            </w:r>
            <w:r w:rsidRPr="00F622DE">
              <w:rPr>
                <w:rFonts w:ascii="Arial" w:eastAsia="Times New Roman" w:hAnsi="Arial" w:cs="Arial"/>
                <w:color w:val="000000"/>
                <w:sz w:val="12"/>
                <w:szCs w:val="12"/>
                <w:bdr w:val="none" w:sz="0" w:space="0" w:color="auto"/>
              </w:rPr>
              <w:lastRenderedPageBreak/>
              <w:t xml:space="preserve">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4E33D96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lastRenderedPageBreak/>
              <w:t>po</w:t>
            </w:r>
          </w:p>
        </w:tc>
      </w:tr>
      <w:tr w:rsidR="00F622DE" w:rsidRPr="00F622DE" w14:paraId="77E2CB4B"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237257C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lastRenderedPageBreak/>
              <w:t>4</w:t>
            </w:r>
          </w:p>
        </w:tc>
        <w:tc>
          <w:tcPr>
            <w:tcW w:w="722" w:type="dxa"/>
            <w:tcBorders>
              <w:top w:val="nil"/>
              <w:left w:val="nil"/>
              <w:bottom w:val="single" w:sz="4" w:space="0" w:color="auto"/>
              <w:right w:val="single" w:sz="4" w:space="0" w:color="auto"/>
            </w:tcBorders>
            <w:shd w:val="clear" w:color="auto" w:fill="auto"/>
            <w:vAlign w:val="center"/>
            <w:hideMark/>
          </w:tcPr>
          <w:p w14:paraId="749E46E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Per percaktimin e rregullave te detajuara për aksesimin e faqeve</w:t>
            </w:r>
            <w:r w:rsidRPr="00F622DE">
              <w:rPr>
                <w:rFonts w:ascii="Arial" w:eastAsia="Times New Roman" w:hAnsi="Arial" w:cs="Arial"/>
                <w:color w:val="000000"/>
                <w:sz w:val="12"/>
                <w:szCs w:val="12"/>
                <w:bdr w:val="none" w:sz="0" w:space="0" w:color="auto"/>
              </w:rPr>
              <w:br/>
            </w:r>
            <w:r w:rsidRPr="00F622DE">
              <w:rPr>
                <w:rFonts w:ascii="Arial" w:eastAsia="Times New Roman" w:hAnsi="Arial" w:cs="Arial"/>
                <w:color w:val="000000"/>
                <w:sz w:val="12"/>
                <w:szCs w:val="12"/>
                <w:bdr w:val="none" w:sz="0" w:space="0" w:color="auto"/>
              </w:rPr>
              <w:br/>
              <w:t>zyrtare të internetit të autoriteteve publike</w:t>
            </w:r>
          </w:p>
        </w:tc>
        <w:tc>
          <w:tcPr>
            <w:tcW w:w="670" w:type="dxa"/>
            <w:tcBorders>
              <w:top w:val="nil"/>
              <w:left w:val="nil"/>
              <w:bottom w:val="single" w:sz="4" w:space="0" w:color="auto"/>
              <w:right w:val="single" w:sz="4" w:space="0" w:color="auto"/>
            </w:tcBorders>
            <w:shd w:val="clear" w:color="auto" w:fill="auto"/>
            <w:vAlign w:val="center"/>
            <w:hideMark/>
          </w:tcPr>
          <w:p w14:paraId="7713156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22942F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noWrap/>
            <w:vAlign w:val="center"/>
            <w:hideMark/>
          </w:tcPr>
          <w:p w14:paraId="73FB1E9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03D1D31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Neni 10, pika 3 Ligj nr. 43/2023 "Për qeverisjen elektronike"</w:t>
            </w:r>
          </w:p>
        </w:tc>
        <w:tc>
          <w:tcPr>
            <w:tcW w:w="1233" w:type="dxa"/>
            <w:tcBorders>
              <w:top w:val="nil"/>
              <w:left w:val="nil"/>
              <w:bottom w:val="single" w:sz="4" w:space="0" w:color="auto"/>
              <w:right w:val="single" w:sz="4" w:space="0" w:color="auto"/>
            </w:tcBorders>
            <w:shd w:val="clear" w:color="auto" w:fill="auto"/>
            <w:vAlign w:val="center"/>
            <w:hideMark/>
          </w:tcPr>
          <w:p w14:paraId="239CB90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Autoriteti publik/subjekti privat, përgjegjës për ofrimin e shërbimit elektronik, është i detyruar të ofrojë informacion për përdoruesit, për:</w:t>
            </w:r>
            <w:r w:rsidRPr="00F622DE">
              <w:rPr>
                <w:rFonts w:ascii="Arial" w:eastAsia="Times New Roman" w:hAnsi="Arial" w:cs="Arial"/>
                <w:color w:val="000000"/>
                <w:sz w:val="12"/>
                <w:szCs w:val="12"/>
                <w:bdr w:val="none" w:sz="0" w:space="0" w:color="auto"/>
              </w:rPr>
              <w:br/>
              <w:t>a) emrin e autoritetit publik/subjektit privat/ofruesit të shërbimit dhe, nëse nuk ka të tillë, emrin me anë të të cilit ai është regjistruar për ushtrimin e veprimtarisë;</w:t>
            </w:r>
            <w:r w:rsidRPr="00F622DE">
              <w:rPr>
                <w:rFonts w:ascii="Arial" w:eastAsia="Times New Roman" w:hAnsi="Arial" w:cs="Arial"/>
                <w:color w:val="000000"/>
                <w:sz w:val="12"/>
                <w:szCs w:val="12"/>
                <w:bdr w:val="none" w:sz="0" w:space="0" w:color="auto"/>
              </w:rPr>
              <w:br/>
              <w:t>b) adresën e vendit në të cilin është vendosur selia apo qendra kryesore e veprimtarisë së ofruesit të shërbimit;</w:t>
            </w:r>
            <w:r w:rsidRPr="00F622DE">
              <w:rPr>
                <w:rFonts w:ascii="Arial" w:eastAsia="Times New Roman" w:hAnsi="Arial" w:cs="Arial"/>
                <w:color w:val="000000"/>
                <w:sz w:val="12"/>
                <w:szCs w:val="12"/>
                <w:bdr w:val="none" w:sz="0" w:space="0" w:color="auto"/>
              </w:rPr>
              <w:br/>
              <w:t>c) adresën e postës elektronike shtetërore dhe/ose private apo çdo detaj tjetër që lejon komunikimin e shpejtë dhe efikas me ofruesin e shërbimit, ku përdoruesi mund të marrë informacion në lidhje me shërbimet, këshilla dhe ndihmë për veprimet e nevojshme që duhet të ndërmerren për të marrë shërbimin;</w:t>
            </w:r>
            <w:r w:rsidRPr="00F622DE">
              <w:rPr>
                <w:rFonts w:ascii="Arial" w:eastAsia="Times New Roman" w:hAnsi="Arial" w:cs="Arial"/>
                <w:color w:val="000000"/>
                <w:sz w:val="12"/>
                <w:szCs w:val="12"/>
                <w:bdr w:val="none" w:sz="0" w:space="0" w:color="auto"/>
              </w:rPr>
              <w:br/>
              <w:t>ç) organin/autoritetin që ushtron kontroll mbi funksionimin e saj;</w:t>
            </w:r>
            <w:r w:rsidRPr="00F622DE">
              <w:rPr>
                <w:rFonts w:ascii="Arial" w:eastAsia="Times New Roman" w:hAnsi="Arial" w:cs="Arial"/>
                <w:color w:val="000000"/>
                <w:sz w:val="12"/>
                <w:szCs w:val="12"/>
                <w:bdr w:val="none" w:sz="0" w:space="0" w:color="auto"/>
              </w:rPr>
              <w:br/>
              <w:t>d) shërbimet publike të ofruara sipas modeleve të miratuara nga institucionet shërbimofruese;</w:t>
            </w:r>
            <w:r w:rsidRPr="00F622DE">
              <w:rPr>
                <w:rFonts w:ascii="Arial" w:eastAsia="Times New Roman" w:hAnsi="Arial" w:cs="Arial"/>
                <w:color w:val="000000"/>
                <w:sz w:val="12"/>
                <w:szCs w:val="12"/>
                <w:bdr w:val="none" w:sz="0" w:space="0" w:color="auto"/>
              </w:rPr>
              <w:br/>
              <w:t>dh) informacione të tjera të parashikuara në aktet rregullatore të fushës së të drejtës së informimit.</w:t>
            </w:r>
            <w:r w:rsidRPr="00F622DE">
              <w:rPr>
                <w:rFonts w:ascii="Arial" w:eastAsia="Times New Roman" w:hAnsi="Arial" w:cs="Arial"/>
                <w:color w:val="000000"/>
                <w:sz w:val="12"/>
                <w:szCs w:val="12"/>
                <w:bdr w:val="none" w:sz="0" w:space="0" w:color="auto"/>
              </w:rPr>
              <w:br/>
              <w:t xml:space="preserve">2. Kushtet e përdorimit dhe kufizimet e informacionit të publikuara në faqet zyrtare të internetit të autoriteteve publike duhet të jenë të dukshme dhe të pasqyruara qartë. Ndryshimet në kushtet e përdorimit dhe kufizimeve duhet të publikohen menjëherë dhe të jenë lehtësisht të identifikueshme në faqen zyrtare të internetit. Informacioni që publikohet në faqet zyrtare të internetit të autoriteteve publike është i lirë të shkarkohet/të </w:t>
            </w:r>
            <w:r w:rsidRPr="00F622DE">
              <w:rPr>
                <w:rFonts w:ascii="Arial" w:eastAsia="Times New Roman" w:hAnsi="Arial" w:cs="Arial"/>
                <w:color w:val="000000"/>
                <w:sz w:val="12"/>
                <w:szCs w:val="12"/>
                <w:bdr w:val="none" w:sz="0" w:space="0" w:color="auto"/>
              </w:rPr>
              <w:lastRenderedPageBreak/>
              <w:t>transferohet, të ruhet, të përpunohet, të shpërndahet dhe të përdoret, me kusht që të tregohet në mënyrë të qartë burimi i tyre dhe të mos paraqiten si informacione origjinale nëse kanë pësuar ndryshime</w:t>
            </w:r>
          </w:p>
        </w:tc>
        <w:tc>
          <w:tcPr>
            <w:tcW w:w="701" w:type="dxa"/>
            <w:tcBorders>
              <w:top w:val="nil"/>
              <w:left w:val="nil"/>
              <w:bottom w:val="single" w:sz="4" w:space="0" w:color="auto"/>
              <w:right w:val="single" w:sz="4" w:space="0" w:color="auto"/>
            </w:tcBorders>
            <w:shd w:val="clear" w:color="auto" w:fill="auto"/>
            <w:vAlign w:val="center"/>
            <w:hideMark/>
          </w:tcPr>
          <w:p w14:paraId="4E72416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lastRenderedPageBreak/>
              <w:t>Jo</w:t>
            </w:r>
          </w:p>
        </w:tc>
        <w:tc>
          <w:tcPr>
            <w:tcW w:w="971" w:type="dxa"/>
            <w:tcBorders>
              <w:top w:val="nil"/>
              <w:left w:val="nil"/>
              <w:bottom w:val="single" w:sz="4" w:space="0" w:color="auto"/>
              <w:right w:val="single" w:sz="4" w:space="0" w:color="auto"/>
            </w:tcBorders>
            <w:shd w:val="clear" w:color="auto" w:fill="auto"/>
            <w:vAlign w:val="center"/>
            <w:hideMark/>
          </w:tcPr>
          <w:p w14:paraId="1044687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2B6922E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7B6BF6A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7D60842F"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529E000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5</w:t>
            </w:r>
          </w:p>
        </w:tc>
        <w:tc>
          <w:tcPr>
            <w:tcW w:w="722" w:type="dxa"/>
            <w:tcBorders>
              <w:top w:val="nil"/>
              <w:left w:val="nil"/>
              <w:bottom w:val="single" w:sz="4" w:space="0" w:color="auto"/>
              <w:right w:val="single" w:sz="4" w:space="0" w:color="auto"/>
            </w:tcBorders>
            <w:shd w:val="clear" w:color="auto" w:fill="auto"/>
            <w:vAlign w:val="center"/>
            <w:hideMark/>
          </w:tcPr>
          <w:p w14:paraId="1274935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 miratimin e metodologjisë dhe standardet teknike të përdorimit të teknologjise se inteligjences artificiale </w:t>
            </w:r>
          </w:p>
        </w:tc>
        <w:tc>
          <w:tcPr>
            <w:tcW w:w="670" w:type="dxa"/>
            <w:tcBorders>
              <w:top w:val="nil"/>
              <w:left w:val="nil"/>
              <w:bottom w:val="single" w:sz="4" w:space="0" w:color="auto"/>
              <w:right w:val="single" w:sz="4" w:space="0" w:color="auto"/>
            </w:tcBorders>
            <w:shd w:val="clear" w:color="auto" w:fill="auto"/>
            <w:vAlign w:val="center"/>
            <w:hideMark/>
          </w:tcPr>
          <w:p w14:paraId="1D4464C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63DB757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noWrap/>
            <w:vAlign w:val="center"/>
            <w:hideMark/>
          </w:tcPr>
          <w:p w14:paraId="75365F7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41FA825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Neni 39, pika 2, Ligj nr. 43/2023 "Për qeverisjen elektronike"</w:t>
            </w:r>
          </w:p>
        </w:tc>
        <w:tc>
          <w:tcPr>
            <w:tcW w:w="1233" w:type="dxa"/>
            <w:tcBorders>
              <w:top w:val="nil"/>
              <w:left w:val="nil"/>
              <w:bottom w:val="single" w:sz="4" w:space="0" w:color="auto"/>
              <w:right w:val="single" w:sz="4" w:space="0" w:color="auto"/>
            </w:tcBorders>
            <w:shd w:val="clear" w:color="auto" w:fill="auto"/>
            <w:vAlign w:val="center"/>
            <w:hideMark/>
          </w:tcPr>
          <w:p w14:paraId="426769D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Teknologjia e inteligjencës artificiale aplikohet, aty ku është e mundur, në sistemet elektronike të teknologjisë së informacionit dhe komunikimit me qëllim rritjen dhe inovacionin në ekonominë digjitale.</w:t>
            </w:r>
          </w:p>
        </w:tc>
        <w:tc>
          <w:tcPr>
            <w:tcW w:w="701" w:type="dxa"/>
            <w:tcBorders>
              <w:top w:val="nil"/>
              <w:left w:val="nil"/>
              <w:bottom w:val="single" w:sz="4" w:space="0" w:color="auto"/>
              <w:right w:val="single" w:sz="4" w:space="0" w:color="auto"/>
            </w:tcBorders>
            <w:shd w:val="clear" w:color="auto" w:fill="auto"/>
            <w:vAlign w:val="center"/>
            <w:hideMark/>
          </w:tcPr>
          <w:p w14:paraId="14556C2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2C23BDD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72376DA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5376532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3B916EB4"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ABC05C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6</w:t>
            </w:r>
          </w:p>
        </w:tc>
        <w:tc>
          <w:tcPr>
            <w:tcW w:w="722" w:type="dxa"/>
            <w:tcBorders>
              <w:top w:val="nil"/>
              <w:left w:val="nil"/>
              <w:bottom w:val="single" w:sz="4" w:space="0" w:color="auto"/>
              <w:right w:val="single" w:sz="4" w:space="0" w:color="auto"/>
            </w:tcBorders>
            <w:shd w:val="clear" w:color="auto" w:fill="auto"/>
            <w:vAlign w:val="center"/>
            <w:hideMark/>
          </w:tcPr>
          <w:p w14:paraId="1A372D5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 xml:space="preserve"> "Për miratimin e rregullave për sigurimin e personelit"</w:t>
            </w:r>
          </w:p>
        </w:tc>
        <w:tc>
          <w:tcPr>
            <w:tcW w:w="670" w:type="dxa"/>
            <w:tcBorders>
              <w:top w:val="nil"/>
              <w:left w:val="nil"/>
              <w:bottom w:val="single" w:sz="4" w:space="0" w:color="auto"/>
              <w:right w:val="single" w:sz="4" w:space="0" w:color="auto"/>
            </w:tcBorders>
            <w:shd w:val="clear" w:color="auto" w:fill="auto"/>
            <w:vAlign w:val="center"/>
            <w:hideMark/>
          </w:tcPr>
          <w:p w14:paraId="51D422E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524CA54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Kryeministri-Zëvendëskryeministri (AKSIK)</w:t>
            </w:r>
          </w:p>
        </w:tc>
        <w:tc>
          <w:tcPr>
            <w:tcW w:w="678" w:type="dxa"/>
            <w:tcBorders>
              <w:top w:val="nil"/>
              <w:left w:val="nil"/>
              <w:bottom w:val="single" w:sz="4" w:space="0" w:color="auto"/>
              <w:right w:val="single" w:sz="4" w:space="0" w:color="auto"/>
            </w:tcBorders>
            <w:shd w:val="clear" w:color="auto" w:fill="auto"/>
            <w:noWrap/>
            <w:vAlign w:val="center"/>
            <w:hideMark/>
          </w:tcPr>
          <w:p w14:paraId="616D840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4170298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Projektakti synon përmirësimin e anës ligjore të procedurave për sigurimin e personelit, i cili vjen dhe si domosdoshmëri  pas hyrjes në fuqi të ligjit të ri "Për informacionin e klasifikuar", në të cilin është parashikuar nxjerrja e akteve nënligjore.</w:t>
            </w:r>
          </w:p>
        </w:tc>
        <w:tc>
          <w:tcPr>
            <w:tcW w:w="1233" w:type="dxa"/>
            <w:tcBorders>
              <w:top w:val="nil"/>
              <w:left w:val="nil"/>
              <w:bottom w:val="single" w:sz="4" w:space="0" w:color="auto"/>
              <w:right w:val="single" w:sz="4" w:space="0" w:color="auto"/>
            </w:tcBorders>
            <w:shd w:val="clear" w:color="auto" w:fill="auto"/>
            <w:vAlign w:val="center"/>
            <w:hideMark/>
          </w:tcPr>
          <w:p w14:paraId="06F650C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Projektvendimi ka për qëllim përmirësimin e disa aspekteve e rregullave për zhvillimin e procedurave të verifikimit të sigurisë ndaj individëve që do të</w:t>
            </w:r>
            <w:r w:rsidRPr="00F622DE">
              <w:rPr>
                <w:rFonts w:ascii="Arial" w:eastAsia="Times New Roman" w:hAnsi="Arial" w:cs="Arial"/>
                <w:sz w:val="12"/>
                <w:szCs w:val="12"/>
                <w:bdr w:val="none" w:sz="0" w:space="0" w:color="auto"/>
              </w:rPr>
              <w:br/>
              <w:t>njohin, do të prodhojnë, do të ruajnë, do të administrojnë, do të transportojnë dhe do të transmetojnë informacion të klasifikuar gjatë ushtrimit të detyrave zyrtare ose në përmbushje të një veprimtarie në kuadrin e respektimit të parimit “nevojë për njohje”, si dhe të rregullave, mbi bazën e të cilave veprohet për lëshimin, ripajisjen, refuzimin, heqjen</w:t>
            </w:r>
            <w:r w:rsidRPr="00F622DE">
              <w:rPr>
                <w:rFonts w:ascii="Arial" w:eastAsia="Times New Roman" w:hAnsi="Arial" w:cs="Arial"/>
                <w:sz w:val="12"/>
                <w:szCs w:val="12"/>
                <w:bdr w:val="none" w:sz="0" w:space="0" w:color="auto"/>
              </w:rPr>
              <w:br/>
              <w:t xml:space="preserve">dhe pezullimin e “Certifikatës së sigurimit të personeli”. </w:t>
            </w:r>
          </w:p>
        </w:tc>
        <w:tc>
          <w:tcPr>
            <w:tcW w:w="701" w:type="dxa"/>
            <w:tcBorders>
              <w:top w:val="nil"/>
              <w:left w:val="nil"/>
              <w:bottom w:val="single" w:sz="4" w:space="0" w:color="auto"/>
              <w:right w:val="single" w:sz="4" w:space="0" w:color="auto"/>
            </w:tcBorders>
            <w:shd w:val="clear" w:color="auto" w:fill="auto"/>
            <w:vAlign w:val="center"/>
            <w:hideMark/>
          </w:tcPr>
          <w:p w14:paraId="32868EC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6F1F6A7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2345183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2CBF223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r>
      <w:tr w:rsidR="00F622DE" w:rsidRPr="00F622DE" w14:paraId="2A64B48A"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5550C27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7</w:t>
            </w:r>
          </w:p>
        </w:tc>
        <w:tc>
          <w:tcPr>
            <w:tcW w:w="722" w:type="dxa"/>
            <w:tcBorders>
              <w:top w:val="nil"/>
              <w:left w:val="nil"/>
              <w:bottom w:val="single" w:sz="4" w:space="0" w:color="auto"/>
              <w:right w:val="single" w:sz="4" w:space="0" w:color="auto"/>
            </w:tcBorders>
            <w:shd w:val="clear" w:color="auto" w:fill="auto"/>
            <w:vAlign w:val="center"/>
            <w:hideMark/>
          </w:tcPr>
          <w:p w14:paraId="1641F9B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Rregullore “Për sigurinë e informacionit të klasifikuar që trajtohet në Sistemet e Komunikimit dhe Informacionit (SKI)”</w:t>
            </w:r>
          </w:p>
        </w:tc>
        <w:tc>
          <w:tcPr>
            <w:tcW w:w="670" w:type="dxa"/>
            <w:tcBorders>
              <w:top w:val="nil"/>
              <w:left w:val="nil"/>
              <w:bottom w:val="single" w:sz="4" w:space="0" w:color="auto"/>
              <w:right w:val="single" w:sz="4" w:space="0" w:color="auto"/>
            </w:tcBorders>
            <w:shd w:val="clear" w:color="auto" w:fill="auto"/>
            <w:vAlign w:val="center"/>
            <w:hideMark/>
          </w:tcPr>
          <w:p w14:paraId="7C16E10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14C40F8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Kryeministri-Zëvendëskryeministri (AKSIK)</w:t>
            </w:r>
          </w:p>
        </w:tc>
        <w:tc>
          <w:tcPr>
            <w:tcW w:w="678" w:type="dxa"/>
            <w:tcBorders>
              <w:top w:val="nil"/>
              <w:left w:val="nil"/>
              <w:bottom w:val="single" w:sz="4" w:space="0" w:color="auto"/>
              <w:right w:val="single" w:sz="4" w:space="0" w:color="auto"/>
            </w:tcBorders>
            <w:shd w:val="clear" w:color="auto" w:fill="auto"/>
            <w:vAlign w:val="center"/>
            <w:hideMark/>
          </w:tcPr>
          <w:p w14:paraId="40939DC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7A19CEC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 xml:space="preserve"> Projektakti synon përmirësimin e anës ligjore të sigurimit të informacionit të klasifikuar që trajtohet në SKI. Pas kiratimit të ligjit "Për informacionin e klasifikuar" është parashikuar ndryshimi i akteve nënligjore në zbatim të tij.</w:t>
            </w:r>
          </w:p>
        </w:tc>
        <w:tc>
          <w:tcPr>
            <w:tcW w:w="1233" w:type="dxa"/>
            <w:tcBorders>
              <w:top w:val="nil"/>
              <w:left w:val="nil"/>
              <w:bottom w:val="single" w:sz="4" w:space="0" w:color="auto"/>
              <w:right w:val="single" w:sz="4" w:space="0" w:color="auto"/>
            </w:tcBorders>
            <w:shd w:val="clear" w:color="auto" w:fill="auto"/>
            <w:vAlign w:val="center"/>
            <w:hideMark/>
          </w:tcPr>
          <w:p w14:paraId="4B1EE4E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 xml:space="preserve">1. Adreson një sërë problematikash të cilat janë vënë re gjatë zbatimit të VKM në fuqi.                 </w:t>
            </w:r>
            <w:r w:rsidRPr="00F622DE">
              <w:rPr>
                <w:rFonts w:ascii="Arial" w:eastAsia="Times New Roman" w:hAnsi="Arial" w:cs="Arial"/>
                <w:sz w:val="12"/>
                <w:szCs w:val="12"/>
                <w:bdr w:val="none" w:sz="0" w:space="0" w:color="auto"/>
              </w:rPr>
              <w:br/>
              <w:t>2. Kryen ndarjen e detyrave midis institucionit pronar të informacionit dhe institucionit pronar të SKI duke mos sjell konflikte mbi implementimin e masave të sigurisë të përcaktuara në VKM.</w:t>
            </w:r>
          </w:p>
        </w:tc>
        <w:tc>
          <w:tcPr>
            <w:tcW w:w="701" w:type="dxa"/>
            <w:tcBorders>
              <w:top w:val="nil"/>
              <w:left w:val="nil"/>
              <w:bottom w:val="single" w:sz="4" w:space="0" w:color="auto"/>
              <w:right w:val="single" w:sz="4" w:space="0" w:color="auto"/>
            </w:tcBorders>
            <w:shd w:val="clear" w:color="auto" w:fill="auto"/>
            <w:vAlign w:val="center"/>
            <w:hideMark/>
          </w:tcPr>
          <w:p w14:paraId="7B3FB9A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PO. Kapitulli 31, "Politika e Jashtme, Sigurisë dhe Mbrojtjes"</w:t>
            </w:r>
          </w:p>
        </w:tc>
        <w:tc>
          <w:tcPr>
            <w:tcW w:w="971" w:type="dxa"/>
            <w:tcBorders>
              <w:top w:val="nil"/>
              <w:left w:val="nil"/>
              <w:bottom w:val="single" w:sz="4" w:space="0" w:color="auto"/>
              <w:right w:val="single" w:sz="4" w:space="0" w:color="auto"/>
            </w:tcBorders>
            <w:shd w:val="clear" w:color="auto" w:fill="auto"/>
            <w:vAlign w:val="center"/>
            <w:hideMark/>
          </w:tcPr>
          <w:p w14:paraId="56C1DF5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66A1AB6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63395AF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r>
      <w:tr w:rsidR="00F622DE" w:rsidRPr="00F622DE" w14:paraId="7B565147"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46EEC0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8</w:t>
            </w:r>
          </w:p>
        </w:tc>
        <w:tc>
          <w:tcPr>
            <w:tcW w:w="722" w:type="dxa"/>
            <w:tcBorders>
              <w:top w:val="nil"/>
              <w:left w:val="nil"/>
              <w:bottom w:val="nil"/>
              <w:right w:val="nil"/>
            </w:tcBorders>
            <w:shd w:val="clear" w:color="auto" w:fill="auto"/>
            <w:vAlign w:val="center"/>
            <w:hideMark/>
          </w:tcPr>
          <w:p w14:paraId="5E6260F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"Për rregullat, procedurat dhe kërkesat për mbrojtjen e informacionit</w:t>
            </w:r>
            <w:r w:rsidRPr="00F622DE">
              <w:rPr>
                <w:rFonts w:ascii="Arial" w:eastAsia="Times New Roman" w:hAnsi="Arial" w:cs="Arial"/>
                <w:sz w:val="12"/>
                <w:szCs w:val="12"/>
                <w:bdr w:val="none" w:sz="0" w:space="0" w:color="auto"/>
              </w:rPr>
              <w:br/>
              <w:t>të klasifikuar gjatë prokurimit në fushën e mbrojtjes dhe të sigurisë"</w:t>
            </w:r>
          </w:p>
        </w:tc>
        <w:tc>
          <w:tcPr>
            <w:tcW w:w="670" w:type="dxa"/>
            <w:tcBorders>
              <w:top w:val="nil"/>
              <w:left w:val="single" w:sz="4" w:space="0" w:color="auto"/>
              <w:bottom w:val="single" w:sz="4" w:space="0" w:color="auto"/>
              <w:right w:val="single" w:sz="4" w:space="0" w:color="auto"/>
            </w:tcBorders>
            <w:shd w:val="clear" w:color="auto" w:fill="auto"/>
            <w:vAlign w:val="center"/>
            <w:hideMark/>
          </w:tcPr>
          <w:p w14:paraId="7F30125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723C8F8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Kryeministri-Zëvendëskryeministri (AKSIK)</w:t>
            </w:r>
          </w:p>
        </w:tc>
        <w:tc>
          <w:tcPr>
            <w:tcW w:w="678" w:type="dxa"/>
            <w:tcBorders>
              <w:top w:val="nil"/>
              <w:left w:val="nil"/>
              <w:bottom w:val="single" w:sz="4" w:space="0" w:color="auto"/>
              <w:right w:val="single" w:sz="4" w:space="0" w:color="auto"/>
            </w:tcBorders>
            <w:shd w:val="clear" w:color="auto" w:fill="auto"/>
            <w:noWrap/>
            <w:vAlign w:val="center"/>
            <w:hideMark/>
          </w:tcPr>
          <w:p w14:paraId="185B656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054D997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Projektakti synon përmirësimin e anës ligjore të sigurimit të informacionit gjatë procedurave prokurimit në fushën e mbrojtjes dhe të sigurisë, i cili vjen dhe si domosdoshmëri pas hyrjes në fuqi të ligjit të ri "Për informacionin e klasifikuar" si dhe në zbatim të ligjit nr. 36/2020 "Për prokurimet në fushën e mbrojtjes dhe të sigurisë".</w:t>
            </w:r>
          </w:p>
        </w:tc>
        <w:tc>
          <w:tcPr>
            <w:tcW w:w="1233" w:type="dxa"/>
            <w:tcBorders>
              <w:top w:val="nil"/>
              <w:left w:val="nil"/>
              <w:bottom w:val="nil"/>
              <w:right w:val="nil"/>
            </w:tcBorders>
            <w:shd w:val="clear" w:color="auto" w:fill="auto"/>
            <w:vAlign w:val="center"/>
            <w:hideMark/>
          </w:tcPr>
          <w:p w14:paraId="0D04AEB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 xml:space="preserve">Përmirësimi i aspekteve ligjore që kanë të bëjnë me përcaktimin e sistemit të masave të sigurisë, procedurave dhe i rregullave bazë në funksion të mbrojtjes së informacionit të klasifikuar nga aksesi apo përhapja e paautorizuar e tij gjatë prokurimeve në fushën e mbrojtjes dhe të sigurisë, të cilat përmbajnë informacion të klasifikuar dhe zbatimit të kontratës. </w:t>
            </w:r>
          </w:p>
        </w:tc>
        <w:tc>
          <w:tcPr>
            <w:tcW w:w="701" w:type="dxa"/>
            <w:tcBorders>
              <w:top w:val="nil"/>
              <w:left w:val="single" w:sz="4" w:space="0" w:color="auto"/>
              <w:bottom w:val="single" w:sz="4" w:space="0" w:color="auto"/>
              <w:right w:val="single" w:sz="4" w:space="0" w:color="auto"/>
            </w:tcBorders>
            <w:shd w:val="clear" w:color="auto" w:fill="auto"/>
            <w:vAlign w:val="center"/>
            <w:hideMark/>
          </w:tcPr>
          <w:p w14:paraId="07B059F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PO. Kapitulli 5, "Prokurimi Publik".</w:t>
            </w:r>
          </w:p>
        </w:tc>
        <w:tc>
          <w:tcPr>
            <w:tcW w:w="971" w:type="dxa"/>
            <w:tcBorders>
              <w:top w:val="nil"/>
              <w:left w:val="nil"/>
              <w:bottom w:val="single" w:sz="4" w:space="0" w:color="auto"/>
              <w:right w:val="single" w:sz="4" w:space="0" w:color="auto"/>
            </w:tcBorders>
            <w:shd w:val="clear" w:color="auto" w:fill="auto"/>
            <w:vAlign w:val="center"/>
            <w:hideMark/>
          </w:tcPr>
          <w:p w14:paraId="1377E8E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7A2F3BD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011770F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r>
      <w:tr w:rsidR="00F622DE" w:rsidRPr="00F622DE" w14:paraId="186378B5"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397919E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9</w:t>
            </w:r>
          </w:p>
        </w:tc>
        <w:tc>
          <w:tcPr>
            <w:tcW w:w="722" w:type="dxa"/>
            <w:tcBorders>
              <w:top w:val="single" w:sz="4" w:space="0" w:color="auto"/>
              <w:left w:val="nil"/>
              <w:bottom w:val="single" w:sz="4" w:space="0" w:color="auto"/>
              <w:right w:val="single" w:sz="4" w:space="0" w:color="auto"/>
            </w:tcBorders>
            <w:shd w:val="clear" w:color="auto" w:fill="auto"/>
            <w:vAlign w:val="center"/>
            <w:hideMark/>
          </w:tcPr>
          <w:p w14:paraId="75E3F47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“Për klasifikimin, punën, transportimin fizik, deklasifikimin, zhvlerësimin, asgjësimin dhe shkatërrimin e informacionit të klasifikuar “Sekret shtetëror””, NATO, BE, shteteve dhe organizatave të tjera ndërkombëtare.</w:t>
            </w:r>
          </w:p>
        </w:tc>
        <w:tc>
          <w:tcPr>
            <w:tcW w:w="670" w:type="dxa"/>
            <w:tcBorders>
              <w:top w:val="nil"/>
              <w:left w:val="nil"/>
              <w:bottom w:val="single" w:sz="4" w:space="0" w:color="auto"/>
              <w:right w:val="single" w:sz="4" w:space="0" w:color="auto"/>
            </w:tcBorders>
            <w:shd w:val="clear" w:color="auto" w:fill="auto"/>
            <w:vAlign w:val="center"/>
            <w:hideMark/>
          </w:tcPr>
          <w:p w14:paraId="45260D2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5FD3C40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Kryeministri-Zëvendëskryeministri (AKSIK)</w:t>
            </w:r>
          </w:p>
        </w:tc>
        <w:tc>
          <w:tcPr>
            <w:tcW w:w="678" w:type="dxa"/>
            <w:tcBorders>
              <w:top w:val="nil"/>
              <w:left w:val="nil"/>
              <w:bottom w:val="single" w:sz="4" w:space="0" w:color="auto"/>
              <w:right w:val="single" w:sz="4" w:space="0" w:color="auto"/>
            </w:tcBorders>
            <w:shd w:val="clear" w:color="auto" w:fill="auto"/>
            <w:noWrap/>
            <w:vAlign w:val="center"/>
            <w:hideMark/>
          </w:tcPr>
          <w:p w14:paraId="5A13E3C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4815718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 xml:space="preserve"> Projektakti synon përmirësimin e anës ligjore të sigurimit të informacionit të klasifikuar gjatë procesit të klasifikimit, punës, transportimin fizik, deklasifikimin, zhvlerësimin, asgjësimin dhe shkatërrimin e informacionit të klasifikuar. </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79B2138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Projektvendimi i propozuar për miratim, ka për qëllim rregullimin e masave administrative të brendshme për punën me informacionin e klasifikuar “Sekret shtetëror” dhe mbrojtjen e tij në të gjitha format fizike dhe elektronike.                                                                             Me anë të këtij projektvendimi synohet të arrihet:</w:t>
            </w:r>
            <w:r w:rsidRPr="00F622DE">
              <w:rPr>
                <w:rFonts w:ascii="Arial" w:eastAsia="Times New Roman" w:hAnsi="Arial" w:cs="Arial"/>
                <w:sz w:val="12"/>
                <w:szCs w:val="12"/>
                <w:bdr w:val="none" w:sz="0" w:space="0" w:color="auto"/>
              </w:rPr>
              <w:br/>
              <w:t xml:space="preserve">- mundësi më të mira për rritjen e sigurisë së informacionit të klasifikuar dhe mbikëqyrjen e plotë të procedurave lidhur me aksesin dhe shfrytëzimin e këtij informacioni; </w:t>
            </w:r>
            <w:r w:rsidRPr="00F622DE">
              <w:rPr>
                <w:rFonts w:ascii="Arial" w:eastAsia="Times New Roman" w:hAnsi="Arial" w:cs="Arial"/>
                <w:sz w:val="12"/>
                <w:szCs w:val="12"/>
                <w:bdr w:val="none" w:sz="0" w:space="0" w:color="auto"/>
              </w:rPr>
              <w:br/>
              <w:t>- e bën këtë kategori informacioni lehtësisht operacionale;</w:t>
            </w:r>
            <w:r w:rsidRPr="00F622DE">
              <w:rPr>
                <w:rFonts w:ascii="Arial" w:eastAsia="Times New Roman" w:hAnsi="Arial" w:cs="Arial"/>
                <w:sz w:val="12"/>
                <w:szCs w:val="12"/>
                <w:bdr w:val="none" w:sz="0" w:space="0" w:color="auto"/>
              </w:rPr>
              <w:br/>
              <w:t xml:space="preserve">- minimizohen kopjet fizike dhe volumi i madh i dokumenteve, për të cilat merren masa për ruajtjen e sigurisë fizike (dollapë, kasaforta).                                                                Përcaktimi i procedurave për asgjësimin dhe shkatërrimin e informacionit të klasifikuara "Sekret Shtetëror", në zotërim të institucionit.  Përcaktimi i procedurave që duhet të zbatojnë ministritë dhe institucionet shtetërore për klasifikimin e informacionit “Sekret shtetëror”. </w:t>
            </w:r>
          </w:p>
        </w:tc>
        <w:tc>
          <w:tcPr>
            <w:tcW w:w="701" w:type="dxa"/>
            <w:tcBorders>
              <w:top w:val="nil"/>
              <w:left w:val="nil"/>
              <w:bottom w:val="single" w:sz="4" w:space="0" w:color="auto"/>
              <w:right w:val="single" w:sz="4" w:space="0" w:color="auto"/>
            </w:tcBorders>
            <w:shd w:val="clear" w:color="auto" w:fill="auto"/>
            <w:vAlign w:val="center"/>
            <w:hideMark/>
          </w:tcPr>
          <w:p w14:paraId="3FA3EBB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PO. Kapitulli 31, "Politika e Jashtme, Sigurisë dhe Mbrojtjes"</w:t>
            </w:r>
          </w:p>
        </w:tc>
        <w:tc>
          <w:tcPr>
            <w:tcW w:w="971" w:type="dxa"/>
            <w:tcBorders>
              <w:top w:val="nil"/>
              <w:left w:val="nil"/>
              <w:bottom w:val="single" w:sz="4" w:space="0" w:color="auto"/>
              <w:right w:val="single" w:sz="4" w:space="0" w:color="auto"/>
            </w:tcBorders>
            <w:shd w:val="clear" w:color="auto" w:fill="auto"/>
            <w:vAlign w:val="center"/>
            <w:hideMark/>
          </w:tcPr>
          <w:p w14:paraId="0E95FAC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2AC2B2C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0A52751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r>
      <w:tr w:rsidR="00F622DE" w:rsidRPr="00F622DE" w14:paraId="2DC84BB9"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3B1A80C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10</w:t>
            </w:r>
          </w:p>
        </w:tc>
        <w:tc>
          <w:tcPr>
            <w:tcW w:w="722" w:type="dxa"/>
            <w:tcBorders>
              <w:top w:val="nil"/>
              <w:left w:val="nil"/>
              <w:bottom w:val="single" w:sz="4" w:space="0" w:color="auto"/>
              <w:right w:val="single" w:sz="4" w:space="0" w:color="auto"/>
            </w:tcBorders>
            <w:shd w:val="clear" w:color="auto" w:fill="auto"/>
            <w:vAlign w:val="center"/>
            <w:hideMark/>
          </w:tcPr>
          <w:p w14:paraId="02CC62D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Planit të Menaxhimit të basenit ujor Mat”</w:t>
            </w:r>
          </w:p>
        </w:tc>
        <w:tc>
          <w:tcPr>
            <w:tcW w:w="670" w:type="dxa"/>
            <w:tcBorders>
              <w:top w:val="nil"/>
              <w:left w:val="nil"/>
              <w:bottom w:val="single" w:sz="4" w:space="0" w:color="auto"/>
              <w:right w:val="single" w:sz="4" w:space="0" w:color="auto"/>
            </w:tcBorders>
            <w:shd w:val="clear" w:color="auto" w:fill="auto"/>
            <w:vAlign w:val="center"/>
            <w:hideMark/>
          </w:tcPr>
          <w:p w14:paraId="75F96DB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7CF2A62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(AMBU)</w:t>
            </w:r>
          </w:p>
        </w:tc>
        <w:tc>
          <w:tcPr>
            <w:tcW w:w="678" w:type="dxa"/>
            <w:tcBorders>
              <w:top w:val="nil"/>
              <w:left w:val="nil"/>
              <w:bottom w:val="single" w:sz="4" w:space="0" w:color="auto"/>
              <w:right w:val="single" w:sz="4" w:space="0" w:color="auto"/>
            </w:tcBorders>
            <w:shd w:val="clear" w:color="auto" w:fill="auto"/>
            <w:noWrap/>
            <w:vAlign w:val="center"/>
            <w:hideMark/>
          </w:tcPr>
          <w:p w14:paraId="03DCF83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4F2B2BE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Projektvendimi ka si</w:t>
            </w:r>
            <w:r w:rsidRPr="00F622DE">
              <w:rPr>
                <w:rFonts w:ascii="Arial" w:eastAsia="Times New Roman" w:hAnsi="Arial" w:cs="Arial"/>
                <w:color w:val="000000"/>
                <w:sz w:val="12"/>
                <w:szCs w:val="12"/>
                <w:bdr w:val="none" w:sz="0" w:space="0" w:color="auto"/>
              </w:rPr>
              <w:br/>
              <w:t>qëllim miratimin e Planit</w:t>
            </w:r>
            <w:r w:rsidRPr="00F622DE">
              <w:rPr>
                <w:rFonts w:ascii="Arial" w:eastAsia="Times New Roman" w:hAnsi="Arial" w:cs="Arial"/>
                <w:color w:val="000000"/>
                <w:sz w:val="12"/>
                <w:szCs w:val="12"/>
                <w:bdr w:val="none" w:sz="0" w:space="0" w:color="auto"/>
              </w:rPr>
              <w:br/>
              <w:t>të Menaxhimit të Basenit</w:t>
            </w:r>
            <w:r w:rsidRPr="00F622DE">
              <w:rPr>
                <w:rFonts w:ascii="Arial" w:eastAsia="Times New Roman" w:hAnsi="Arial" w:cs="Arial"/>
                <w:color w:val="000000"/>
                <w:sz w:val="12"/>
                <w:szCs w:val="12"/>
                <w:bdr w:val="none" w:sz="0" w:space="0" w:color="auto"/>
              </w:rPr>
              <w:br/>
              <w:t>Ujor për lumin Mat.</w:t>
            </w:r>
            <w:r w:rsidRPr="00F622DE">
              <w:rPr>
                <w:rFonts w:ascii="Arial" w:eastAsia="Times New Roman" w:hAnsi="Arial" w:cs="Arial"/>
                <w:color w:val="000000"/>
                <w:sz w:val="12"/>
                <w:szCs w:val="12"/>
                <w:bdr w:val="none" w:sz="0" w:space="0" w:color="auto"/>
              </w:rPr>
              <w:br/>
              <w:t>Qëllimi i hartimit të</w:t>
            </w:r>
            <w:r w:rsidRPr="00F622DE">
              <w:rPr>
                <w:rFonts w:ascii="Arial" w:eastAsia="Times New Roman" w:hAnsi="Arial" w:cs="Arial"/>
                <w:color w:val="000000"/>
                <w:sz w:val="12"/>
                <w:szCs w:val="12"/>
                <w:bdr w:val="none" w:sz="0" w:space="0" w:color="auto"/>
              </w:rPr>
              <w:br/>
              <w:t>Planit është përcaktimi i</w:t>
            </w:r>
            <w:r w:rsidRPr="00F622DE">
              <w:rPr>
                <w:rFonts w:ascii="Arial" w:eastAsia="Times New Roman" w:hAnsi="Arial" w:cs="Arial"/>
                <w:color w:val="000000"/>
                <w:sz w:val="12"/>
                <w:szCs w:val="12"/>
                <w:bdr w:val="none" w:sz="0" w:space="0" w:color="auto"/>
              </w:rPr>
              <w:br/>
              <w:t>statusin aktual të trupave</w:t>
            </w:r>
            <w:r w:rsidRPr="00F622DE">
              <w:rPr>
                <w:rFonts w:ascii="Arial" w:eastAsia="Times New Roman" w:hAnsi="Arial" w:cs="Arial"/>
                <w:color w:val="000000"/>
                <w:sz w:val="12"/>
                <w:szCs w:val="12"/>
                <w:bdr w:val="none" w:sz="0" w:space="0" w:color="auto"/>
              </w:rPr>
              <w:br/>
              <w:t>ujorë brenda një rajoni</w:t>
            </w:r>
            <w:r w:rsidRPr="00F622DE">
              <w:rPr>
                <w:rFonts w:ascii="Arial" w:eastAsia="Times New Roman" w:hAnsi="Arial" w:cs="Arial"/>
                <w:color w:val="000000"/>
                <w:sz w:val="12"/>
                <w:szCs w:val="12"/>
                <w:bdr w:val="none" w:sz="0" w:space="0" w:color="auto"/>
              </w:rPr>
              <w:br/>
              <w:t>baseni dhe të përcaktojë</w:t>
            </w:r>
            <w:r w:rsidRPr="00F622DE">
              <w:rPr>
                <w:rFonts w:ascii="Arial" w:eastAsia="Times New Roman" w:hAnsi="Arial" w:cs="Arial"/>
                <w:color w:val="000000"/>
                <w:sz w:val="12"/>
                <w:szCs w:val="12"/>
                <w:bdr w:val="none" w:sz="0" w:space="0" w:color="auto"/>
              </w:rPr>
              <w:br/>
              <w:t>se çfarë masash janë</w:t>
            </w:r>
            <w:r w:rsidRPr="00F622DE">
              <w:rPr>
                <w:rFonts w:ascii="Arial" w:eastAsia="Times New Roman" w:hAnsi="Arial" w:cs="Arial"/>
                <w:color w:val="000000"/>
                <w:sz w:val="12"/>
                <w:szCs w:val="12"/>
                <w:bdr w:val="none" w:sz="0" w:space="0" w:color="auto"/>
              </w:rPr>
              <w:br/>
              <w:t>planifikuar për të</w:t>
            </w:r>
            <w:r w:rsidRPr="00F622DE">
              <w:rPr>
                <w:rFonts w:ascii="Arial" w:eastAsia="Times New Roman" w:hAnsi="Arial" w:cs="Arial"/>
                <w:color w:val="000000"/>
                <w:sz w:val="12"/>
                <w:szCs w:val="12"/>
                <w:bdr w:val="none" w:sz="0" w:space="0" w:color="auto"/>
              </w:rPr>
              <w:br/>
              <w:t>përmbushur objektivat</w:t>
            </w:r>
            <w:r w:rsidRPr="00F622DE">
              <w:rPr>
                <w:rFonts w:ascii="Arial" w:eastAsia="Times New Roman" w:hAnsi="Arial" w:cs="Arial"/>
                <w:color w:val="000000"/>
                <w:sz w:val="12"/>
                <w:szCs w:val="12"/>
                <w:bdr w:val="none" w:sz="0" w:space="0" w:color="auto"/>
              </w:rPr>
              <w:br/>
              <w:t>mjedisore. Ky plan do të</w:t>
            </w:r>
            <w:r w:rsidRPr="00F622DE">
              <w:rPr>
                <w:rFonts w:ascii="Arial" w:eastAsia="Times New Roman" w:hAnsi="Arial" w:cs="Arial"/>
                <w:color w:val="000000"/>
                <w:sz w:val="12"/>
                <w:szCs w:val="12"/>
                <w:bdr w:val="none" w:sz="0" w:space="0" w:color="auto"/>
              </w:rPr>
              <w:br/>
              <w:t>shërbejë si një</w:t>
            </w:r>
            <w:r w:rsidRPr="00F622DE">
              <w:rPr>
                <w:rFonts w:ascii="Arial" w:eastAsia="Times New Roman" w:hAnsi="Arial" w:cs="Arial"/>
                <w:color w:val="000000"/>
                <w:sz w:val="12"/>
                <w:szCs w:val="12"/>
                <w:bdr w:val="none" w:sz="0" w:space="0" w:color="auto"/>
              </w:rPr>
              <w:br/>
              <w:t>mekanizëm themelor i</w:t>
            </w:r>
            <w:r w:rsidRPr="00F622DE">
              <w:rPr>
                <w:rFonts w:ascii="Arial" w:eastAsia="Times New Roman" w:hAnsi="Arial" w:cs="Arial"/>
                <w:color w:val="000000"/>
                <w:sz w:val="12"/>
                <w:szCs w:val="12"/>
                <w:bdr w:val="none" w:sz="0" w:space="0" w:color="auto"/>
              </w:rPr>
              <w:br/>
              <w:t>inventarit dhe arkivimit</w:t>
            </w:r>
            <w:r w:rsidRPr="00F622DE">
              <w:rPr>
                <w:rFonts w:ascii="Arial" w:eastAsia="Times New Roman" w:hAnsi="Arial" w:cs="Arial"/>
                <w:color w:val="000000"/>
                <w:sz w:val="12"/>
                <w:szCs w:val="12"/>
                <w:bdr w:val="none" w:sz="0" w:space="0" w:color="auto"/>
              </w:rPr>
              <w:br/>
              <w:t>për informacionin e</w:t>
            </w:r>
            <w:r w:rsidRPr="00F622DE">
              <w:rPr>
                <w:rFonts w:ascii="Arial" w:eastAsia="Times New Roman" w:hAnsi="Arial" w:cs="Arial"/>
                <w:color w:val="000000"/>
                <w:sz w:val="12"/>
                <w:szCs w:val="12"/>
                <w:bdr w:val="none" w:sz="0" w:space="0" w:color="auto"/>
              </w:rPr>
              <w:br/>
              <w:t>mbledhur, mbi cilësinë</w:t>
            </w:r>
            <w:r w:rsidRPr="00F622DE">
              <w:rPr>
                <w:rFonts w:ascii="Arial" w:eastAsia="Times New Roman" w:hAnsi="Arial" w:cs="Arial"/>
                <w:color w:val="000000"/>
                <w:sz w:val="12"/>
                <w:szCs w:val="12"/>
                <w:bdr w:val="none" w:sz="0" w:space="0" w:color="auto"/>
              </w:rPr>
              <w:br/>
              <w:t>dhe sasinë e ujit dhe mbi</w:t>
            </w:r>
            <w:r w:rsidRPr="00F622DE">
              <w:rPr>
                <w:rFonts w:ascii="Arial" w:eastAsia="Times New Roman" w:hAnsi="Arial" w:cs="Arial"/>
                <w:color w:val="000000"/>
                <w:sz w:val="12"/>
                <w:szCs w:val="12"/>
                <w:bdr w:val="none" w:sz="0" w:space="0" w:color="auto"/>
              </w:rPr>
              <w:br/>
              <w:t>ndikimin kryesor të</w:t>
            </w:r>
            <w:r w:rsidRPr="00F622DE">
              <w:rPr>
                <w:rFonts w:ascii="Arial" w:eastAsia="Times New Roman" w:hAnsi="Arial" w:cs="Arial"/>
                <w:color w:val="000000"/>
                <w:sz w:val="12"/>
                <w:szCs w:val="12"/>
                <w:bdr w:val="none" w:sz="0" w:space="0" w:color="auto"/>
              </w:rPr>
              <w:br/>
              <w:t>veprimtarisë njerëzore</w:t>
            </w:r>
            <w:r w:rsidRPr="00F622DE">
              <w:rPr>
                <w:rFonts w:ascii="Arial" w:eastAsia="Times New Roman" w:hAnsi="Arial" w:cs="Arial"/>
                <w:color w:val="000000"/>
                <w:sz w:val="12"/>
                <w:szCs w:val="12"/>
                <w:bdr w:val="none" w:sz="0" w:space="0" w:color="auto"/>
              </w:rPr>
              <w:br/>
              <w:t>(presionet) në statusin e</w:t>
            </w:r>
            <w:r w:rsidRPr="00F622DE">
              <w:rPr>
                <w:rFonts w:ascii="Arial" w:eastAsia="Times New Roman" w:hAnsi="Arial" w:cs="Arial"/>
                <w:color w:val="000000"/>
                <w:sz w:val="12"/>
                <w:szCs w:val="12"/>
                <w:bdr w:val="none" w:sz="0" w:space="0" w:color="auto"/>
              </w:rPr>
              <w:br/>
              <w:t>trupave ujorë</w:t>
            </w:r>
            <w:r w:rsidRPr="00F622DE">
              <w:rPr>
                <w:rFonts w:ascii="Arial" w:eastAsia="Times New Roman" w:hAnsi="Arial" w:cs="Arial"/>
                <w:color w:val="000000"/>
                <w:sz w:val="12"/>
                <w:szCs w:val="12"/>
                <w:bdr w:val="none" w:sz="0" w:space="0" w:color="auto"/>
              </w:rPr>
              <w:br/>
              <w:t>sipërfaqësorë dhe</w:t>
            </w:r>
            <w:r w:rsidRPr="00F622DE">
              <w:rPr>
                <w:rFonts w:ascii="Arial" w:eastAsia="Times New Roman" w:hAnsi="Arial" w:cs="Arial"/>
                <w:color w:val="000000"/>
                <w:sz w:val="12"/>
                <w:szCs w:val="12"/>
                <w:bdr w:val="none" w:sz="0" w:space="0" w:color="auto"/>
              </w:rPr>
              <w:br/>
              <w:t>nëntokësorë.</w:t>
            </w:r>
            <w:r w:rsidRPr="00F622DE">
              <w:rPr>
                <w:rFonts w:ascii="Arial" w:eastAsia="Times New Roman" w:hAnsi="Arial" w:cs="Arial"/>
                <w:color w:val="000000"/>
                <w:sz w:val="12"/>
                <w:szCs w:val="12"/>
                <w:bdr w:val="none" w:sz="0" w:space="0" w:color="auto"/>
              </w:rPr>
              <w:br/>
              <w:t>Planet e Menaxhimit të</w:t>
            </w:r>
            <w:r w:rsidRPr="00F622DE">
              <w:rPr>
                <w:rFonts w:ascii="Arial" w:eastAsia="Times New Roman" w:hAnsi="Arial" w:cs="Arial"/>
                <w:color w:val="000000"/>
                <w:sz w:val="12"/>
                <w:szCs w:val="12"/>
                <w:bdr w:val="none" w:sz="0" w:space="0" w:color="auto"/>
              </w:rPr>
              <w:br/>
              <w:t>Baseneve Ujore</w:t>
            </w:r>
            <w:r w:rsidRPr="00F622DE">
              <w:rPr>
                <w:rFonts w:ascii="Arial" w:eastAsia="Times New Roman" w:hAnsi="Arial" w:cs="Arial"/>
                <w:color w:val="000000"/>
                <w:sz w:val="12"/>
                <w:szCs w:val="12"/>
                <w:bdr w:val="none" w:sz="0" w:space="0" w:color="auto"/>
              </w:rPr>
              <w:br/>
              <w:t>koordinojë</w:t>
            </w:r>
            <w:r w:rsidRPr="00F622DE">
              <w:rPr>
                <w:rFonts w:ascii="Arial" w:eastAsia="Times New Roman" w:hAnsi="Arial" w:cs="Arial"/>
                <w:color w:val="000000"/>
                <w:sz w:val="12"/>
                <w:szCs w:val="12"/>
                <w:bdr w:val="none" w:sz="0" w:space="0" w:color="auto"/>
              </w:rPr>
              <w:br/>
              <w:t>bashkëpunimin</w:t>
            </w:r>
            <w:r w:rsidRPr="00F622DE">
              <w:rPr>
                <w:rFonts w:ascii="Arial" w:eastAsia="Times New Roman" w:hAnsi="Arial" w:cs="Arial"/>
                <w:color w:val="000000"/>
                <w:sz w:val="12"/>
                <w:szCs w:val="12"/>
                <w:bdr w:val="none" w:sz="0" w:space="0" w:color="auto"/>
              </w:rPr>
              <w:br/>
              <w:t>ndërinstitucionale</w:t>
            </w:r>
            <w:r w:rsidRPr="00F622DE">
              <w:rPr>
                <w:rFonts w:ascii="Arial" w:eastAsia="Times New Roman" w:hAnsi="Arial" w:cs="Arial"/>
                <w:color w:val="000000"/>
                <w:sz w:val="12"/>
                <w:szCs w:val="12"/>
                <w:bdr w:val="none" w:sz="0" w:space="0" w:color="auto"/>
              </w:rPr>
              <w:br/>
              <w:t>nëpërmjet zbatimit të</w:t>
            </w:r>
            <w:r w:rsidRPr="00F622DE">
              <w:rPr>
                <w:rFonts w:ascii="Arial" w:eastAsia="Times New Roman" w:hAnsi="Arial" w:cs="Arial"/>
                <w:color w:val="000000"/>
                <w:sz w:val="12"/>
                <w:szCs w:val="12"/>
                <w:bdr w:val="none" w:sz="0" w:space="0" w:color="auto"/>
              </w:rPr>
              <w:br/>
              <w:t>programit e masave në</w:t>
            </w:r>
            <w:r w:rsidRPr="00F622DE">
              <w:rPr>
                <w:rFonts w:ascii="Arial" w:eastAsia="Times New Roman" w:hAnsi="Arial" w:cs="Arial"/>
                <w:color w:val="000000"/>
                <w:sz w:val="12"/>
                <w:szCs w:val="12"/>
                <w:bdr w:val="none" w:sz="0" w:space="0" w:color="auto"/>
              </w:rPr>
              <w:br/>
              <w:t>lidhje me fushën e</w:t>
            </w:r>
            <w:r w:rsidRPr="00F622DE">
              <w:rPr>
                <w:rFonts w:ascii="Arial" w:eastAsia="Times New Roman" w:hAnsi="Arial" w:cs="Arial"/>
                <w:color w:val="000000"/>
                <w:sz w:val="12"/>
                <w:szCs w:val="12"/>
                <w:bdr w:val="none" w:sz="0" w:space="0" w:color="auto"/>
              </w:rPr>
              <w:br/>
              <w:t>menaxhimit të integruar</w:t>
            </w:r>
            <w:r w:rsidRPr="00F622DE">
              <w:rPr>
                <w:rFonts w:ascii="Arial" w:eastAsia="Times New Roman" w:hAnsi="Arial" w:cs="Arial"/>
                <w:color w:val="000000"/>
                <w:sz w:val="12"/>
                <w:szCs w:val="12"/>
                <w:bdr w:val="none" w:sz="0" w:space="0" w:color="auto"/>
              </w:rPr>
              <w:br/>
              <w:t>të burimeve ujore dhe</w:t>
            </w:r>
            <w:r w:rsidRPr="00F622DE">
              <w:rPr>
                <w:rFonts w:ascii="Arial" w:eastAsia="Times New Roman" w:hAnsi="Arial" w:cs="Arial"/>
                <w:color w:val="000000"/>
                <w:sz w:val="12"/>
                <w:szCs w:val="12"/>
                <w:bdr w:val="none" w:sz="0" w:space="0" w:color="auto"/>
              </w:rPr>
              <w:br/>
              <w:t>shërbejnë si mekanizmi</w:t>
            </w:r>
            <w:r w:rsidRPr="00F622DE">
              <w:rPr>
                <w:rFonts w:ascii="Arial" w:eastAsia="Times New Roman" w:hAnsi="Arial" w:cs="Arial"/>
                <w:color w:val="000000"/>
                <w:sz w:val="12"/>
                <w:szCs w:val="12"/>
                <w:bdr w:val="none" w:sz="0" w:space="0" w:color="auto"/>
              </w:rPr>
              <w:br/>
              <w:t>kryesor raportues i</w:t>
            </w:r>
            <w:r w:rsidRPr="00F622DE">
              <w:rPr>
                <w:rFonts w:ascii="Arial" w:eastAsia="Times New Roman" w:hAnsi="Arial" w:cs="Arial"/>
                <w:color w:val="000000"/>
                <w:sz w:val="12"/>
                <w:szCs w:val="12"/>
                <w:bdr w:val="none" w:sz="0" w:space="0" w:color="auto"/>
              </w:rPr>
              <w:br/>
              <w:t>autoriteteve të baseneve ujore në BE</w:t>
            </w:r>
          </w:p>
        </w:tc>
        <w:tc>
          <w:tcPr>
            <w:tcW w:w="1233" w:type="dxa"/>
            <w:tcBorders>
              <w:top w:val="nil"/>
              <w:left w:val="nil"/>
              <w:bottom w:val="single" w:sz="4" w:space="0" w:color="auto"/>
              <w:right w:val="single" w:sz="4" w:space="0" w:color="auto"/>
            </w:tcBorders>
            <w:shd w:val="clear" w:color="auto" w:fill="auto"/>
            <w:vAlign w:val="center"/>
            <w:hideMark/>
          </w:tcPr>
          <w:p w14:paraId="4640E3B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Projektvendimi është</w:t>
            </w:r>
            <w:r w:rsidRPr="00F622DE">
              <w:rPr>
                <w:rFonts w:ascii="Arial" w:eastAsia="Times New Roman" w:hAnsi="Arial" w:cs="Arial"/>
                <w:color w:val="000000"/>
                <w:sz w:val="12"/>
                <w:szCs w:val="12"/>
                <w:bdr w:val="none" w:sz="0" w:space="0" w:color="auto"/>
              </w:rPr>
              <w:br/>
              <w:t>në vijim të akteve</w:t>
            </w:r>
            <w:r w:rsidRPr="00F622DE">
              <w:rPr>
                <w:rFonts w:ascii="Arial" w:eastAsia="Times New Roman" w:hAnsi="Arial" w:cs="Arial"/>
                <w:color w:val="000000"/>
                <w:sz w:val="12"/>
                <w:szCs w:val="12"/>
                <w:bdr w:val="none" w:sz="0" w:space="0" w:color="auto"/>
              </w:rPr>
              <w:br/>
              <w:t>nënligjore që synojnë të</w:t>
            </w:r>
            <w:r w:rsidRPr="00F622DE">
              <w:rPr>
                <w:rFonts w:ascii="Arial" w:eastAsia="Times New Roman" w:hAnsi="Arial" w:cs="Arial"/>
                <w:color w:val="000000"/>
                <w:sz w:val="12"/>
                <w:szCs w:val="12"/>
                <w:bdr w:val="none" w:sz="0" w:space="0" w:color="auto"/>
              </w:rPr>
              <w:br/>
              <w:t>plotësojnë dhe</w:t>
            </w:r>
            <w:r w:rsidRPr="00F622DE">
              <w:rPr>
                <w:rFonts w:ascii="Arial" w:eastAsia="Times New Roman" w:hAnsi="Arial" w:cs="Arial"/>
                <w:color w:val="000000"/>
                <w:sz w:val="12"/>
                <w:szCs w:val="12"/>
                <w:bdr w:val="none" w:sz="0" w:space="0" w:color="auto"/>
              </w:rPr>
              <w:br/>
              <w:t>përmirësojnë kuadrin</w:t>
            </w:r>
            <w:r w:rsidRPr="00F622DE">
              <w:rPr>
                <w:rFonts w:ascii="Arial" w:eastAsia="Times New Roman" w:hAnsi="Arial" w:cs="Arial"/>
                <w:color w:val="000000"/>
                <w:sz w:val="12"/>
                <w:szCs w:val="12"/>
                <w:bdr w:val="none" w:sz="0" w:space="0" w:color="auto"/>
              </w:rPr>
              <w:br/>
              <w:t>ligjor për menaxhimin</w:t>
            </w:r>
            <w:r w:rsidRPr="00F622DE">
              <w:rPr>
                <w:rFonts w:ascii="Arial" w:eastAsia="Times New Roman" w:hAnsi="Arial" w:cs="Arial"/>
                <w:color w:val="000000"/>
                <w:sz w:val="12"/>
                <w:szCs w:val="12"/>
                <w:bdr w:val="none" w:sz="0" w:space="0" w:color="auto"/>
              </w:rPr>
              <w:br/>
              <w:t>e integruar të burimeve</w:t>
            </w:r>
            <w:r w:rsidRPr="00F622DE">
              <w:rPr>
                <w:rFonts w:ascii="Arial" w:eastAsia="Times New Roman" w:hAnsi="Arial" w:cs="Arial"/>
                <w:color w:val="000000"/>
                <w:sz w:val="12"/>
                <w:szCs w:val="12"/>
                <w:bdr w:val="none" w:sz="0" w:space="0" w:color="auto"/>
              </w:rPr>
              <w:br/>
              <w:t>ujore. Planet e</w:t>
            </w:r>
            <w:r w:rsidRPr="00F622DE">
              <w:rPr>
                <w:rFonts w:ascii="Arial" w:eastAsia="Times New Roman" w:hAnsi="Arial" w:cs="Arial"/>
                <w:color w:val="000000"/>
                <w:sz w:val="12"/>
                <w:szCs w:val="12"/>
                <w:bdr w:val="none" w:sz="0" w:space="0" w:color="auto"/>
              </w:rPr>
              <w:br/>
              <w:t>Menaxhimit të</w:t>
            </w:r>
            <w:r w:rsidRPr="00F622DE">
              <w:rPr>
                <w:rFonts w:ascii="Arial" w:eastAsia="Times New Roman" w:hAnsi="Arial" w:cs="Arial"/>
                <w:color w:val="000000"/>
                <w:sz w:val="12"/>
                <w:szCs w:val="12"/>
                <w:bdr w:val="none" w:sz="0" w:space="0" w:color="auto"/>
              </w:rPr>
              <w:br/>
              <w:t>Baseneve Ujore</w:t>
            </w:r>
            <w:r w:rsidRPr="00F622DE">
              <w:rPr>
                <w:rFonts w:ascii="Arial" w:eastAsia="Times New Roman" w:hAnsi="Arial" w:cs="Arial"/>
                <w:color w:val="000000"/>
                <w:sz w:val="12"/>
                <w:szCs w:val="12"/>
                <w:bdr w:val="none" w:sz="0" w:space="0" w:color="auto"/>
              </w:rPr>
              <w:br/>
              <w:t>hartohen në përputhje</w:t>
            </w:r>
            <w:r w:rsidRPr="00F622DE">
              <w:rPr>
                <w:rFonts w:ascii="Arial" w:eastAsia="Times New Roman" w:hAnsi="Arial" w:cs="Arial"/>
                <w:color w:val="000000"/>
                <w:sz w:val="12"/>
                <w:szCs w:val="12"/>
                <w:bdr w:val="none" w:sz="0" w:space="0" w:color="auto"/>
              </w:rPr>
              <w:br/>
              <w:t>me Strategjinë</w:t>
            </w:r>
            <w:r w:rsidRPr="00F622DE">
              <w:rPr>
                <w:rFonts w:ascii="Arial" w:eastAsia="Times New Roman" w:hAnsi="Arial" w:cs="Arial"/>
                <w:color w:val="000000"/>
                <w:sz w:val="12"/>
                <w:szCs w:val="12"/>
                <w:bdr w:val="none" w:sz="0" w:space="0" w:color="auto"/>
              </w:rPr>
              <w:br/>
              <w:t>Kombëtare të</w:t>
            </w:r>
            <w:r w:rsidRPr="00F622DE">
              <w:rPr>
                <w:rFonts w:ascii="Arial" w:eastAsia="Times New Roman" w:hAnsi="Arial" w:cs="Arial"/>
                <w:color w:val="000000"/>
                <w:sz w:val="12"/>
                <w:szCs w:val="12"/>
                <w:bdr w:val="none" w:sz="0" w:space="0" w:color="auto"/>
              </w:rPr>
              <w:br/>
              <w:t>Menaxhimit të</w:t>
            </w:r>
            <w:r w:rsidRPr="00F622DE">
              <w:rPr>
                <w:rFonts w:ascii="Arial" w:eastAsia="Times New Roman" w:hAnsi="Arial" w:cs="Arial"/>
                <w:color w:val="000000"/>
                <w:sz w:val="12"/>
                <w:szCs w:val="12"/>
                <w:bdr w:val="none" w:sz="0" w:space="0" w:color="auto"/>
              </w:rPr>
              <w:br/>
              <w:t>Burimeve Ujore dhe</w:t>
            </w:r>
            <w:r w:rsidRPr="00F622DE">
              <w:rPr>
                <w:rFonts w:ascii="Arial" w:eastAsia="Times New Roman" w:hAnsi="Arial" w:cs="Arial"/>
                <w:color w:val="000000"/>
                <w:sz w:val="12"/>
                <w:szCs w:val="12"/>
                <w:bdr w:val="none" w:sz="0" w:space="0" w:color="auto"/>
              </w:rPr>
              <w:br/>
              <w:t>zbatohen për një</w:t>
            </w:r>
            <w:r w:rsidRPr="00F622DE">
              <w:rPr>
                <w:rFonts w:ascii="Arial" w:eastAsia="Times New Roman" w:hAnsi="Arial" w:cs="Arial"/>
                <w:color w:val="000000"/>
                <w:sz w:val="12"/>
                <w:szCs w:val="12"/>
                <w:bdr w:val="none" w:sz="0" w:space="0" w:color="auto"/>
              </w:rPr>
              <w:br/>
              <w:t>territor dhe periudhë të</w:t>
            </w:r>
            <w:r w:rsidRPr="00F622DE">
              <w:rPr>
                <w:rFonts w:ascii="Arial" w:eastAsia="Times New Roman" w:hAnsi="Arial" w:cs="Arial"/>
                <w:color w:val="000000"/>
                <w:sz w:val="12"/>
                <w:szCs w:val="12"/>
                <w:bdr w:val="none" w:sz="0" w:space="0" w:color="auto"/>
              </w:rPr>
              <w:br/>
              <w:t>përcaktuar. Përmbajnë</w:t>
            </w:r>
            <w:r w:rsidRPr="00F622DE">
              <w:rPr>
                <w:rFonts w:ascii="Arial" w:eastAsia="Times New Roman" w:hAnsi="Arial" w:cs="Arial"/>
                <w:color w:val="000000"/>
                <w:sz w:val="12"/>
                <w:szCs w:val="12"/>
                <w:bdr w:val="none" w:sz="0" w:space="0" w:color="auto"/>
              </w:rPr>
              <w:br/>
              <w:t>një përshkrim të</w:t>
            </w:r>
            <w:r w:rsidRPr="00F622DE">
              <w:rPr>
                <w:rFonts w:ascii="Arial" w:eastAsia="Times New Roman" w:hAnsi="Arial" w:cs="Arial"/>
                <w:color w:val="000000"/>
                <w:sz w:val="12"/>
                <w:szCs w:val="12"/>
                <w:bdr w:val="none" w:sz="0" w:space="0" w:color="auto"/>
              </w:rPr>
              <w:br/>
              <w:t>detajuar të</w:t>
            </w:r>
            <w:r w:rsidRPr="00F622DE">
              <w:rPr>
                <w:rFonts w:ascii="Arial" w:eastAsia="Times New Roman" w:hAnsi="Arial" w:cs="Arial"/>
                <w:color w:val="000000"/>
                <w:sz w:val="12"/>
                <w:szCs w:val="12"/>
                <w:bdr w:val="none" w:sz="0" w:space="0" w:color="auto"/>
              </w:rPr>
              <w:br/>
              <w:t>karakteristikave të çdo</w:t>
            </w:r>
            <w:r w:rsidRPr="00F622DE">
              <w:rPr>
                <w:rFonts w:ascii="Arial" w:eastAsia="Times New Roman" w:hAnsi="Arial" w:cs="Arial"/>
                <w:color w:val="000000"/>
                <w:sz w:val="12"/>
                <w:szCs w:val="12"/>
                <w:bdr w:val="none" w:sz="0" w:space="0" w:color="auto"/>
              </w:rPr>
              <w:br/>
              <w:t>trupi ujor brenda</w:t>
            </w:r>
            <w:r w:rsidRPr="00F622DE">
              <w:rPr>
                <w:rFonts w:ascii="Arial" w:eastAsia="Times New Roman" w:hAnsi="Arial" w:cs="Arial"/>
                <w:color w:val="000000"/>
                <w:sz w:val="12"/>
                <w:szCs w:val="12"/>
                <w:bdr w:val="none" w:sz="0" w:space="0" w:color="auto"/>
              </w:rPr>
              <w:br/>
              <w:t>rajonit të basenit ujor,</w:t>
            </w:r>
            <w:r w:rsidRPr="00F622DE">
              <w:rPr>
                <w:rFonts w:ascii="Arial" w:eastAsia="Times New Roman" w:hAnsi="Arial" w:cs="Arial"/>
                <w:color w:val="000000"/>
                <w:sz w:val="12"/>
                <w:szCs w:val="12"/>
                <w:bdr w:val="none" w:sz="0" w:space="0" w:color="auto"/>
              </w:rPr>
              <w:br/>
              <w:t>të ndikimeve dhe</w:t>
            </w:r>
            <w:r w:rsidRPr="00F622DE">
              <w:rPr>
                <w:rFonts w:ascii="Arial" w:eastAsia="Times New Roman" w:hAnsi="Arial" w:cs="Arial"/>
                <w:color w:val="000000"/>
                <w:sz w:val="12"/>
                <w:szCs w:val="12"/>
                <w:bdr w:val="none" w:sz="0" w:space="0" w:color="auto"/>
              </w:rPr>
              <w:br/>
              <w:t>aktiviteteve të</w:t>
            </w:r>
            <w:r w:rsidRPr="00F622DE">
              <w:rPr>
                <w:rFonts w:ascii="Arial" w:eastAsia="Times New Roman" w:hAnsi="Arial" w:cs="Arial"/>
                <w:color w:val="000000"/>
                <w:sz w:val="12"/>
                <w:szCs w:val="12"/>
                <w:bdr w:val="none" w:sz="0" w:space="0" w:color="auto"/>
              </w:rPr>
              <w:br/>
              <w:t>mundshme mbi trupat</w:t>
            </w:r>
            <w:r w:rsidRPr="00F622DE">
              <w:rPr>
                <w:rFonts w:ascii="Arial" w:eastAsia="Times New Roman" w:hAnsi="Arial" w:cs="Arial"/>
                <w:color w:val="000000"/>
                <w:sz w:val="12"/>
                <w:szCs w:val="12"/>
                <w:bdr w:val="none" w:sz="0" w:space="0" w:color="auto"/>
              </w:rPr>
              <w:br/>
              <w:t>ujor si në ujërat</w:t>
            </w:r>
            <w:r w:rsidRPr="00F622DE">
              <w:rPr>
                <w:rFonts w:ascii="Arial" w:eastAsia="Times New Roman" w:hAnsi="Arial" w:cs="Arial"/>
                <w:color w:val="000000"/>
                <w:sz w:val="12"/>
                <w:szCs w:val="12"/>
                <w:bdr w:val="none" w:sz="0" w:space="0" w:color="auto"/>
              </w:rPr>
              <w:br/>
              <w:t>sipërfaqësor dhe</w:t>
            </w:r>
            <w:r w:rsidRPr="00F622DE">
              <w:rPr>
                <w:rFonts w:ascii="Arial" w:eastAsia="Times New Roman" w:hAnsi="Arial" w:cs="Arial"/>
                <w:color w:val="000000"/>
                <w:sz w:val="12"/>
                <w:szCs w:val="12"/>
                <w:bdr w:val="none" w:sz="0" w:space="0" w:color="auto"/>
              </w:rPr>
              <w:br/>
              <w:t>nëntokësor. Plani i</w:t>
            </w:r>
            <w:r w:rsidRPr="00F622DE">
              <w:rPr>
                <w:rFonts w:ascii="Arial" w:eastAsia="Times New Roman" w:hAnsi="Arial" w:cs="Arial"/>
                <w:color w:val="000000"/>
                <w:sz w:val="12"/>
                <w:szCs w:val="12"/>
                <w:bdr w:val="none" w:sz="0" w:space="0" w:color="auto"/>
              </w:rPr>
              <w:br/>
              <w:t>Menaxhimit të Basenit</w:t>
            </w:r>
            <w:r w:rsidRPr="00F622DE">
              <w:rPr>
                <w:rFonts w:ascii="Arial" w:eastAsia="Times New Roman" w:hAnsi="Arial" w:cs="Arial"/>
                <w:color w:val="000000"/>
                <w:sz w:val="12"/>
                <w:szCs w:val="12"/>
                <w:bdr w:val="none" w:sz="0" w:space="0" w:color="auto"/>
              </w:rPr>
              <w:br/>
              <w:t>Ujor  Mat do</w:t>
            </w:r>
            <w:r w:rsidRPr="00F622DE">
              <w:rPr>
                <w:rFonts w:ascii="Arial" w:eastAsia="Times New Roman" w:hAnsi="Arial" w:cs="Arial"/>
                <w:color w:val="000000"/>
                <w:sz w:val="12"/>
                <w:szCs w:val="12"/>
                <w:bdr w:val="none" w:sz="0" w:space="0" w:color="auto"/>
              </w:rPr>
              <w:br/>
              <w:t>të shërbejë si një</w:t>
            </w:r>
            <w:r w:rsidRPr="00F622DE">
              <w:rPr>
                <w:rFonts w:ascii="Arial" w:eastAsia="Times New Roman" w:hAnsi="Arial" w:cs="Arial"/>
                <w:color w:val="000000"/>
                <w:sz w:val="12"/>
                <w:szCs w:val="12"/>
                <w:bdr w:val="none" w:sz="0" w:space="0" w:color="auto"/>
              </w:rPr>
              <w:br/>
              <w:t>kuadër strategjik</w:t>
            </w:r>
            <w:r w:rsidRPr="00F622DE">
              <w:rPr>
                <w:rFonts w:ascii="Arial" w:eastAsia="Times New Roman" w:hAnsi="Arial" w:cs="Arial"/>
                <w:color w:val="000000"/>
                <w:sz w:val="12"/>
                <w:szCs w:val="12"/>
                <w:bdr w:val="none" w:sz="0" w:space="0" w:color="auto"/>
              </w:rPr>
              <w:br/>
              <w:t>gjithëpërfshirës për</w:t>
            </w:r>
            <w:r w:rsidRPr="00F622DE">
              <w:rPr>
                <w:rFonts w:ascii="Arial" w:eastAsia="Times New Roman" w:hAnsi="Arial" w:cs="Arial"/>
                <w:color w:val="000000"/>
                <w:sz w:val="12"/>
                <w:szCs w:val="12"/>
                <w:bdr w:val="none" w:sz="0" w:space="0" w:color="auto"/>
              </w:rPr>
              <w:br/>
              <w:t>menaxhimin e mjedisit</w:t>
            </w:r>
            <w:r w:rsidRPr="00F622DE">
              <w:rPr>
                <w:rFonts w:ascii="Arial" w:eastAsia="Times New Roman" w:hAnsi="Arial" w:cs="Arial"/>
                <w:color w:val="000000"/>
                <w:sz w:val="12"/>
                <w:szCs w:val="12"/>
                <w:bdr w:val="none" w:sz="0" w:space="0" w:color="auto"/>
              </w:rPr>
              <w:br/>
              <w:t>ujor ku përfshihen</w:t>
            </w:r>
            <w:r w:rsidRPr="00F622DE">
              <w:rPr>
                <w:rFonts w:ascii="Arial" w:eastAsia="Times New Roman" w:hAnsi="Arial" w:cs="Arial"/>
                <w:color w:val="000000"/>
                <w:sz w:val="12"/>
                <w:szCs w:val="12"/>
                <w:bdr w:val="none" w:sz="0" w:space="0" w:color="auto"/>
              </w:rPr>
              <w:br/>
              <w:t>objektivat dhe masat e</w:t>
            </w:r>
            <w:r w:rsidRPr="00F622DE">
              <w:rPr>
                <w:rFonts w:ascii="Arial" w:eastAsia="Times New Roman" w:hAnsi="Arial" w:cs="Arial"/>
                <w:color w:val="000000"/>
                <w:sz w:val="12"/>
                <w:szCs w:val="12"/>
                <w:bdr w:val="none" w:sz="0" w:space="0" w:color="auto"/>
              </w:rPr>
              <w:br/>
              <w:t>nevojshme për mbrojtjen dhe</w:t>
            </w:r>
            <w:r w:rsidRPr="00F622DE">
              <w:rPr>
                <w:rFonts w:ascii="Arial" w:eastAsia="Times New Roman" w:hAnsi="Arial" w:cs="Arial"/>
                <w:color w:val="000000"/>
                <w:sz w:val="12"/>
                <w:szCs w:val="12"/>
                <w:bdr w:val="none" w:sz="0" w:space="0" w:color="auto"/>
              </w:rPr>
              <w:br/>
              <w:t>përmirësimin e mjedisit</w:t>
            </w:r>
            <w:r w:rsidRPr="00F622DE">
              <w:rPr>
                <w:rFonts w:ascii="Arial" w:eastAsia="Times New Roman" w:hAnsi="Arial" w:cs="Arial"/>
                <w:color w:val="000000"/>
                <w:sz w:val="12"/>
                <w:szCs w:val="12"/>
                <w:bdr w:val="none" w:sz="0" w:space="0" w:color="auto"/>
              </w:rPr>
              <w:br/>
              <w:t>ujor. Gjithashtu</w:t>
            </w:r>
            <w:r w:rsidRPr="00F622DE">
              <w:rPr>
                <w:rFonts w:ascii="Arial" w:eastAsia="Times New Roman" w:hAnsi="Arial" w:cs="Arial"/>
                <w:color w:val="000000"/>
                <w:sz w:val="12"/>
                <w:szCs w:val="12"/>
                <w:bdr w:val="none" w:sz="0" w:space="0" w:color="auto"/>
              </w:rPr>
              <w:br/>
              <w:t>përcakton objektivat,</w:t>
            </w:r>
            <w:r w:rsidRPr="00F622DE">
              <w:rPr>
                <w:rFonts w:ascii="Arial" w:eastAsia="Times New Roman" w:hAnsi="Arial" w:cs="Arial"/>
                <w:color w:val="000000"/>
                <w:sz w:val="12"/>
                <w:szCs w:val="12"/>
                <w:bdr w:val="none" w:sz="0" w:space="0" w:color="auto"/>
              </w:rPr>
              <w:br/>
              <w:t>standardet dhe masat</w:t>
            </w:r>
            <w:r w:rsidRPr="00F622DE">
              <w:rPr>
                <w:rFonts w:ascii="Arial" w:eastAsia="Times New Roman" w:hAnsi="Arial" w:cs="Arial"/>
                <w:color w:val="000000"/>
                <w:sz w:val="12"/>
                <w:szCs w:val="12"/>
                <w:bdr w:val="none" w:sz="0" w:space="0" w:color="auto"/>
              </w:rPr>
              <w:br/>
              <w:t>ligjërisht të</w:t>
            </w:r>
            <w:r w:rsidRPr="00F622DE">
              <w:rPr>
                <w:rFonts w:ascii="Arial" w:eastAsia="Times New Roman" w:hAnsi="Arial" w:cs="Arial"/>
                <w:color w:val="000000"/>
                <w:sz w:val="12"/>
                <w:szCs w:val="12"/>
                <w:bdr w:val="none" w:sz="0" w:space="0" w:color="auto"/>
              </w:rPr>
              <w:br/>
              <w:t>detyrueshme për të</w:t>
            </w:r>
            <w:r w:rsidRPr="00F622DE">
              <w:rPr>
                <w:rFonts w:ascii="Arial" w:eastAsia="Times New Roman" w:hAnsi="Arial" w:cs="Arial"/>
                <w:color w:val="000000"/>
                <w:sz w:val="12"/>
                <w:szCs w:val="12"/>
                <w:bdr w:val="none" w:sz="0" w:space="0" w:color="auto"/>
              </w:rPr>
              <w:br/>
              <w:t>përmbushur objektivat</w:t>
            </w:r>
            <w:r w:rsidRPr="00F622DE">
              <w:rPr>
                <w:rFonts w:ascii="Arial" w:eastAsia="Times New Roman" w:hAnsi="Arial" w:cs="Arial"/>
                <w:color w:val="000000"/>
                <w:sz w:val="12"/>
                <w:szCs w:val="12"/>
                <w:bdr w:val="none" w:sz="0" w:space="0" w:color="auto"/>
              </w:rPr>
              <w:br/>
              <w:t>e ujit për të gjithë</w:t>
            </w:r>
            <w:r w:rsidRPr="00F622DE">
              <w:rPr>
                <w:rFonts w:ascii="Arial" w:eastAsia="Times New Roman" w:hAnsi="Arial" w:cs="Arial"/>
                <w:color w:val="000000"/>
                <w:sz w:val="12"/>
                <w:szCs w:val="12"/>
                <w:bdr w:val="none" w:sz="0" w:space="0" w:color="auto"/>
              </w:rPr>
              <w:br/>
              <w:t>sektorët e ekonomisë.</w:t>
            </w:r>
          </w:p>
        </w:tc>
        <w:tc>
          <w:tcPr>
            <w:tcW w:w="701" w:type="dxa"/>
            <w:tcBorders>
              <w:top w:val="nil"/>
              <w:left w:val="nil"/>
              <w:bottom w:val="single" w:sz="4" w:space="0" w:color="auto"/>
              <w:right w:val="single" w:sz="4" w:space="0" w:color="auto"/>
            </w:tcBorders>
            <w:shd w:val="clear" w:color="auto" w:fill="auto"/>
            <w:vAlign w:val="center"/>
            <w:hideMark/>
          </w:tcPr>
          <w:p w14:paraId="426BA07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Kapitulli 27</w:t>
            </w:r>
          </w:p>
        </w:tc>
        <w:tc>
          <w:tcPr>
            <w:tcW w:w="971" w:type="dxa"/>
            <w:tcBorders>
              <w:top w:val="nil"/>
              <w:left w:val="nil"/>
              <w:bottom w:val="single" w:sz="4" w:space="0" w:color="auto"/>
              <w:right w:val="single" w:sz="4" w:space="0" w:color="auto"/>
            </w:tcBorders>
            <w:shd w:val="clear" w:color="auto" w:fill="auto"/>
            <w:vAlign w:val="center"/>
            <w:hideMark/>
          </w:tcPr>
          <w:p w14:paraId="35F6F02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Integrimi Evropian, Mjedisi</w:t>
            </w:r>
          </w:p>
        </w:tc>
        <w:tc>
          <w:tcPr>
            <w:tcW w:w="674" w:type="dxa"/>
            <w:tcBorders>
              <w:top w:val="nil"/>
              <w:left w:val="nil"/>
              <w:bottom w:val="single" w:sz="4" w:space="0" w:color="auto"/>
              <w:right w:val="single" w:sz="4" w:space="0" w:color="auto"/>
            </w:tcBorders>
            <w:shd w:val="clear" w:color="auto" w:fill="auto"/>
            <w:vAlign w:val="center"/>
            <w:hideMark/>
          </w:tcPr>
          <w:p w14:paraId="5D6817F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SKZHI 2022-</w:t>
            </w:r>
            <w:r w:rsidRPr="00F622DE">
              <w:rPr>
                <w:rFonts w:ascii="Arial" w:eastAsia="Times New Roman" w:hAnsi="Arial" w:cs="Arial"/>
                <w:color w:val="000000"/>
                <w:sz w:val="12"/>
                <w:szCs w:val="12"/>
                <w:bdr w:val="none" w:sz="0" w:space="0" w:color="auto"/>
              </w:rPr>
              <w:br/>
              <w:t>2030, si dhe</w:t>
            </w:r>
            <w:r w:rsidRPr="00F622DE">
              <w:rPr>
                <w:rFonts w:ascii="Arial" w:eastAsia="Times New Roman" w:hAnsi="Arial" w:cs="Arial"/>
                <w:color w:val="000000"/>
                <w:sz w:val="12"/>
                <w:szCs w:val="12"/>
                <w:bdr w:val="none" w:sz="0" w:space="0" w:color="auto"/>
              </w:rPr>
              <w:br/>
              <w:t>Strategjia</w:t>
            </w:r>
            <w:r w:rsidRPr="00F622DE">
              <w:rPr>
                <w:rFonts w:ascii="Arial" w:eastAsia="Times New Roman" w:hAnsi="Arial" w:cs="Arial"/>
                <w:color w:val="000000"/>
                <w:sz w:val="12"/>
                <w:szCs w:val="12"/>
                <w:bdr w:val="none" w:sz="0" w:space="0" w:color="auto"/>
              </w:rPr>
              <w:br/>
              <w:t>Kombëtare e</w:t>
            </w:r>
            <w:r w:rsidRPr="00F622DE">
              <w:rPr>
                <w:rFonts w:ascii="Arial" w:eastAsia="Times New Roman" w:hAnsi="Arial" w:cs="Arial"/>
                <w:color w:val="000000"/>
                <w:sz w:val="12"/>
                <w:szCs w:val="12"/>
                <w:bdr w:val="none" w:sz="0" w:space="0" w:color="auto"/>
              </w:rPr>
              <w:br/>
              <w:t>Menaxhimit të</w:t>
            </w:r>
            <w:r w:rsidRPr="00F622DE">
              <w:rPr>
                <w:rFonts w:ascii="Arial" w:eastAsia="Times New Roman" w:hAnsi="Arial" w:cs="Arial"/>
                <w:color w:val="000000"/>
                <w:sz w:val="12"/>
                <w:szCs w:val="12"/>
                <w:bdr w:val="none" w:sz="0" w:space="0" w:color="auto"/>
              </w:rPr>
              <w:br/>
              <w:t>Integruar të</w:t>
            </w:r>
            <w:r w:rsidRPr="00F622DE">
              <w:rPr>
                <w:rFonts w:ascii="Arial" w:eastAsia="Times New Roman" w:hAnsi="Arial" w:cs="Arial"/>
                <w:color w:val="000000"/>
                <w:sz w:val="12"/>
                <w:szCs w:val="12"/>
                <w:bdr w:val="none" w:sz="0" w:space="0" w:color="auto"/>
              </w:rPr>
              <w:br/>
              <w:t>Burimeve</w:t>
            </w:r>
            <w:r w:rsidRPr="00F622DE">
              <w:rPr>
                <w:rFonts w:ascii="Arial" w:eastAsia="Times New Roman" w:hAnsi="Arial" w:cs="Arial"/>
                <w:color w:val="000000"/>
                <w:sz w:val="12"/>
                <w:szCs w:val="12"/>
                <w:bdr w:val="none" w:sz="0" w:space="0" w:color="auto"/>
              </w:rPr>
              <w:br/>
              <w:t>Ujore 2018-</w:t>
            </w:r>
            <w:r w:rsidRPr="00F622DE">
              <w:rPr>
                <w:rFonts w:ascii="Arial" w:eastAsia="Times New Roman" w:hAnsi="Arial" w:cs="Arial"/>
                <w:color w:val="000000"/>
                <w:sz w:val="12"/>
                <w:szCs w:val="12"/>
                <w:bdr w:val="none" w:sz="0" w:space="0" w:color="auto"/>
              </w:rPr>
              <w:br/>
              <w:t>2030</w:t>
            </w:r>
          </w:p>
        </w:tc>
        <w:tc>
          <w:tcPr>
            <w:tcW w:w="790" w:type="dxa"/>
            <w:tcBorders>
              <w:top w:val="nil"/>
              <w:left w:val="nil"/>
              <w:bottom w:val="single" w:sz="4" w:space="0" w:color="auto"/>
              <w:right w:val="single" w:sz="4" w:space="0" w:color="auto"/>
            </w:tcBorders>
            <w:shd w:val="clear" w:color="auto" w:fill="auto"/>
            <w:vAlign w:val="center"/>
            <w:hideMark/>
          </w:tcPr>
          <w:p w14:paraId="7D6BDB4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400E6EA3"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80DC7B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11</w:t>
            </w:r>
          </w:p>
        </w:tc>
        <w:tc>
          <w:tcPr>
            <w:tcW w:w="722" w:type="dxa"/>
            <w:tcBorders>
              <w:top w:val="nil"/>
              <w:left w:val="nil"/>
              <w:bottom w:val="single" w:sz="4" w:space="0" w:color="auto"/>
              <w:right w:val="single" w:sz="4" w:space="0" w:color="auto"/>
            </w:tcBorders>
            <w:shd w:val="clear" w:color="auto" w:fill="auto"/>
            <w:vAlign w:val="center"/>
            <w:hideMark/>
          </w:tcPr>
          <w:p w14:paraId="43B339E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rregullat e hollësishme të bashkerendimit të punës  ndërmjet ASHK-së dhe Agjencisë së Trajtimit të Pronës</w:t>
            </w:r>
          </w:p>
        </w:tc>
        <w:tc>
          <w:tcPr>
            <w:tcW w:w="670" w:type="dxa"/>
            <w:tcBorders>
              <w:top w:val="nil"/>
              <w:left w:val="nil"/>
              <w:bottom w:val="single" w:sz="4" w:space="0" w:color="auto"/>
              <w:right w:val="single" w:sz="4" w:space="0" w:color="auto"/>
            </w:tcBorders>
            <w:shd w:val="clear" w:color="auto" w:fill="auto"/>
            <w:vAlign w:val="center"/>
            <w:hideMark/>
          </w:tcPr>
          <w:p w14:paraId="4DC03F6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634C79D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(ASHK)</w:t>
            </w:r>
          </w:p>
        </w:tc>
        <w:tc>
          <w:tcPr>
            <w:tcW w:w="678" w:type="dxa"/>
            <w:tcBorders>
              <w:top w:val="nil"/>
              <w:left w:val="nil"/>
              <w:bottom w:val="single" w:sz="4" w:space="0" w:color="auto"/>
              <w:right w:val="single" w:sz="4" w:space="0" w:color="auto"/>
            </w:tcBorders>
            <w:shd w:val="clear" w:color="auto" w:fill="auto"/>
            <w:noWrap/>
            <w:vAlign w:val="center"/>
            <w:hideMark/>
          </w:tcPr>
          <w:p w14:paraId="07EB859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7170290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Në funksion të  ecurisë së  veprimtarisë së ASHK dhe detyrimeve që burojnë nga ligji nr.20/2020, datë 05.03.2020 " Për përfundimin e proceseve kalimtare të pronësisë në Republikën e Shqipërisë", neni 57, pika 3.</w:t>
            </w:r>
          </w:p>
        </w:tc>
        <w:tc>
          <w:tcPr>
            <w:tcW w:w="1233" w:type="dxa"/>
            <w:tcBorders>
              <w:top w:val="nil"/>
              <w:left w:val="nil"/>
              <w:bottom w:val="single" w:sz="4" w:space="0" w:color="auto"/>
              <w:right w:val="single" w:sz="4" w:space="0" w:color="auto"/>
            </w:tcBorders>
            <w:shd w:val="clear" w:color="auto" w:fill="auto"/>
            <w:vAlign w:val="center"/>
            <w:hideMark/>
          </w:tcPr>
          <w:p w14:paraId="76E2B61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Përcaktimi i rregullave të bashkërendimit të veprimtarise midis Agjencise Shteterore te Kadastres dhe Agjencise se Trajtimit te Prones</w:t>
            </w:r>
          </w:p>
        </w:tc>
        <w:tc>
          <w:tcPr>
            <w:tcW w:w="701" w:type="dxa"/>
            <w:tcBorders>
              <w:top w:val="nil"/>
              <w:left w:val="nil"/>
              <w:bottom w:val="single" w:sz="4" w:space="0" w:color="auto"/>
              <w:right w:val="single" w:sz="4" w:space="0" w:color="auto"/>
            </w:tcBorders>
            <w:shd w:val="clear" w:color="auto" w:fill="auto"/>
            <w:vAlign w:val="center"/>
            <w:hideMark/>
          </w:tcPr>
          <w:p w14:paraId="7270E51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7010FDD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Përputhet  me programin politik të qeverisë dhe konkretisht me kreun  "Siguria e prones" (faqe 36-37)</w:t>
            </w:r>
          </w:p>
        </w:tc>
        <w:tc>
          <w:tcPr>
            <w:tcW w:w="674" w:type="dxa"/>
            <w:tcBorders>
              <w:top w:val="nil"/>
              <w:left w:val="nil"/>
              <w:bottom w:val="single" w:sz="4" w:space="0" w:color="auto"/>
              <w:right w:val="single" w:sz="4" w:space="0" w:color="auto"/>
            </w:tcBorders>
            <w:shd w:val="clear" w:color="auto" w:fill="auto"/>
            <w:vAlign w:val="center"/>
            <w:hideMark/>
          </w:tcPr>
          <w:p w14:paraId="56E614C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këtij projektakti është në funksion të zbatimit të  Strategjise ndersektoriale " Reforma në fushen e të drejtave të pronesise në vitin 2012-2020(kapitulli II)</w:t>
            </w:r>
          </w:p>
        </w:tc>
        <w:tc>
          <w:tcPr>
            <w:tcW w:w="790" w:type="dxa"/>
            <w:tcBorders>
              <w:top w:val="nil"/>
              <w:left w:val="nil"/>
              <w:bottom w:val="single" w:sz="4" w:space="0" w:color="auto"/>
              <w:right w:val="single" w:sz="4" w:space="0" w:color="auto"/>
            </w:tcBorders>
            <w:shd w:val="clear" w:color="auto" w:fill="auto"/>
            <w:vAlign w:val="center"/>
            <w:hideMark/>
          </w:tcPr>
          <w:p w14:paraId="53B774F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Jo/  ka karakter teknik </w:t>
            </w:r>
          </w:p>
        </w:tc>
      </w:tr>
      <w:tr w:rsidR="00F622DE" w:rsidRPr="00F622DE" w14:paraId="1B437DAA"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04B72D5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12</w:t>
            </w:r>
          </w:p>
        </w:tc>
        <w:tc>
          <w:tcPr>
            <w:tcW w:w="722" w:type="dxa"/>
            <w:tcBorders>
              <w:top w:val="nil"/>
              <w:left w:val="nil"/>
              <w:bottom w:val="single" w:sz="4" w:space="0" w:color="auto"/>
              <w:right w:val="single" w:sz="4" w:space="0" w:color="auto"/>
            </w:tcBorders>
            <w:shd w:val="clear" w:color="auto" w:fill="auto"/>
            <w:vAlign w:val="center"/>
            <w:hideMark/>
          </w:tcPr>
          <w:p w14:paraId="02526EE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metodologjisë per llogaritjen së çmimeve të tokës ne RSH</w:t>
            </w:r>
          </w:p>
        </w:tc>
        <w:tc>
          <w:tcPr>
            <w:tcW w:w="670" w:type="dxa"/>
            <w:tcBorders>
              <w:top w:val="nil"/>
              <w:left w:val="nil"/>
              <w:bottom w:val="single" w:sz="4" w:space="0" w:color="auto"/>
              <w:right w:val="single" w:sz="4" w:space="0" w:color="auto"/>
            </w:tcBorders>
            <w:shd w:val="clear" w:color="auto" w:fill="auto"/>
            <w:vAlign w:val="center"/>
            <w:hideMark/>
          </w:tcPr>
          <w:p w14:paraId="2F75F5D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5B64924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(ASHK)</w:t>
            </w:r>
          </w:p>
        </w:tc>
        <w:tc>
          <w:tcPr>
            <w:tcW w:w="678" w:type="dxa"/>
            <w:tcBorders>
              <w:top w:val="nil"/>
              <w:left w:val="nil"/>
              <w:bottom w:val="single" w:sz="4" w:space="0" w:color="auto"/>
              <w:right w:val="single" w:sz="4" w:space="0" w:color="auto"/>
            </w:tcBorders>
            <w:shd w:val="clear" w:color="auto" w:fill="auto"/>
            <w:noWrap/>
            <w:vAlign w:val="center"/>
            <w:hideMark/>
          </w:tcPr>
          <w:p w14:paraId="3C4D34A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78E958E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Në funksion të përmirësimit të punës dhe ecurisë së  veprimtarisë së ASHK dhe detyrimeve që burojnë nga ligji  nr.111/2018 " Për Kadastrën", neni 9, pika 2, germa k.</w:t>
            </w:r>
          </w:p>
        </w:tc>
        <w:tc>
          <w:tcPr>
            <w:tcW w:w="1233" w:type="dxa"/>
            <w:tcBorders>
              <w:top w:val="nil"/>
              <w:left w:val="nil"/>
              <w:bottom w:val="single" w:sz="4" w:space="0" w:color="auto"/>
              <w:right w:val="single" w:sz="4" w:space="0" w:color="auto"/>
            </w:tcBorders>
            <w:shd w:val="clear" w:color="auto" w:fill="auto"/>
            <w:vAlign w:val="center"/>
            <w:hideMark/>
          </w:tcPr>
          <w:p w14:paraId="2B04BA9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Përcakton metodologjinë e vlerësimit të pronave të paluajtshme(tokës) në RSH, në zbatim të nenit 9/2/k  të ligjit nr.111/2018 " Për Kadastrën" </w:t>
            </w:r>
          </w:p>
        </w:tc>
        <w:tc>
          <w:tcPr>
            <w:tcW w:w="701" w:type="dxa"/>
            <w:tcBorders>
              <w:top w:val="nil"/>
              <w:left w:val="nil"/>
              <w:bottom w:val="single" w:sz="4" w:space="0" w:color="auto"/>
              <w:right w:val="single" w:sz="4" w:space="0" w:color="auto"/>
            </w:tcBorders>
            <w:shd w:val="clear" w:color="auto" w:fill="auto"/>
            <w:vAlign w:val="center"/>
            <w:hideMark/>
          </w:tcPr>
          <w:p w14:paraId="6F77D61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635D7EB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Përputhet  me programin politik të qeverisë dhe konkretisht me kreun  "Siguria e prones" (faqe 36-37)</w:t>
            </w:r>
          </w:p>
        </w:tc>
        <w:tc>
          <w:tcPr>
            <w:tcW w:w="674" w:type="dxa"/>
            <w:tcBorders>
              <w:top w:val="nil"/>
              <w:left w:val="nil"/>
              <w:bottom w:val="single" w:sz="4" w:space="0" w:color="auto"/>
              <w:right w:val="single" w:sz="4" w:space="0" w:color="auto"/>
            </w:tcBorders>
            <w:shd w:val="clear" w:color="auto" w:fill="auto"/>
            <w:vAlign w:val="center"/>
            <w:hideMark/>
          </w:tcPr>
          <w:p w14:paraId="14D2C8E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këtij projektakti është në funksion të zbatimit të  Strategjise ndersektoriale " Reforma në fushën e të drejtave të pronësisë në vitin 2012-2020(kapitulli II)</w:t>
            </w:r>
          </w:p>
        </w:tc>
        <w:tc>
          <w:tcPr>
            <w:tcW w:w="790" w:type="dxa"/>
            <w:tcBorders>
              <w:top w:val="nil"/>
              <w:left w:val="nil"/>
              <w:bottom w:val="single" w:sz="4" w:space="0" w:color="auto"/>
              <w:right w:val="single" w:sz="4" w:space="0" w:color="auto"/>
            </w:tcBorders>
            <w:shd w:val="clear" w:color="auto" w:fill="auto"/>
            <w:vAlign w:val="center"/>
            <w:hideMark/>
          </w:tcPr>
          <w:p w14:paraId="75716BD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ndikim ekonomik dhe social</w:t>
            </w:r>
          </w:p>
        </w:tc>
      </w:tr>
      <w:tr w:rsidR="00F622DE" w:rsidRPr="00F622DE" w14:paraId="68F3F8CC"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073892C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13</w:t>
            </w:r>
          </w:p>
        </w:tc>
        <w:tc>
          <w:tcPr>
            <w:tcW w:w="722" w:type="dxa"/>
            <w:tcBorders>
              <w:top w:val="nil"/>
              <w:left w:val="nil"/>
              <w:bottom w:val="single" w:sz="4" w:space="0" w:color="auto"/>
              <w:right w:val="single" w:sz="4" w:space="0" w:color="auto"/>
            </w:tcBorders>
            <w:shd w:val="clear" w:color="auto" w:fill="auto"/>
            <w:vAlign w:val="center"/>
            <w:hideMark/>
          </w:tcPr>
          <w:p w14:paraId="2064136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përcaktimin e elementeve formale të akteve noteriale, vendimeve gjyqësore apo akteve administrative që kontrollohen për efekt regjistrimi</w:t>
            </w:r>
          </w:p>
        </w:tc>
        <w:tc>
          <w:tcPr>
            <w:tcW w:w="670" w:type="dxa"/>
            <w:tcBorders>
              <w:top w:val="nil"/>
              <w:left w:val="nil"/>
              <w:bottom w:val="single" w:sz="4" w:space="0" w:color="auto"/>
              <w:right w:val="single" w:sz="4" w:space="0" w:color="auto"/>
            </w:tcBorders>
            <w:shd w:val="clear" w:color="auto" w:fill="auto"/>
            <w:vAlign w:val="center"/>
            <w:hideMark/>
          </w:tcPr>
          <w:p w14:paraId="3A49C70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B64A17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(ASHK)</w:t>
            </w:r>
          </w:p>
        </w:tc>
        <w:tc>
          <w:tcPr>
            <w:tcW w:w="678" w:type="dxa"/>
            <w:tcBorders>
              <w:top w:val="nil"/>
              <w:left w:val="nil"/>
              <w:bottom w:val="single" w:sz="4" w:space="0" w:color="auto"/>
              <w:right w:val="single" w:sz="4" w:space="0" w:color="auto"/>
            </w:tcBorders>
            <w:shd w:val="clear" w:color="auto" w:fill="auto"/>
            <w:noWrap/>
            <w:vAlign w:val="center"/>
            <w:hideMark/>
          </w:tcPr>
          <w:p w14:paraId="1E9266B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717B14D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Në funksion të përmirësimit të punës dhe ecurisë së  veprimtarisë së ASHK dhe detyrimeve që burojnë nga ligji nr. 111/2018 "Për Kadastrën, neni 71, germa b).</w:t>
            </w:r>
          </w:p>
        </w:tc>
        <w:tc>
          <w:tcPr>
            <w:tcW w:w="1233" w:type="dxa"/>
            <w:tcBorders>
              <w:top w:val="nil"/>
              <w:left w:val="nil"/>
              <w:bottom w:val="single" w:sz="4" w:space="0" w:color="auto"/>
              <w:right w:val="single" w:sz="4" w:space="0" w:color="auto"/>
            </w:tcBorders>
            <w:shd w:val="clear" w:color="auto" w:fill="auto"/>
            <w:vAlign w:val="center"/>
            <w:hideMark/>
          </w:tcPr>
          <w:p w14:paraId="19DBED0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Përcaktimi i rregullave dhe procedurave që do të ndiqen nga Ashk gjatë verifikimit të regjistrimit të akteve noteriale, vendimeve gjyqësore apo akteve administrative të aplikuara për regjistrim</w:t>
            </w:r>
          </w:p>
        </w:tc>
        <w:tc>
          <w:tcPr>
            <w:tcW w:w="701" w:type="dxa"/>
            <w:tcBorders>
              <w:top w:val="nil"/>
              <w:left w:val="nil"/>
              <w:bottom w:val="single" w:sz="4" w:space="0" w:color="auto"/>
              <w:right w:val="single" w:sz="4" w:space="0" w:color="auto"/>
            </w:tcBorders>
            <w:shd w:val="clear" w:color="auto" w:fill="auto"/>
            <w:vAlign w:val="center"/>
            <w:hideMark/>
          </w:tcPr>
          <w:p w14:paraId="251FF1F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5591755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Përputhet  me programin politik të qeverisë dhe konkretisht me kreun  "Siguria e prones" (faqe 36-37)</w:t>
            </w:r>
          </w:p>
        </w:tc>
        <w:tc>
          <w:tcPr>
            <w:tcW w:w="674" w:type="dxa"/>
            <w:tcBorders>
              <w:top w:val="nil"/>
              <w:left w:val="nil"/>
              <w:bottom w:val="single" w:sz="4" w:space="0" w:color="auto"/>
              <w:right w:val="single" w:sz="4" w:space="0" w:color="auto"/>
            </w:tcBorders>
            <w:shd w:val="clear" w:color="auto" w:fill="auto"/>
            <w:vAlign w:val="center"/>
            <w:hideMark/>
          </w:tcPr>
          <w:p w14:paraId="484EFBF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këtij projektakti është në funksion të zbatimit të  Strategjise ndersektoriale " Reforma në fushen e të drejtave të pronësisë në vitin 2012-2020(kapitulli II)</w:t>
            </w:r>
          </w:p>
        </w:tc>
        <w:tc>
          <w:tcPr>
            <w:tcW w:w="790" w:type="dxa"/>
            <w:tcBorders>
              <w:top w:val="nil"/>
              <w:left w:val="nil"/>
              <w:bottom w:val="single" w:sz="4" w:space="0" w:color="auto"/>
              <w:right w:val="single" w:sz="4" w:space="0" w:color="auto"/>
            </w:tcBorders>
            <w:shd w:val="clear" w:color="auto" w:fill="auto"/>
            <w:vAlign w:val="center"/>
            <w:hideMark/>
          </w:tcPr>
          <w:p w14:paraId="19262F5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 ka karakter teknik</w:t>
            </w:r>
          </w:p>
        </w:tc>
      </w:tr>
      <w:tr w:rsidR="00F622DE" w:rsidRPr="00F622DE" w14:paraId="1B0ABCB4"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29C872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14</w:t>
            </w:r>
          </w:p>
        </w:tc>
        <w:tc>
          <w:tcPr>
            <w:tcW w:w="722" w:type="dxa"/>
            <w:tcBorders>
              <w:top w:val="nil"/>
              <w:left w:val="nil"/>
              <w:bottom w:val="single" w:sz="4" w:space="0" w:color="auto"/>
              <w:right w:val="single" w:sz="4" w:space="0" w:color="auto"/>
            </w:tcBorders>
            <w:shd w:val="clear" w:color="auto" w:fill="auto"/>
            <w:vAlign w:val="center"/>
            <w:hideMark/>
          </w:tcPr>
          <w:p w14:paraId="79FA6D6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përcaktimin e procedurave të hollësishme dhe modeli i aktit të kalimit të pronësi të truallit shtetëror në përdorim</w:t>
            </w:r>
          </w:p>
        </w:tc>
        <w:tc>
          <w:tcPr>
            <w:tcW w:w="670" w:type="dxa"/>
            <w:tcBorders>
              <w:top w:val="nil"/>
              <w:left w:val="nil"/>
              <w:bottom w:val="single" w:sz="4" w:space="0" w:color="auto"/>
              <w:right w:val="single" w:sz="4" w:space="0" w:color="auto"/>
            </w:tcBorders>
            <w:shd w:val="clear" w:color="auto" w:fill="auto"/>
            <w:vAlign w:val="center"/>
            <w:hideMark/>
          </w:tcPr>
          <w:p w14:paraId="1743570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0D6F000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(ASHK)</w:t>
            </w:r>
          </w:p>
        </w:tc>
        <w:tc>
          <w:tcPr>
            <w:tcW w:w="678" w:type="dxa"/>
            <w:tcBorders>
              <w:top w:val="nil"/>
              <w:left w:val="nil"/>
              <w:bottom w:val="single" w:sz="4" w:space="0" w:color="auto"/>
              <w:right w:val="single" w:sz="4" w:space="0" w:color="auto"/>
            </w:tcBorders>
            <w:shd w:val="clear" w:color="auto" w:fill="auto"/>
            <w:noWrap/>
            <w:vAlign w:val="center"/>
            <w:hideMark/>
          </w:tcPr>
          <w:p w14:paraId="766043B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6612880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Në funksion të  ecurise së  veprimtarisë së ASHK dhe detyrimeve që burojnë nga ligji nr.20/2020, datë 05.03.2020 " Për përfundimin e proceseve kalimtare të pronësisë në Republikën e Shqipërisë", neni 63, pika 4.</w:t>
            </w:r>
          </w:p>
        </w:tc>
        <w:tc>
          <w:tcPr>
            <w:tcW w:w="1233" w:type="dxa"/>
            <w:tcBorders>
              <w:top w:val="nil"/>
              <w:left w:val="nil"/>
              <w:bottom w:val="single" w:sz="4" w:space="0" w:color="auto"/>
              <w:right w:val="single" w:sz="4" w:space="0" w:color="auto"/>
            </w:tcBorders>
            <w:shd w:val="clear" w:color="auto" w:fill="auto"/>
            <w:vAlign w:val="center"/>
            <w:hideMark/>
          </w:tcPr>
          <w:p w14:paraId="6FF9C94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Përcaktimi i procedurave  dhe modeli i aktit për kalimin e pronësisë së trojeve shtetërore  ne perdorim</w:t>
            </w:r>
          </w:p>
        </w:tc>
        <w:tc>
          <w:tcPr>
            <w:tcW w:w="701" w:type="dxa"/>
            <w:tcBorders>
              <w:top w:val="nil"/>
              <w:left w:val="nil"/>
              <w:bottom w:val="single" w:sz="4" w:space="0" w:color="auto"/>
              <w:right w:val="single" w:sz="4" w:space="0" w:color="auto"/>
            </w:tcBorders>
            <w:shd w:val="clear" w:color="auto" w:fill="auto"/>
            <w:vAlign w:val="center"/>
            <w:hideMark/>
          </w:tcPr>
          <w:p w14:paraId="5CAB032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27A5CEA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Përputhet  me programin politik të qeverisë dhe konkretisht me kreun  "Siguria e prones" (faqe 36-37)</w:t>
            </w:r>
          </w:p>
        </w:tc>
        <w:tc>
          <w:tcPr>
            <w:tcW w:w="674" w:type="dxa"/>
            <w:tcBorders>
              <w:top w:val="nil"/>
              <w:left w:val="nil"/>
              <w:bottom w:val="single" w:sz="4" w:space="0" w:color="auto"/>
              <w:right w:val="single" w:sz="4" w:space="0" w:color="auto"/>
            </w:tcBorders>
            <w:shd w:val="clear" w:color="auto" w:fill="auto"/>
            <w:vAlign w:val="center"/>
            <w:hideMark/>
          </w:tcPr>
          <w:p w14:paraId="1EF5DFC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këtij projektakti është në funksion të zbatimit të  Strategjise ndersektoriale " Reforma në fushen e të drejtave të pronësisë në vitin 2012-2020(kapitulli II)</w:t>
            </w:r>
          </w:p>
        </w:tc>
        <w:tc>
          <w:tcPr>
            <w:tcW w:w="790" w:type="dxa"/>
            <w:tcBorders>
              <w:top w:val="nil"/>
              <w:left w:val="nil"/>
              <w:bottom w:val="single" w:sz="4" w:space="0" w:color="auto"/>
              <w:right w:val="single" w:sz="4" w:space="0" w:color="auto"/>
            </w:tcBorders>
            <w:shd w:val="clear" w:color="auto" w:fill="auto"/>
            <w:vAlign w:val="center"/>
            <w:hideMark/>
          </w:tcPr>
          <w:p w14:paraId="599743A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ndikim social</w:t>
            </w:r>
          </w:p>
        </w:tc>
      </w:tr>
      <w:tr w:rsidR="00F622DE" w:rsidRPr="00F622DE" w14:paraId="2D3663E4"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05F5FBD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15</w:t>
            </w:r>
          </w:p>
        </w:tc>
        <w:tc>
          <w:tcPr>
            <w:tcW w:w="722" w:type="dxa"/>
            <w:tcBorders>
              <w:top w:val="nil"/>
              <w:left w:val="nil"/>
              <w:bottom w:val="single" w:sz="4" w:space="0" w:color="auto"/>
              <w:right w:val="single" w:sz="4" w:space="0" w:color="auto"/>
            </w:tcBorders>
            <w:shd w:val="clear" w:color="auto" w:fill="auto"/>
            <w:vAlign w:val="center"/>
            <w:hideMark/>
          </w:tcPr>
          <w:p w14:paraId="48CC292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disa ndryshime  ne VKM nr.1179, datë 24.12.2020 "Për rregullat e përdorimit, administrimit dhe ruajtjes së bazës së të dhënave për pasuritë e paluajtshme dhe për miratimin e listës së institucioneve që kanë të drejtën e aksesit në sistemin elektronik të të dhënave"</w:t>
            </w:r>
          </w:p>
        </w:tc>
        <w:tc>
          <w:tcPr>
            <w:tcW w:w="670" w:type="dxa"/>
            <w:tcBorders>
              <w:top w:val="nil"/>
              <w:left w:val="nil"/>
              <w:bottom w:val="single" w:sz="4" w:space="0" w:color="auto"/>
              <w:right w:val="single" w:sz="4" w:space="0" w:color="auto"/>
            </w:tcBorders>
            <w:shd w:val="clear" w:color="auto" w:fill="auto"/>
            <w:vAlign w:val="center"/>
            <w:hideMark/>
          </w:tcPr>
          <w:p w14:paraId="5B5364C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294F100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(ASHK)</w:t>
            </w:r>
          </w:p>
        </w:tc>
        <w:tc>
          <w:tcPr>
            <w:tcW w:w="678" w:type="dxa"/>
            <w:tcBorders>
              <w:top w:val="nil"/>
              <w:left w:val="nil"/>
              <w:bottom w:val="single" w:sz="4" w:space="0" w:color="auto"/>
              <w:right w:val="single" w:sz="4" w:space="0" w:color="auto"/>
            </w:tcBorders>
            <w:shd w:val="clear" w:color="auto" w:fill="auto"/>
            <w:noWrap/>
            <w:vAlign w:val="center"/>
            <w:hideMark/>
          </w:tcPr>
          <w:p w14:paraId="592774B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59B4D6C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Në funksion të  ecurise së  veprimtarisë së ASHK dhe detyrimeve që burojnë nga ligji nr.111/2018 "Per Kadastren"</w:t>
            </w:r>
          </w:p>
        </w:tc>
        <w:tc>
          <w:tcPr>
            <w:tcW w:w="1233" w:type="dxa"/>
            <w:tcBorders>
              <w:top w:val="nil"/>
              <w:left w:val="nil"/>
              <w:bottom w:val="single" w:sz="4" w:space="0" w:color="auto"/>
              <w:right w:val="single" w:sz="4" w:space="0" w:color="auto"/>
            </w:tcBorders>
            <w:shd w:val="clear" w:color="auto" w:fill="auto"/>
            <w:vAlign w:val="center"/>
            <w:hideMark/>
          </w:tcPr>
          <w:p w14:paraId="09A0BC1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Të dhenat, aksesesi dhe subjektet që kanë të drejtën e aksesit në regjistrin e lejes së ndertimit</w:t>
            </w:r>
          </w:p>
        </w:tc>
        <w:tc>
          <w:tcPr>
            <w:tcW w:w="701" w:type="dxa"/>
            <w:tcBorders>
              <w:top w:val="nil"/>
              <w:left w:val="nil"/>
              <w:bottom w:val="single" w:sz="4" w:space="0" w:color="auto"/>
              <w:right w:val="single" w:sz="4" w:space="0" w:color="auto"/>
            </w:tcBorders>
            <w:shd w:val="clear" w:color="auto" w:fill="auto"/>
            <w:vAlign w:val="center"/>
            <w:hideMark/>
          </w:tcPr>
          <w:p w14:paraId="765D1E8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6D697FF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Përputhet  me programin politik të qeverisë dhe konkretisht me kreun  "Siguria e prones" (faqe 36-37)</w:t>
            </w:r>
          </w:p>
        </w:tc>
        <w:tc>
          <w:tcPr>
            <w:tcW w:w="674" w:type="dxa"/>
            <w:tcBorders>
              <w:top w:val="nil"/>
              <w:left w:val="nil"/>
              <w:bottom w:val="single" w:sz="4" w:space="0" w:color="auto"/>
              <w:right w:val="single" w:sz="4" w:space="0" w:color="auto"/>
            </w:tcBorders>
            <w:shd w:val="clear" w:color="auto" w:fill="auto"/>
            <w:vAlign w:val="center"/>
            <w:hideMark/>
          </w:tcPr>
          <w:p w14:paraId="035E9C2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këtij projektakti është në funksion të zbatimit të  Strategjise ndersektoriale " Reforma në fushen e të drejtave të pronësisë në vitin 2012-2020(kapitulli II)</w:t>
            </w:r>
          </w:p>
        </w:tc>
        <w:tc>
          <w:tcPr>
            <w:tcW w:w="790" w:type="dxa"/>
            <w:tcBorders>
              <w:top w:val="nil"/>
              <w:left w:val="nil"/>
              <w:bottom w:val="single" w:sz="4" w:space="0" w:color="auto"/>
              <w:right w:val="single" w:sz="4" w:space="0" w:color="auto"/>
            </w:tcBorders>
            <w:shd w:val="clear" w:color="auto" w:fill="auto"/>
            <w:vAlign w:val="center"/>
            <w:hideMark/>
          </w:tcPr>
          <w:p w14:paraId="5F99E01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 ka karakter teknik</w:t>
            </w:r>
          </w:p>
        </w:tc>
      </w:tr>
      <w:tr w:rsidR="00F622DE" w:rsidRPr="00F622DE" w14:paraId="5569025B"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1AA2E8A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16</w:t>
            </w:r>
          </w:p>
        </w:tc>
        <w:tc>
          <w:tcPr>
            <w:tcW w:w="722" w:type="dxa"/>
            <w:tcBorders>
              <w:top w:val="nil"/>
              <w:left w:val="nil"/>
              <w:bottom w:val="single" w:sz="4" w:space="0" w:color="auto"/>
              <w:right w:val="single" w:sz="4" w:space="0" w:color="auto"/>
            </w:tcBorders>
            <w:shd w:val="clear" w:color="auto" w:fill="auto"/>
            <w:vAlign w:val="center"/>
            <w:hideMark/>
          </w:tcPr>
          <w:p w14:paraId="76C381A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rregullave për administrimin e regjistrit të objekteve të konfiskuara, të dhënat parësore dhe dytësore te tij, subjektet e interesuara dhe niveli I aksesit</w:t>
            </w:r>
          </w:p>
        </w:tc>
        <w:tc>
          <w:tcPr>
            <w:tcW w:w="670" w:type="dxa"/>
            <w:tcBorders>
              <w:top w:val="nil"/>
              <w:left w:val="nil"/>
              <w:bottom w:val="single" w:sz="4" w:space="0" w:color="auto"/>
              <w:right w:val="single" w:sz="4" w:space="0" w:color="auto"/>
            </w:tcBorders>
            <w:shd w:val="clear" w:color="auto" w:fill="auto"/>
            <w:vAlign w:val="center"/>
            <w:hideMark/>
          </w:tcPr>
          <w:p w14:paraId="455154E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5C332A8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(ASHK)</w:t>
            </w:r>
          </w:p>
        </w:tc>
        <w:tc>
          <w:tcPr>
            <w:tcW w:w="678" w:type="dxa"/>
            <w:tcBorders>
              <w:top w:val="nil"/>
              <w:left w:val="nil"/>
              <w:bottom w:val="single" w:sz="4" w:space="0" w:color="auto"/>
              <w:right w:val="single" w:sz="4" w:space="0" w:color="auto"/>
            </w:tcBorders>
            <w:shd w:val="clear" w:color="auto" w:fill="auto"/>
            <w:noWrap/>
            <w:vAlign w:val="center"/>
            <w:hideMark/>
          </w:tcPr>
          <w:p w14:paraId="31F2C27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491A8DF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Në funksion të zbatimit të detyrimeve që burojnë nga ligji nr.66/2023 " Për administrimin e objekteve të konfiskuara si ndërtimet pa leje  me qellim perdorimin e tyreper interes publik apo strehim social si dhe zbutjen e pasojave sociale te shkaktuara" </w:t>
            </w:r>
          </w:p>
        </w:tc>
        <w:tc>
          <w:tcPr>
            <w:tcW w:w="1233" w:type="dxa"/>
            <w:tcBorders>
              <w:top w:val="nil"/>
              <w:left w:val="nil"/>
              <w:bottom w:val="single" w:sz="4" w:space="0" w:color="auto"/>
              <w:right w:val="single" w:sz="4" w:space="0" w:color="auto"/>
            </w:tcBorders>
            <w:shd w:val="clear" w:color="auto" w:fill="auto"/>
            <w:vAlign w:val="center"/>
            <w:hideMark/>
          </w:tcPr>
          <w:p w14:paraId="1AC534E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rregullave per administrimin e regjistrit te objekteve te konfiskuara</w:t>
            </w:r>
          </w:p>
        </w:tc>
        <w:tc>
          <w:tcPr>
            <w:tcW w:w="701" w:type="dxa"/>
            <w:tcBorders>
              <w:top w:val="nil"/>
              <w:left w:val="nil"/>
              <w:bottom w:val="single" w:sz="4" w:space="0" w:color="auto"/>
              <w:right w:val="single" w:sz="4" w:space="0" w:color="auto"/>
            </w:tcBorders>
            <w:shd w:val="clear" w:color="auto" w:fill="auto"/>
            <w:vAlign w:val="center"/>
            <w:hideMark/>
          </w:tcPr>
          <w:p w14:paraId="1A8BDC5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0290953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Përputhet  me programin politik të qeverisë dhe konkretisht me kreun  "Siguria e prones" (faqe 36-37)</w:t>
            </w:r>
          </w:p>
        </w:tc>
        <w:tc>
          <w:tcPr>
            <w:tcW w:w="674" w:type="dxa"/>
            <w:tcBorders>
              <w:top w:val="nil"/>
              <w:left w:val="nil"/>
              <w:bottom w:val="single" w:sz="4" w:space="0" w:color="auto"/>
              <w:right w:val="single" w:sz="4" w:space="0" w:color="auto"/>
            </w:tcBorders>
            <w:shd w:val="clear" w:color="auto" w:fill="auto"/>
            <w:vAlign w:val="center"/>
            <w:hideMark/>
          </w:tcPr>
          <w:p w14:paraId="7FB99E9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këtij projektakti është në funksion të zbatimit të  Strategjise ndersektoriale " Reforma në fushen e të drejtave të pronësisë në vitin 2012-2020(kapitulli II)</w:t>
            </w:r>
          </w:p>
        </w:tc>
        <w:tc>
          <w:tcPr>
            <w:tcW w:w="790" w:type="dxa"/>
            <w:tcBorders>
              <w:top w:val="nil"/>
              <w:left w:val="nil"/>
              <w:bottom w:val="single" w:sz="4" w:space="0" w:color="auto"/>
              <w:right w:val="single" w:sz="4" w:space="0" w:color="auto"/>
            </w:tcBorders>
            <w:shd w:val="clear" w:color="auto" w:fill="auto"/>
            <w:vAlign w:val="center"/>
            <w:hideMark/>
          </w:tcPr>
          <w:p w14:paraId="0F05325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 ka karakter teknik</w:t>
            </w:r>
          </w:p>
        </w:tc>
      </w:tr>
      <w:tr w:rsidR="00F622DE" w:rsidRPr="00F622DE" w14:paraId="59E6A40C"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388C333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17</w:t>
            </w:r>
          </w:p>
        </w:tc>
        <w:tc>
          <w:tcPr>
            <w:tcW w:w="722" w:type="dxa"/>
            <w:tcBorders>
              <w:top w:val="nil"/>
              <w:left w:val="nil"/>
              <w:bottom w:val="single" w:sz="4" w:space="0" w:color="auto"/>
              <w:right w:val="single" w:sz="4" w:space="0" w:color="auto"/>
            </w:tcBorders>
            <w:shd w:val="clear" w:color="000000" w:fill="FFFFFF"/>
            <w:vAlign w:val="center"/>
            <w:hideMark/>
          </w:tcPr>
          <w:p w14:paraId="75960D9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disa ndryshime dhe shtesa në ligjin nr. 72/2012 “Për organizimin dhe funksionimin e infrastrukturës kombëtare të informacionit gjeohapësinor në Republikën e Shqipërisë”</w:t>
            </w:r>
          </w:p>
        </w:tc>
        <w:tc>
          <w:tcPr>
            <w:tcW w:w="670" w:type="dxa"/>
            <w:tcBorders>
              <w:top w:val="nil"/>
              <w:left w:val="nil"/>
              <w:bottom w:val="single" w:sz="4" w:space="0" w:color="auto"/>
              <w:right w:val="single" w:sz="4" w:space="0" w:color="auto"/>
            </w:tcBorders>
            <w:shd w:val="clear" w:color="000000" w:fill="FFFFFF"/>
            <w:vAlign w:val="center"/>
            <w:hideMark/>
          </w:tcPr>
          <w:p w14:paraId="189330D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Projektligj</w:t>
            </w:r>
          </w:p>
        </w:tc>
        <w:tc>
          <w:tcPr>
            <w:tcW w:w="1573" w:type="dxa"/>
            <w:tcBorders>
              <w:top w:val="nil"/>
              <w:left w:val="nil"/>
              <w:bottom w:val="single" w:sz="4" w:space="0" w:color="auto"/>
              <w:right w:val="single" w:sz="4" w:space="0" w:color="auto"/>
            </w:tcBorders>
            <w:shd w:val="clear" w:color="auto" w:fill="auto"/>
            <w:vAlign w:val="center"/>
            <w:hideMark/>
          </w:tcPr>
          <w:p w14:paraId="61C4A42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(ASIG)</w:t>
            </w:r>
          </w:p>
        </w:tc>
        <w:tc>
          <w:tcPr>
            <w:tcW w:w="678" w:type="dxa"/>
            <w:tcBorders>
              <w:top w:val="nil"/>
              <w:left w:val="nil"/>
              <w:bottom w:val="single" w:sz="4" w:space="0" w:color="auto"/>
              <w:right w:val="single" w:sz="4" w:space="0" w:color="auto"/>
            </w:tcBorders>
            <w:shd w:val="clear" w:color="auto" w:fill="auto"/>
            <w:noWrap/>
            <w:vAlign w:val="center"/>
            <w:hideMark/>
          </w:tcPr>
          <w:p w14:paraId="4FDA716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0A3CE18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Nevoja për krijimin e infrastrukturës së Informacionit Gjeohapësinor në Shqipëri, bazuar në prioritetet e dokumentit të politikave për sektorin e gjeoinformacionitmiratuar me VKM Nr. 402, datë 20.05.2020.</w:t>
            </w:r>
          </w:p>
        </w:tc>
        <w:tc>
          <w:tcPr>
            <w:tcW w:w="1233" w:type="dxa"/>
            <w:tcBorders>
              <w:top w:val="nil"/>
              <w:left w:val="nil"/>
              <w:bottom w:val="single" w:sz="4" w:space="0" w:color="auto"/>
              <w:right w:val="single" w:sz="4" w:space="0" w:color="auto"/>
            </w:tcBorders>
            <w:shd w:val="clear" w:color="auto" w:fill="auto"/>
            <w:vAlign w:val="center"/>
            <w:hideMark/>
          </w:tcPr>
          <w:p w14:paraId="5CA47D2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Detyrat e ASIG si Autoritet Kombëtar për zbatimin e politikave në fushën e gjeoinformacionit (Sipas dokumentit të politikave që është përcjellë për miratim në Këshillin e Ministrave),  </w:t>
            </w:r>
          </w:p>
        </w:tc>
        <w:tc>
          <w:tcPr>
            <w:tcW w:w="701" w:type="dxa"/>
            <w:tcBorders>
              <w:top w:val="nil"/>
              <w:left w:val="nil"/>
              <w:bottom w:val="single" w:sz="4" w:space="0" w:color="auto"/>
              <w:right w:val="single" w:sz="4" w:space="0" w:color="auto"/>
            </w:tcBorders>
            <w:shd w:val="clear" w:color="auto" w:fill="auto"/>
            <w:noWrap/>
            <w:vAlign w:val="center"/>
            <w:hideMark/>
          </w:tcPr>
          <w:p w14:paraId="2D618F0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12B95EF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Angazhimi nr. 77, Shoqëria digjitale, "Përmirësim dhe modernizim i sistemeve elektronike në të gjithë sektorët".</w:t>
            </w:r>
          </w:p>
        </w:tc>
        <w:tc>
          <w:tcPr>
            <w:tcW w:w="674" w:type="dxa"/>
            <w:tcBorders>
              <w:top w:val="nil"/>
              <w:left w:val="nil"/>
              <w:bottom w:val="single" w:sz="4" w:space="0" w:color="auto"/>
              <w:right w:val="single" w:sz="4" w:space="0" w:color="auto"/>
            </w:tcBorders>
            <w:shd w:val="clear" w:color="auto" w:fill="auto"/>
            <w:vAlign w:val="center"/>
            <w:hideMark/>
          </w:tcPr>
          <w:p w14:paraId="6C7D8FA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Dokumenti I  politikave “Për Qeverisjen e Sektorit të Informacionit Gjeohapësinor në Shqipëri, 2020-2030”, miratuar me VKM Nr. 402, datë 20.05.2020.</w:t>
            </w:r>
          </w:p>
        </w:tc>
        <w:tc>
          <w:tcPr>
            <w:tcW w:w="790" w:type="dxa"/>
            <w:tcBorders>
              <w:top w:val="nil"/>
              <w:left w:val="nil"/>
              <w:bottom w:val="single" w:sz="4" w:space="0" w:color="auto"/>
              <w:right w:val="single" w:sz="8" w:space="0" w:color="auto"/>
            </w:tcBorders>
            <w:shd w:val="clear" w:color="auto" w:fill="auto"/>
            <w:noWrap/>
            <w:vAlign w:val="center"/>
            <w:hideMark/>
          </w:tcPr>
          <w:p w14:paraId="27FE17E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532CAFE8"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003038A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18</w:t>
            </w:r>
          </w:p>
        </w:tc>
        <w:tc>
          <w:tcPr>
            <w:tcW w:w="722" w:type="dxa"/>
            <w:tcBorders>
              <w:top w:val="nil"/>
              <w:left w:val="nil"/>
              <w:bottom w:val="single" w:sz="4" w:space="0" w:color="auto"/>
              <w:right w:val="single" w:sz="4" w:space="0" w:color="auto"/>
            </w:tcBorders>
            <w:shd w:val="clear" w:color="auto" w:fill="auto"/>
            <w:vAlign w:val="center"/>
            <w:hideMark/>
          </w:tcPr>
          <w:p w14:paraId="54F92AE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marrëdhëniet e Avokaturës së Shtetit dhe personave juridikë në kuadër të ofrimit të asistencës juridike, rolin e avokatëve të shtetit në gjykim, si dhe norma të posaçme procedurale</w:t>
            </w:r>
          </w:p>
        </w:tc>
        <w:tc>
          <w:tcPr>
            <w:tcW w:w="670" w:type="dxa"/>
            <w:tcBorders>
              <w:top w:val="nil"/>
              <w:left w:val="nil"/>
              <w:bottom w:val="single" w:sz="4" w:space="0" w:color="auto"/>
              <w:right w:val="single" w:sz="4" w:space="0" w:color="auto"/>
            </w:tcBorders>
            <w:shd w:val="clear" w:color="auto" w:fill="auto"/>
            <w:vAlign w:val="center"/>
            <w:hideMark/>
          </w:tcPr>
          <w:p w14:paraId="75F0363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1B5CB0B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(Avokatura e Shtetit)</w:t>
            </w:r>
          </w:p>
        </w:tc>
        <w:tc>
          <w:tcPr>
            <w:tcW w:w="678" w:type="dxa"/>
            <w:tcBorders>
              <w:top w:val="nil"/>
              <w:left w:val="nil"/>
              <w:bottom w:val="single" w:sz="4" w:space="0" w:color="auto"/>
              <w:right w:val="single" w:sz="4" w:space="0" w:color="auto"/>
            </w:tcBorders>
            <w:shd w:val="clear" w:color="auto" w:fill="auto"/>
            <w:noWrap/>
            <w:vAlign w:val="center"/>
            <w:hideMark/>
          </w:tcPr>
          <w:p w14:paraId="4DF493D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3AD8181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Bashkërendimi i punës ndërmjet Avokaturës së Shtetit dhe personave juridikë publikë në kuadër të realizimit të përfaqësimit dhe mbrojtjes së interesave pasurore të shtetit përpara gjykatave kombëtare, gjykatave të huaja, ndërkombëtare dhe arbitrazhit ndërkombëtar.</w:t>
            </w:r>
          </w:p>
        </w:tc>
        <w:tc>
          <w:tcPr>
            <w:tcW w:w="1233" w:type="dxa"/>
            <w:tcBorders>
              <w:top w:val="nil"/>
              <w:left w:val="nil"/>
              <w:bottom w:val="single" w:sz="4" w:space="0" w:color="auto"/>
              <w:right w:val="single" w:sz="4" w:space="0" w:color="auto"/>
            </w:tcBorders>
            <w:shd w:val="clear" w:color="auto" w:fill="auto"/>
            <w:vAlign w:val="center"/>
            <w:hideMark/>
          </w:tcPr>
          <w:p w14:paraId="0F1FF4C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Mënyrën, procedurat dhe afatet për bashkëpunimin ndërmjet Avokaturës së Shtetit dhe personave juridikë publikë në shërbim të mbledhjes së dokumentacionit, kryerjes së hetimit administrativ, dhënies së qëndrimeve me shkrim, dhe çdo veprimtarie tjetër në kuadër të bashkëpunimit reciprok për realizimin e një mbrojtje sa më efektive.</w:t>
            </w:r>
          </w:p>
        </w:tc>
        <w:tc>
          <w:tcPr>
            <w:tcW w:w="701" w:type="dxa"/>
            <w:tcBorders>
              <w:top w:val="nil"/>
              <w:left w:val="nil"/>
              <w:bottom w:val="single" w:sz="4" w:space="0" w:color="auto"/>
              <w:right w:val="single" w:sz="4" w:space="0" w:color="auto"/>
            </w:tcBorders>
            <w:shd w:val="clear" w:color="auto" w:fill="auto"/>
            <w:vAlign w:val="center"/>
            <w:hideMark/>
          </w:tcPr>
          <w:p w14:paraId="57FF584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79E9922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674" w:type="dxa"/>
            <w:tcBorders>
              <w:top w:val="nil"/>
              <w:left w:val="nil"/>
              <w:bottom w:val="single" w:sz="4" w:space="0" w:color="auto"/>
              <w:right w:val="single" w:sz="4" w:space="0" w:color="auto"/>
            </w:tcBorders>
            <w:shd w:val="clear" w:color="auto" w:fill="auto"/>
            <w:vAlign w:val="center"/>
            <w:hideMark/>
          </w:tcPr>
          <w:p w14:paraId="1098A22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4A91B72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0D6F363C"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465357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19</w:t>
            </w:r>
          </w:p>
        </w:tc>
        <w:tc>
          <w:tcPr>
            <w:tcW w:w="722" w:type="dxa"/>
            <w:tcBorders>
              <w:top w:val="nil"/>
              <w:left w:val="nil"/>
              <w:bottom w:val="single" w:sz="4" w:space="0" w:color="auto"/>
              <w:right w:val="single" w:sz="4" w:space="0" w:color="auto"/>
            </w:tcBorders>
            <w:shd w:val="clear" w:color="auto" w:fill="auto"/>
            <w:vAlign w:val="center"/>
            <w:hideMark/>
          </w:tcPr>
          <w:p w14:paraId="69C0FC6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organizimin territorial dhe kompetencën tokësore të zyrave vendore të Avokaturës së Shtetit</w:t>
            </w:r>
          </w:p>
        </w:tc>
        <w:tc>
          <w:tcPr>
            <w:tcW w:w="670" w:type="dxa"/>
            <w:tcBorders>
              <w:top w:val="nil"/>
              <w:left w:val="nil"/>
              <w:bottom w:val="single" w:sz="4" w:space="0" w:color="auto"/>
              <w:right w:val="single" w:sz="4" w:space="0" w:color="auto"/>
            </w:tcBorders>
            <w:shd w:val="clear" w:color="auto" w:fill="auto"/>
            <w:vAlign w:val="center"/>
            <w:hideMark/>
          </w:tcPr>
          <w:p w14:paraId="2BA0FEE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5A5E94F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(Avokatura e Shtetit)</w:t>
            </w:r>
          </w:p>
        </w:tc>
        <w:tc>
          <w:tcPr>
            <w:tcW w:w="678" w:type="dxa"/>
            <w:tcBorders>
              <w:top w:val="nil"/>
              <w:left w:val="nil"/>
              <w:bottom w:val="single" w:sz="4" w:space="0" w:color="auto"/>
              <w:right w:val="single" w:sz="4" w:space="0" w:color="auto"/>
            </w:tcBorders>
            <w:shd w:val="clear" w:color="auto" w:fill="auto"/>
            <w:noWrap/>
            <w:vAlign w:val="center"/>
            <w:hideMark/>
          </w:tcPr>
          <w:p w14:paraId="7985AD6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185A5B4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Organizimi territorial dhe përcaktimi i kompetencave tokësore të Zyrave Vendore të Avokaturës së Shtetit për përfaqësimin dhe mbrojtjen e interesave pasurore të shtetit pranë gjykatave të shkallës së parë dhe atyre të apelit, bazuar në organizimin e rretheve gjyqësore dhe ngarkesën e punës për secilën zyrë vendore. </w:t>
            </w:r>
          </w:p>
        </w:tc>
        <w:tc>
          <w:tcPr>
            <w:tcW w:w="1233" w:type="dxa"/>
            <w:tcBorders>
              <w:top w:val="nil"/>
              <w:left w:val="nil"/>
              <w:bottom w:val="single" w:sz="4" w:space="0" w:color="auto"/>
              <w:right w:val="single" w:sz="4" w:space="0" w:color="auto"/>
            </w:tcBorders>
            <w:shd w:val="clear" w:color="auto" w:fill="auto"/>
            <w:vAlign w:val="center"/>
            <w:hideMark/>
          </w:tcPr>
          <w:p w14:paraId="5D6C8D3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Organizimin e Zyrave Vendore të Avokaturës së Shtetit, duke përcaktuar vendndodhjen e tyre si dhe, ndarjen e kompetencave tokësore, nëpërmjet përcaktimit të gjykatave pranë të cilave avokatët e shtetit pranë Zyrave Vendore do të kryejnë përfaqësimin dhe mbrojtjen e interesave pasurore të shtetit.</w:t>
            </w:r>
          </w:p>
        </w:tc>
        <w:tc>
          <w:tcPr>
            <w:tcW w:w="701" w:type="dxa"/>
            <w:tcBorders>
              <w:top w:val="nil"/>
              <w:left w:val="nil"/>
              <w:bottom w:val="single" w:sz="4" w:space="0" w:color="auto"/>
              <w:right w:val="single" w:sz="4" w:space="0" w:color="auto"/>
            </w:tcBorders>
            <w:shd w:val="clear" w:color="auto" w:fill="auto"/>
            <w:vAlign w:val="center"/>
            <w:hideMark/>
          </w:tcPr>
          <w:p w14:paraId="2872F37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5CF3E13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674" w:type="dxa"/>
            <w:tcBorders>
              <w:top w:val="nil"/>
              <w:left w:val="nil"/>
              <w:bottom w:val="single" w:sz="4" w:space="0" w:color="auto"/>
              <w:right w:val="single" w:sz="4" w:space="0" w:color="auto"/>
            </w:tcBorders>
            <w:shd w:val="clear" w:color="auto" w:fill="auto"/>
            <w:vAlign w:val="center"/>
            <w:hideMark/>
          </w:tcPr>
          <w:p w14:paraId="13130C6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5CCF07E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7048A013"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E80654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20</w:t>
            </w:r>
          </w:p>
        </w:tc>
        <w:tc>
          <w:tcPr>
            <w:tcW w:w="722" w:type="dxa"/>
            <w:tcBorders>
              <w:top w:val="nil"/>
              <w:left w:val="nil"/>
              <w:bottom w:val="single" w:sz="4" w:space="0" w:color="auto"/>
              <w:right w:val="single" w:sz="4" w:space="0" w:color="auto"/>
            </w:tcBorders>
            <w:shd w:val="clear" w:color="auto" w:fill="auto"/>
            <w:vAlign w:val="center"/>
            <w:hideMark/>
          </w:tcPr>
          <w:p w14:paraId="1EBB1C1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klasifikimin e çështjeve, kritereve, mënyrës dhe procedurës për dhënien e shpërblimit ndaj avokatëve të shtetit</w:t>
            </w:r>
          </w:p>
        </w:tc>
        <w:tc>
          <w:tcPr>
            <w:tcW w:w="670" w:type="dxa"/>
            <w:tcBorders>
              <w:top w:val="nil"/>
              <w:left w:val="nil"/>
              <w:bottom w:val="single" w:sz="4" w:space="0" w:color="auto"/>
              <w:right w:val="single" w:sz="4" w:space="0" w:color="auto"/>
            </w:tcBorders>
            <w:shd w:val="clear" w:color="auto" w:fill="auto"/>
            <w:vAlign w:val="center"/>
            <w:hideMark/>
          </w:tcPr>
          <w:p w14:paraId="0B3114B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74F3939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(Avokatura e Shtetit)</w:t>
            </w:r>
          </w:p>
        </w:tc>
        <w:tc>
          <w:tcPr>
            <w:tcW w:w="678" w:type="dxa"/>
            <w:tcBorders>
              <w:top w:val="nil"/>
              <w:left w:val="nil"/>
              <w:bottom w:val="single" w:sz="4" w:space="0" w:color="auto"/>
              <w:right w:val="single" w:sz="4" w:space="0" w:color="auto"/>
            </w:tcBorders>
            <w:shd w:val="clear" w:color="auto" w:fill="auto"/>
            <w:noWrap/>
            <w:vAlign w:val="center"/>
            <w:hideMark/>
          </w:tcPr>
          <w:p w14:paraId="3F71875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0161976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Nëpërmjet këtij projektakti synohet të normohet klasifikimi i çështjeve, kriteret, mënyra,  procedura për dhënien e shpërblimit ndaj avokatëve të shtetit. Ky projektakt vjen si rrjedhojë e ndryshimeve të fundit në ligjin 10018/2008 “Për Avokaturën e Shtetit” ku tashmë synohet të ketë vetëm një akt normativ që rregullon të gjitha kriteret dhe procedurat për dhënien e shpërblimit ndaj avokatëve të shtetit. Shpërblimi do të jepet për çështje gjyqësore të veçanta, të vështira dhe me interes të madh ekonomik e financiar për Republikën e Shqipërisë.</w:t>
            </w:r>
          </w:p>
        </w:tc>
        <w:tc>
          <w:tcPr>
            <w:tcW w:w="1233" w:type="dxa"/>
            <w:tcBorders>
              <w:top w:val="nil"/>
              <w:left w:val="nil"/>
              <w:bottom w:val="single" w:sz="4" w:space="0" w:color="auto"/>
              <w:right w:val="single" w:sz="4" w:space="0" w:color="auto"/>
            </w:tcBorders>
            <w:shd w:val="clear" w:color="auto" w:fill="auto"/>
            <w:vAlign w:val="center"/>
            <w:hideMark/>
          </w:tcPr>
          <w:p w14:paraId="17F9335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Përcaktimin e llojit të çështjeve gjyqësore që përbëjnë çështje të veçanta, të vështira dhe që kanë interes të madh ekonomik e financiar për shtetin. Përcaktimin e llojit të shpërblimit që jepet ndaj avokatëve të shtetit, rasteve kur konsiderohet se është e mundur dhënia e shpërblimit, si dhe mënyrën dhe procedurën e dhënies së tij.</w:t>
            </w:r>
          </w:p>
        </w:tc>
        <w:tc>
          <w:tcPr>
            <w:tcW w:w="701" w:type="dxa"/>
            <w:tcBorders>
              <w:top w:val="nil"/>
              <w:left w:val="nil"/>
              <w:bottom w:val="single" w:sz="4" w:space="0" w:color="auto"/>
              <w:right w:val="single" w:sz="4" w:space="0" w:color="auto"/>
            </w:tcBorders>
            <w:shd w:val="clear" w:color="auto" w:fill="auto"/>
            <w:vAlign w:val="center"/>
            <w:hideMark/>
          </w:tcPr>
          <w:p w14:paraId="4E34496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46F1F3B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674" w:type="dxa"/>
            <w:tcBorders>
              <w:top w:val="nil"/>
              <w:left w:val="nil"/>
              <w:bottom w:val="single" w:sz="4" w:space="0" w:color="auto"/>
              <w:right w:val="single" w:sz="4" w:space="0" w:color="auto"/>
            </w:tcBorders>
            <w:shd w:val="clear" w:color="auto" w:fill="auto"/>
            <w:vAlign w:val="center"/>
            <w:hideMark/>
          </w:tcPr>
          <w:p w14:paraId="4B1F811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12A8C98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487EA5B3"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2D31FD2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21</w:t>
            </w:r>
          </w:p>
        </w:tc>
        <w:tc>
          <w:tcPr>
            <w:tcW w:w="722" w:type="dxa"/>
            <w:tcBorders>
              <w:top w:val="nil"/>
              <w:left w:val="nil"/>
              <w:bottom w:val="single" w:sz="4" w:space="0" w:color="auto"/>
              <w:right w:val="single" w:sz="4" w:space="0" w:color="auto"/>
            </w:tcBorders>
            <w:shd w:val="clear" w:color="auto" w:fill="auto"/>
            <w:vAlign w:val="center"/>
            <w:hideMark/>
          </w:tcPr>
          <w:p w14:paraId="71C98B9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Rregullave dhe Procedurës për lëshimin e certifikatës së përdorimit të objekteve të konfiskuara si ndërtime pa leje"</w:t>
            </w:r>
          </w:p>
        </w:tc>
        <w:tc>
          <w:tcPr>
            <w:tcW w:w="670" w:type="dxa"/>
            <w:tcBorders>
              <w:top w:val="nil"/>
              <w:left w:val="nil"/>
              <w:bottom w:val="single" w:sz="4" w:space="0" w:color="auto"/>
              <w:right w:val="single" w:sz="4" w:space="0" w:color="auto"/>
            </w:tcBorders>
            <w:shd w:val="clear" w:color="auto" w:fill="auto"/>
            <w:vAlign w:val="center"/>
            <w:hideMark/>
          </w:tcPr>
          <w:p w14:paraId="5BFC480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786485F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(AZHT)</w:t>
            </w:r>
          </w:p>
        </w:tc>
        <w:tc>
          <w:tcPr>
            <w:tcW w:w="678" w:type="dxa"/>
            <w:tcBorders>
              <w:top w:val="nil"/>
              <w:left w:val="nil"/>
              <w:bottom w:val="single" w:sz="4" w:space="0" w:color="auto"/>
              <w:right w:val="single" w:sz="4" w:space="0" w:color="auto"/>
            </w:tcBorders>
            <w:shd w:val="clear" w:color="auto" w:fill="auto"/>
            <w:noWrap/>
            <w:vAlign w:val="center"/>
            <w:hideMark/>
          </w:tcPr>
          <w:p w14:paraId="437448D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5F1C5B7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Përcaktimi i rregullave dhe procedurave përkatëse për lëshimin e certifikatës së përdorimit për objektet e konfiskuara, në zbatim të ligjit nr.66/2023</w:t>
            </w:r>
          </w:p>
        </w:tc>
        <w:tc>
          <w:tcPr>
            <w:tcW w:w="1233" w:type="dxa"/>
            <w:tcBorders>
              <w:top w:val="nil"/>
              <w:left w:val="nil"/>
              <w:bottom w:val="single" w:sz="4" w:space="0" w:color="auto"/>
              <w:right w:val="single" w:sz="4" w:space="0" w:color="auto"/>
            </w:tcBorders>
            <w:shd w:val="clear" w:color="auto" w:fill="auto"/>
            <w:vAlign w:val="center"/>
            <w:hideMark/>
          </w:tcPr>
          <w:p w14:paraId="5DEDD6D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Përcaktimi i rregullave dhe procedurave përkatëse të cilat përcaktojnë mënyrën e aplikimit për certifikatën e përdorimit si dhe dhënien e saj nga organet përgjegjëse</w:t>
            </w:r>
          </w:p>
        </w:tc>
        <w:tc>
          <w:tcPr>
            <w:tcW w:w="701" w:type="dxa"/>
            <w:tcBorders>
              <w:top w:val="nil"/>
              <w:left w:val="nil"/>
              <w:bottom w:val="single" w:sz="4" w:space="0" w:color="auto"/>
              <w:right w:val="single" w:sz="4" w:space="0" w:color="auto"/>
            </w:tcBorders>
            <w:shd w:val="clear" w:color="auto" w:fill="auto"/>
            <w:vAlign w:val="center"/>
            <w:hideMark/>
          </w:tcPr>
          <w:p w14:paraId="0858FF6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594AFCD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674" w:type="dxa"/>
            <w:tcBorders>
              <w:top w:val="nil"/>
              <w:left w:val="nil"/>
              <w:bottom w:val="single" w:sz="4" w:space="0" w:color="auto"/>
              <w:right w:val="single" w:sz="4" w:space="0" w:color="auto"/>
            </w:tcBorders>
            <w:shd w:val="clear" w:color="auto" w:fill="auto"/>
            <w:vAlign w:val="center"/>
            <w:hideMark/>
          </w:tcPr>
          <w:p w14:paraId="2CD1B51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041C308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1581FA81"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3DA7AB2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22</w:t>
            </w:r>
          </w:p>
        </w:tc>
        <w:tc>
          <w:tcPr>
            <w:tcW w:w="722" w:type="dxa"/>
            <w:tcBorders>
              <w:top w:val="nil"/>
              <w:left w:val="nil"/>
              <w:bottom w:val="single" w:sz="4" w:space="0" w:color="auto"/>
              <w:right w:val="single" w:sz="4" w:space="0" w:color="auto"/>
            </w:tcBorders>
            <w:shd w:val="clear" w:color="auto" w:fill="auto"/>
            <w:vAlign w:val="center"/>
            <w:hideMark/>
          </w:tcPr>
          <w:p w14:paraId="645CE86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planin vjetor të pranimit në institucionet e administratës shtetërore pjesë të shërbimit civil, për vitin 2024</w:t>
            </w:r>
          </w:p>
        </w:tc>
        <w:tc>
          <w:tcPr>
            <w:tcW w:w="670" w:type="dxa"/>
            <w:tcBorders>
              <w:top w:val="nil"/>
              <w:left w:val="nil"/>
              <w:bottom w:val="single" w:sz="4" w:space="0" w:color="auto"/>
              <w:right w:val="single" w:sz="4" w:space="0" w:color="auto"/>
            </w:tcBorders>
            <w:shd w:val="clear" w:color="auto" w:fill="auto"/>
            <w:vAlign w:val="center"/>
            <w:hideMark/>
          </w:tcPr>
          <w:p w14:paraId="5B4D9CD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4B8634D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(DAP)</w:t>
            </w:r>
          </w:p>
        </w:tc>
        <w:tc>
          <w:tcPr>
            <w:tcW w:w="678" w:type="dxa"/>
            <w:tcBorders>
              <w:top w:val="nil"/>
              <w:left w:val="nil"/>
              <w:bottom w:val="single" w:sz="4" w:space="0" w:color="auto"/>
              <w:right w:val="single" w:sz="4" w:space="0" w:color="auto"/>
            </w:tcBorders>
            <w:shd w:val="clear" w:color="auto" w:fill="auto"/>
            <w:noWrap/>
            <w:vAlign w:val="center"/>
            <w:hideMark/>
          </w:tcPr>
          <w:p w14:paraId="76A56B4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431065F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planit për plotësimin e vendeve vakante në shërbimin civil në institucionet e administratës shtetërore, pjesë të fushës së veprimit të këtij legjislacioni, për vitin 2024</w:t>
            </w:r>
          </w:p>
        </w:tc>
        <w:tc>
          <w:tcPr>
            <w:tcW w:w="1233" w:type="dxa"/>
            <w:tcBorders>
              <w:top w:val="nil"/>
              <w:left w:val="nil"/>
              <w:bottom w:val="single" w:sz="4" w:space="0" w:color="auto"/>
              <w:right w:val="single" w:sz="4" w:space="0" w:color="auto"/>
            </w:tcBorders>
            <w:shd w:val="clear" w:color="auto" w:fill="auto"/>
            <w:vAlign w:val="center"/>
            <w:hideMark/>
          </w:tcPr>
          <w:p w14:paraId="6724AE5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1. Përcaktimi i numrit të përgjithshëm të vendeve vakante të planifikuara për rekrutim gjatë vitit 2024, si dhe detajimi i këtij numri sipas kategorive të shërbimit civil;                                                                2. Përcaktimi i grupeve të administrimit të përgjithshëm dhe të posaçëm në kategorinë ekzekutive për të cilat planifikohen vende vakante për rekrutim për vitin 2024;                        3. Përcaktimi i institucioneve të administratës shtetërore ku planifikohen vendet vakante për rekrutim gjatë vitit 2024. </w:t>
            </w:r>
          </w:p>
        </w:tc>
        <w:tc>
          <w:tcPr>
            <w:tcW w:w="701" w:type="dxa"/>
            <w:tcBorders>
              <w:top w:val="nil"/>
              <w:left w:val="nil"/>
              <w:bottom w:val="single" w:sz="4" w:space="0" w:color="auto"/>
              <w:right w:val="single" w:sz="4" w:space="0" w:color="auto"/>
            </w:tcBorders>
            <w:shd w:val="clear" w:color="auto" w:fill="auto"/>
            <w:vAlign w:val="center"/>
            <w:hideMark/>
          </w:tcPr>
          <w:p w14:paraId="054111E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2C57A92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3A00EA6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502E265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3400A219"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3673D5F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23</w:t>
            </w:r>
          </w:p>
        </w:tc>
        <w:tc>
          <w:tcPr>
            <w:tcW w:w="722" w:type="dxa"/>
            <w:tcBorders>
              <w:top w:val="nil"/>
              <w:left w:val="nil"/>
              <w:bottom w:val="single" w:sz="4" w:space="0" w:color="auto"/>
              <w:right w:val="single" w:sz="4" w:space="0" w:color="auto"/>
            </w:tcBorders>
            <w:shd w:val="clear" w:color="auto" w:fill="auto"/>
            <w:vAlign w:val="center"/>
            <w:hideMark/>
          </w:tcPr>
          <w:p w14:paraId="14E554C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Dokumentit të Politikave Prioritare 2025-2027"</w:t>
            </w:r>
          </w:p>
        </w:tc>
        <w:tc>
          <w:tcPr>
            <w:tcW w:w="670" w:type="dxa"/>
            <w:tcBorders>
              <w:top w:val="nil"/>
              <w:left w:val="nil"/>
              <w:bottom w:val="single" w:sz="4" w:space="0" w:color="auto"/>
              <w:right w:val="single" w:sz="4" w:space="0" w:color="auto"/>
            </w:tcBorders>
            <w:shd w:val="clear" w:color="auto" w:fill="auto"/>
            <w:vAlign w:val="center"/>
            <w:hideMark/>
          </w:tcPr>
          <w:p w14:paraId="3CF2388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36F4B8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(SASPAC)</w:t>
            </w:r>
          </w:p>
        </w:tc>
        <w:tc>
          <w:tcPr>
            <w:tcW w:w="678" w:type="dxa"/>
            <w:tcBorders>
              <w:top w:val="nil"/>
              <w:left w:val="nil"/>
              <w:bottom w:val="single" w:sz="4" w:space="0" w:color="auto"/>
              <w:right w:val="single" w:sz="4" w:space="0" w:color="auto"/>
            </w:tcBorders>
            <w:shd w:val="clear" w:color="auto" w:fill="auto"/>
            <w:noWrap/>
            <w:vAlign w:val="center"/>
            <w:hideMark/>
          </w:tcPr>
          <w:p w14:paraId="4FB1C55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71EBD2F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Ngritja e ketij dokumenti qendror, planifikues  dhe strategjik afat-mesem ne nivelin e duhur te hierarkise ligjore per te inicuar rritjen e performances se zbatimit si edhe ne funksion te paraprirjes me te mire te drejtimit te politikes se pergjithshme ndaj funksionit te financimit ne pergjithesi.</w:t>
            </w:r>
          </w:p>
        </w:tc>
        <w:tc>
          <w:tcPr>
            <w:tcW w:w="1233" w:type="dxa"/>
            <w:tcBorders>
              <w:top w:val="nil"/>
              <w:left w:val="nil"/>
              <w:bottom w:val="single" w:sz="4" w:space="0" w:color="auto"/>
              <w:right w:val="single" w:sz="4" w:space="0" w:color="auto"/>
            </w:tcBorders>
            <w:shd w:val="clear" w:color="auto" w:fill="auto"/>
            <w:vAlign w:val="center"/>
            <w:hideMark/>
          </w:tcPr>
          <w:p w14:paraId="7F0981C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 teresi rrit harmonizimin e perparesive dhe politikave te qeverise me kapacitetin financues te saj  ne afatin e mesem, ose orienton racionalisht procesin e shperndarjes se burimeve midis sektoreve. Ndihmon ne percaktimin e tavaneve buxhetore afat-mesme per PBA si dhe rregullon procesin e konsiderimit te projekteve te reja ( politika te reja) duke siguruar vazhdimesine e projekteve ekzistuese dhe ruajtur ekuilibrin e bilancit te shtetit.</w:t>
            </w:r>
          </w:p>
        </w:tc>
        <w:tc>
          <w:tcPr>
            <w:tcW w:w="701" w:type="dxa"/>
            <w:tcBorders>
              <w:top w:val="nil"/>
              <w:left w:val="nil"/>
              <w:bottom w:val="single" w:sz="4" w:space="0" w:color="auto"/>
              <w:right w:val="single" w:sz="4" w:space="0" w:color="auto"/>
            </w:tcBorders>
            <w:shd w:val="clear" w:color="auto" w:fill="auto"/>
            <w:vAlign w:val="center"/>
            <w:hideMark/>
          </w:tcPr>
          <w:p w14:paraId="2AC4C21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59564CC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Rindertimi, Zhvillimi i bujqësisë dhe i fshatit, Infrastruktura, Turizmi dhe Mjedisi, Energjia, Një strategji e re për shëndetin dhe zhvillimin e qëndrueshëm, Kultura, Shoqëria dixhitale, Integrimi Europian, </w:t>
            </w:r>
          </w:p>
        </w:tc>
        <w:tc>
          <w:tcPr>
            <w:tcW w:w="674" w:type="dxa"/>
            <w:tcBorders>
              <w:top w:val="nil"/>
              <w:left w:val="nil"/>
              <w:bottom w:val="single" w:sz="4" w:space="0" w:color="auto"/>
              <w:right w:val="single" w:sz="4" w:space="0" w:color="auto"/>
            </w:tcBorders>
            <w:shd w:val="clear" w:color="auto" w:fill="auto"/>
            <w:vAlign w:val="center"/>
            <w:hideMark/>
          </w:tcPr>
          <w:p w14:paraId="5ECD8F5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Strategjia Kombetare e Arsimit 2021-2026 , Strategjia Kombetare e Shendetesise 2021-2030</w:t>
            </w:r>
            <w:r w:rsidRPr="00F622DE">
              <w:rPr>
                <w:rFonts w:ascii="Arial" w:eastAsia="Times New Roman" w:hAnsi="Arial" w:cs="Arial"/>
                <w:color w:val="000000"/>
                <w:sz w:val="12"/>
                <w:szCs w:val="12"/>
                <w:bdr w:val="none" w:sz="0" w:space="0" w:color="auto"/>
              </w:rPr>
              <w:br/>
              <w:t>, Strategjia Kombëtare e Pronësisë Intelektuale 2022 -2025</w:t>
            </w:r>
            <w:r w:rsidRPr="00F622DE">
              <w:rPr>
                <w:rFonts w:ascii="Arial" w:eastAsia="Times New Roman" w:hAnsi="Arial" w:cs="Arial"/>
                <w:color w:val="000000"/>
                <w:sz w:val="12"/>
                <w:szCs w:val="12"/>
                <w:bdr w:val="none" w:sz="0" w:space="0" w:color="auto"/>
              </w:rPr>
              <w:br/>
              <w:t>- Strategjia e Bujqesise , Zhvillimit Rural dhe Peshkimit 2021-2027</w:t>
            </w:r>
            <w:r w:rsidRPr="00F622DE">
              <w:rPr>
                <w:rFonts w:ascii="Arial" w:eastAsia="Times New Roman" w:hAnsi="Arial" w:cs="Arial"/>
                <w:color w:val="000000"/>
                <w:sz w:val="12"/>
                <w:szCs w:val="12"/>
                <w:bdr w:val="none" w:sz="0" w:space="0" w:color="auto"/>
              </w:rPr>
              <w:br/>
              <w:t>- Agjenda Digjitale e Shqipërisë 2021+</w:t>
            </w:r>
            <w:r w:rsidRPr="00F622DE">
              <w:rPr>
                <w:rFonts w:ascii="Arial" w:eastAsia="Times New Roman" w:hAnsi="Arial" w:cs="Arial"/>
                <w:color w:val="000000"/>
                <w:sz w:val="12"/>
                <w:szCs w:val="12"/>
                <w:bdr w:val="none" w:sz="0" w:space="0" w:color="auto"/>
              </w:rPr>
              <w:br/>
              <w:t xml:space="preserve">- Dokumenti i Përgjigjes Strategjike IPA III 2021-2024 – Shqipëri (2021) </w:t>
            </w:r>
            <w:r w:rsidRPr="00F622DE">
              <w:rPr>
                <w:rFonts w:ascii="Arial" w:eastAsia="Times New Roman" w:hAnsi="Arial" w:cs="Arial"/>
                <w:color w:val="000000"/>
                <w:sz w:val="12"/>
                <w:szCs w:val="12"/>
                <w:bdr w:val="none" w:sz="0" w:space="0" w:color="auto"/>
              </w:rPr>
              <w:br/>
              <w:t>- Prioritetet e Programit IPA 2021 &amp; 2022 , - Prioritetet e Programit IPARD III (Instrumenti per Asistencen e Para-Anetaresimit per Zhvillimin Rural) 2021 – 2027, - Procesi i Hartimit te draftit te Strategjise Kombetare per Zhvillim dhe Integrim 2021-2030</w:t>
            </w:r>
          </w:p>
        </w:tc>
        <w:tc>
          <w:tcPr>
            <w:tcW w:w="790" w:type="dxa"/>
            <w:tcBorders>
              <w:top w:val="nil"/>
              <w:left w:val="nil"/>
              <w:bottom w:val="single" w:sz="4" w:space="0" w:color="auto"/>
              <w:right w:val="single" w:sz="4" w:space="0" w:color="auto"/>
            </w:tcBorders>
            <w:shd w:val="clear" w:color="auto" w:fill="auto"/>
            <w:vAlign w:val="center"/>
            <w:hideMark/>
          </w:tcPr>
          <w:p w14:paraId="0F00FD4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Impakton ecurine ekzistuese dhe ndryshimin ne investimet e pergjithshme kapitale (publike) afat mesme, financimin e huaj (IPA dhe financime te tjera) dhe permireson vleresimin  e politikave mbi bazen e evidencave (fakteve) duke prezantuar vazhdimisht nevojen per buxhetim te pergjithshem te pergjegjshem e te bazuar ne performance ( performance based budgeting) duke kontribuar ne shperndarjen e burimeve aty ku ka me shume nevoje dhe ku jemi me efektive dhe eficente. Impakton ne konvergimin e vazhdueshem me pragmatik te politikes qeveritare afatmesme me objektivat e integrimit dhe ato te zhvillimi te qendrueshem.   </w:t>
            </w:r>
          </w:p>
        </w:tc>
      </w:tr>
      <w:tr w:rsidR="00F622DE" w:rsidRPr="00F622DE" w14:paraId="6109C29E"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175759B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24</w:t>
            </w:r>
          </w:p>
        </w:tc>
        <w:tc>
          <w:tcPr>
            <w:tcW w:w="722" w:type="dxa"/>
            <w:tcBorders>
              <w:top w:val="nil"/>
              <w:left w:val="nil"/>
              <w:bottom w:val="single" w:sz="4" w:space="0" w:color="auto"/>
              <w:right w:val="single" w:sz="4" w:space="0" w:color="auto"/>
            </w:tcBorders>
            <w:shd w:val="clear" w:color="auto" w:fill="auto"/>
            <w:vAlign w:val="center"/>
            <w:hideMark/>
          </w:tcPr>
          <w:p w14:paraId="0D1AC4D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Strategjisë Ndërsektoriale të Ekonomisë Blu 2023 -2030"</w:t>
            </w:r>
          </w:p>
        </w:tc>
        <w:tc>
          <w:tcPr>
            <w:tcW w:w="670" w:type="dxa"/>
            <w:tcBorders>
              <w:top w:val="nil"/>
              <w:left w:val="nil"/>
              <w:bottom w:val="single" w:sz="4" w:space="0" w:color="auto"/>
              <w:right w:val="single" w:sz="4" w:space="0" w:color="auto"/>
            </w:tcBorders>
            <w:shd w:val="clear" w:color="auto" w:fill="auto"/>
            <w:vAlign w:val="center"/>
            <w:hideMark/>
          </w:tcPr>
          <w:p w14:paraId="56FF08E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1105961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(SASPAC)</w:t>
            </w:r>
          </w:p>
        </w:tc>
        <w:tc>
          <w:tcPr>
            <w:tcW w:w="678" w:type="dxa"/>
            <w:tcBorders>
              <w:top w:val="nil"/>
              <w:left w:val="nil"/>
              <w:bottom w:val="single" w:sz="4" w:space="0" w:color="auto"/>
              <w:right w:val="single" w:sz="4" w:space="0" w:color="auto"/>
            </w:tcBorders>
            <w:shd w:val="clear" w:color="auto" w:fill="auto"/>
            <w:noWrap/>
            <w:vAlign w:val="center"/>
            <w:hideMark/>
          </w:tcPr>
          <w:p w14:paraId="1E5B696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w:t>
            </w:r>
          </w:p>
        </w:tc>
        <w:tc>
          <w:tcPr>
            <w:tcW w:w="1180" w:type="dxa"/>
            <w:tcBorders>
              <w:top w:val="nil"/>
              <w:left w:val="nil"/>
              <w:bottom w:val="single" w:sz="4" w:space="0" w:color="auto"/>
              <w:right w:val="single" w:sz="4" w:space="0" w:color="auto"/>
            </w:tcBorders>
            <w:shd w:val="clear" w:color="auto" w:fill="auto"/>
            <w:vAlign w:val="center"/>
            <w:hideMark/>
          </w:tcPr>
          <w:p w14:paraId="33E6D8E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Arsyeja kryesore eshte rregullimi ligjor i sektorit te marinave dhe potenciali I identifikuar per zhvillim dhe bashkepunim nderkombetar qe kane sektori i detarisë, turizmit blu,peshkimit, ushqimeve te detit etj. </w:t>
            </w:r>
          </w:p>
        </w:tc>
        <w:tc>
          <w:tcPr>
            <w:tcW w:w="1233" w:type="dxa"/>
            <w:tcBorders>
              <w:top w:val="nil"/>
              <w:left w:val="nil"/>
              <w:bottom w:val="single" w:sz="4" w:space="0" w:color="auto"/>
              <w:right w:val="single" w:sz="4" w:space="0" w:color="auto"/>
            </w:tcBorders>
            <w:shd w:val="clear" w:color="auto" w:fill="auto"/>
            <w:vAlign w:val="center"/>
            <w:hideMark/>
          </w:tcPr>
          <w:p w14:paraId="3A1CCD6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Rregullon Zhvillimin dhe transformimin e ekonomisë detare të Shqipërisë në një kontribues kryesor të rritjes së qëndrueshme duke rikthyer traditën e lundrimit dhe mbështetur zhvillimin e turizmit detar, peshkimit, ate sportive dhe argëtuese me mekanizma dhe mjete të pajtueshme me mjedisin në të gjithë bregdetin.</w:t>
            </w:r>
          </w:p>
        </w:tc>
        <w:tc>
          <w:tcPr>
            <w:tcW w:w="701" w:type="dxa"/>
            <w:tcBorders>
              <w:top w:val="nil"/>
              <w:left w:val="nil"/>
              <w:bottom w:val="single" w:sz="4" w:space="0" w:color="auto"/>
              <w:right w:val="single" w:sz="4" w:space="0" w:color="auto"/>
            </w:tcBorders>
            <w:shd w:val="clear" w:color="auto" w:fill="auto"/>
            <w:vAlign w:val="center"/>
            <w:hideMark/>
          </w:tcPr>
          <w:p w14:paraId="7E00789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731F8EC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Transporti detar</w:t>
            </w:r>
          </w:p>
        </w:tc>
        <w:tc>
          <w:tcPr>
            <w:tcW w:w="674" w:type="dxa"/>
            <w:tcBorders>
              <w:top w:val="nil"/>
              <w:left w:val="nil"/>
              <w:bottom w:val="single" w:sz="4" w:space="0" w:color="auto"/>
              <w:right w:val="single" w:sz="4" w:space="0" w:color="auto"/>
            </w:tcBorders>
            <w:shd w:val="clear" w:color="auto" w:fill="auto"/>
            <w:vAlign w:val="center"/>
            <w:hideMark/>
          </w:tcPr>
          <w:p w14:paraId="1CB5324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SKZHIE 2022-2030</w:t>
            </w:r>
          </w:p>
        </w:tc>
        <w:tc>
          <w:tcPr>
            <w:tcW w:w="790" w:type="dxa"/>
            <w:tcBorders>
              <w:top w:val="nil"/>
              <w:left w:val="nil"/>
              <w:bottom w:val="single" w:sz="4" w:space="0" w:color="auto"/>
              <w:right w:val="single" w:sz="4" w:space="0" w:color="auto"/>
            </w:tcBorders>
            <w:shd w:val="clear" w:color="auto" w:fill="auto"/>
            <w:vAlign w:val="center"/>
            <w:hideMark/>
          </w:tcPr>
          <w:p w14:paraId="6E557F8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2DC8D932"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4E7C155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25</w:t>
            </w:r>
          </w:p>
        </w:tc>
        <w:tc>
          <w:tcPr>
            <w:tcW w:w="722" w:type="dxa"/>
            <w:tcBorders>
              <w:top w:val="nil"/>
              <w:left w:val="nil"/>
              <w:bottom w:val="single" w:sz="4" w:space="0" w:color="auto"/>
              <w:right w:val="single" w:sz="4" w:space="0" w:color="auto"/>
            </w:tcBorders>
            <w:shd w:val="clear" w:color="auto" w:fill="auto"/>
            <w:vAlign w:val="center"/>
            <w:hideMark/>
          </w:tcPr>
          <w:p w14:paraId="094AB02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Projektligji " Per identifikimin elektronik dhe sherbimet e besuara"</w:t>
            </w:r>
          </w:p>
        </w:tc>
        <w:tc>
          <w:tcPr>
            <w:tcW w:w="670" w:type="dxa"/>
            <w:tcBorders>
              <w:top w:val="nil"/>
              <w:left w:val="nil"/>
              <w:bottom w:val="single" w:sz="4" w:space="0" w:color="auto"/>
              <w:right w:val="single" w:sz="4" w:space="0" w:color="auto"/>
            </w:tcBorders>
            <w:shd w:val="clear" w:color="auto" w:fill="auto"/>
            <w:vAlign w:val="center"/>
            <w:hideMark/>
          </w:tcPr>
          <w:p w14:paraId="1155697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Projektligj</w:t>
            </w:r>
          </w:p>
        </w:tc>
        <w:tc>
          <w:tcPr>
            <w:tcW w:w="1573" w:type="dxa"/>
            <w:tcBorders>
              <w:top w:val="nil"/>
              <w:left w:val="nil"/>
              <w:bottom w:val="single" w:sz="4" w:space="0" w:color="auto"/>
              <w:right w:val="single" w:sz="4" w:space="0" w:color="auto"/>
            </w:tcBorders>
            <w:shd w:val="clear" w:color="auto" w:fill="auto"/>
            <w:vAlign w:val="center"/>
            <w:hideMark/>
          </w:tcPr>
          <w:p w14:paraId="14BBE02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Kryeministri-Zëvendëskryeministri (ACESK)</w:t>
            </w:r>
          </w:p>
        </w:tc>
        <w:tc>
          <w:tcPr>
            <w:tcW w:w="678" w:type="dxa"/>
            <w:tcBorders>
              <w:top w:val="nil"/>
              <w:left w:val="nil"/>
              <w:bottom w:val="single" w:sz="4" w:space="0" w:color="auto"/>
              <w:right w:val="single" w:sz="4" w:space="0" w:color="auto"/>
            </w:tcBorders>
            <w:shd w:val="clear" w:color="auto" w:fill="auto"/>
            <w:noWrap/>
            <w:vAlign w:val="center"/>
            <w:hideMark/>
          </w:tcPr>
          <w:p w14:paraId="0692536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3695F16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Permiresimi I kuadrit ligjor aktual  ne fushen e identifiikimit elektronik dhe sherbimeve te besuara si dhe perafrimi me acqusi e BE-së- Rregullore Parlamentit Evropian dhe Këshillit Evropian nr.910/2014, “Për identifikimin elektronik dhe shërbimet e besuara në lidhje me transaksionet elektronike në tregun e brendshëm dhe shfuqizimin e Direktivës 1993/93/KE” (eIDAS)</w:t>
            </w:r>
          </w:p>
        </w:tc>
        <w:tc>
          <w:tcPr>
            <w:tcW w:w="1233" w:type="dxa"/>
            <w:tcBorders>
              <w:top w:val="nil"/>
              <w:left w:val="nil"/>
              <w:bottom w:val="single" w:sz="4" w:space="0" w:color="auto"/>
              <w:right w:val="single" w:sz="4" w:space="0" w:color="auto"/>
            </w:tcBorders>
            <w:shd w:val="clear" w:color="auto" w:fill="auto"/>
            <w:vAlign w:val="center"/>
            <w:hideMark/>
          </w:tcPr>
          <w:p w14:paraId="315AE09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Përcaktimi i metodave të reja të identifikimit elektronik në distancë (remote), njohja reciproke si dhe ndërveprimi/bashkëpunimi i skemave të identifikimit elektronik në nivel kombëtar dhe ndërkombëtar, rritja e transparencës në veprimtarinë e ofruesve të kualifikuar të shërbimeve të besuara nëpërmjet forcimit të kërkesave të sigurisë, kontrollit dhe mbikëqyrjes, rritja e  sigurisë, efektivitetit, integritetit  dhe  besueshmërisë në ofrimin dhe përdorimin e shërbimeve të besuara.                       </w:t>
            </w:r>
          </w:p>
        </w:tc>
        <w:tc>
          <w:tcPr>
            <w:tcW w:w="701" w:type="dxa"/>
            <w:tcBorders>
              <w:top w:val="nil"/>
              <w:left w:val="nil"/>
              <w:bottom w:val="single" w:sz="4" w:space="0" w:color="auto"/>
              <w:right w:val="single" w:sz="4" w:space="0" w:color="auto"/>
            </w:tcBorders>
            <w:shd w:val="clear" w:color="auto" w:fill="auto"/>
            <w:vAlign w:val="center"/>
            <w:hideMark/>
          </w:tcPr>
          <w:p w14:paraId="066721C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eshte parashikuar. Kapituli 10 "Sherbimet e Shoqerisë se Informacionit"</w:t>
            </w:r>
          </w:p>
        </w:tc>
        <w:tc>
          <w:tcPr>
            <w:tcW w:w="971" w:type="dxa"/>
            <w:tcBorders>
              <w:top w:val="nil"/>
              <w:left w:val="nil"/>
              <w:bottom w:val="single" w:sz="4" w:space="0" w:color="auto"/>
              <w:right w:val="single" w:sz="4" w:space="0" w:color="auto"/>
            </w:tcBorders>
            <w:shd w:val="clear" w:color="auto" w:fill="auto"/>
            <w:vAlign w:val="center"/>
            <w:hideMark/>
          </w:tcPr>
          <w:p w14:paraId="3D88959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674" w:type="dxa"/>
            <w:tcBorders>
              <w:top w:val="nil"/>
              <w:left w:val="nil"/>
              <w:bottom w:val="single" w:sz="4" w:space="0" w:color="auto"/>
              <w:right w:val="single" w:sz="4" w:space="0" w:color="auto"/>
            </w:tcBorders>
            <w:shd w:val="clear" w:color="auto" w:fill="auto"/>
            <w:vAlign w:val="center"/>
            <w:hideMark/>
          </w:tcPr>
          <w:p w14:paraId="3BE036D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23A5E18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ka ndikime ekonomike, financiare, sociale.</w:t>
            </w:r>
          </w:p>
        </w:tc>
      </w:tr>
      <w:tr w:rsidR="00F622DE" w:rsidRPr="00F622DE" w14:paraId="49C70CB2"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0D412A0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26</w:t>
            </w:r>
          </w:p>
        </w:tc>
        <w:tc>
          <w:tcPr>
            <w:tcW w:w="722" w:type="dxa"/>
            <w:tcBorders>
              <w:top w:val="nil"/>
              <w:left w:val="nil"/>
              <w:bottom w:val="single" w:sz="4" w:space="0" w:color="auto"/>
              <w:right w:val="single" w:sz="4" w:space="0" w:color="auto"/>
            </w:tcBorders>
            <w:shd w:val="clear" w:color="auto" w:fill="auto"/>
            <w:vAlign w:val="center"/>
            <w:hideMark/>
          </w:tcPr>
          <w:p w14:paraId="17F5563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organizimin dhe funksionimin e Autoritetit Shtetëror për Informacionin Gjeohapësinor”</w:t>
            </w:r>
          </w:p>
        </w:tc>
        <w:tc>
          <w:tcPr>
            <w:tcW w:w="670" w:type="dxa"/>
            <w:tcBorders>
              <w:top w:val="nil"/>
              <w:left w:val="nil"/>
              <w:bottom w:val="single" w:sz="4" w:space="0" w:color="auto"/>
              <w:right w:val="single" w:sz="4" w:space="0" w:color="auto"/>
            </w:tcBorders>
            <w:shd w:val="clear" w:color="auto" w:fill="auto"/>
            <w:vAlign w:val="center"/>
            <w:hideMark/>
          </w:tcPr>
          <w:p w14:paraId="39F9140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23825C8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(ASIG)</w:t>
            </w:r>
          </w:p>
        </w:tc>
        <w:tc>
          <w:tcPr>
            <w:tcW w:w="678" w:type="dxa"/>
            <w:tcBorders>
              <w:top w:val="nil"/>
              <w:left w:val="nil"/>
              <w:bottom w:val="single" w:sz="4" w:space="0" w:color="auto"/>
              <w:right w:val="single" w:sz="4" w:space="0" w:color="auto"/>
            </w:tcBorders>
            <w:shd w:val="clear" w:color="auto" w:fill="auto"/>
            <w:vAlign w:val="center"/>
            <w:hideMark/>
          </w:tcPr>
          <w:p w14:paraId="5B23CCC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0772E6A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Organizimin dhe funksionimin e Autoritetit Shtetëror për Informacionin Gjeohapësinor(ASIG). Përgjegjësitë e ASIG</w:t>
            </w:r>
          </w:p>
        </w:tc>
        <w:tc>
          <w:tcPr>
            <w:tcW w:w="1233" w:type="dxa"/>
            <w:tcBorders>
              <w:top w:val="nil"/>
              <w:left w:val="nil"/>
              <w:bottom w:val="single" w:sz="4" w:space="0" w:color="auto"/>
              <w:right w:val="single" w:sz="4" w:space="0" w:color="auto"/>
            </w:tcBorders>
            <w:shd w:val="clear" w:color="auto" w:fill="auto"/>
            <w:vAlign w:val="center"/>
            <w:hideMark/>
          </w:tcPr>
          <w:p w14:paraId="5E08372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Organizimin dhe funksionimin e Autoritetit Shtetëror për Informacionin Gjeohapësinor(ASIG). Përgjegjësitë e ASIG</w:t>
            </w:r>
          </w:p>
        </w:tc>
        <w:tc>
          <w:tcPr>
            <w:tcW w:w="701" w:type="dxa"/>
            <w:tcBorders>
              <w:top w:val="nil"/>
              <w:left w:val="nil"/>
              <w:bottom w:val="single" w:sz="4" w:space="0" w:color="auto"/>
              <w:right w:val="single" w:sz="4" w:space="0" w:color="auto"/>
            </w:tcBorders>
            <w:shd w:val="clear" w:color="auto" w:fill="auto"/>
            <w:noWrap/>
            <w:vAlign w:val="center"/>
            <w:hideMark/>
          </w:tcPr>
          <w:p w14:paraId="7C39288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37D6022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Angazhimi nr. 77, Shoqëria digjitale, "Përmirësim dhe modernizim i sistemeve elektronike në të gjithë sektorët".</w:t>
            </w:r>
          </w:p>
        </w:tc>
        <w:tc>
          <w:tcPr>
            <w:tcW w:w="674" w:type="dxa"/>
            <w:tcBorders>
              <w:top w:val="nil"/>
              <w:left w:val="nil"/>
              <w:bottom w:val="single" w:sz="4" w:space="0" w:color="auto"/>
              <w:right w:val="single" w:sz="4" w:space="0" w:color="auto"/>
            </w:tcBorders>
            <w:shd w:val="clear" w:color="auto" w:fill="auto"/>
            <w:vAlign w:val="center"/>
            <w:hideMark/>
          </w:tcPr>
          <w:p w14:paraId="281CF33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Dokumenti I  politikave “Për Qeverisjen e Sektorit të Informacionit Gjeohapësinor në Shqipëri, 2020-2030”, miratuar me VKM Nr. 402, datë 20.05.2020.</w:t>
            </w:r>
          </w:p>
        </w:tc>
        <w:tc>
          <w:tcPr>
            <w:tcW w:w="790" w:type="dxa"/>
            <w:tcBorders>
              <w:top w:val="nil"/>
              <w:left w:val="nil"/>
              <w:bottom w:val="single" w:sz="4" w:space="0" w:color="auto"/>
              <w:right w:val="single" w:sz="8" w:space="0" w:color="auto"/>
            </w:tcBorders>
            <w:shd w:val="clear" w:color="auto" w:fill="auto"/>
            <w:noWrap/>
            <w:vAlign w:val="center"/>
            <w:hideMark/>
          </w:tcPr>
          <w:p w14:paraId="79ABAAD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30519273"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43EE0D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27</w:t>
            </w:r>
          </w:p>
        </w:tc>
        <w:tc>
          <w:tcPr>
            <w:tcW w:w="722" w:type="dxa"/>
            <w:tcBorders>
              <w:top w:val="nil"/>
              <w:left w:val="nil"/>
              <w:bottom w:val="single" w:sz="8" w:space="0" w:color="auto"/>
              <w:right w:val="single" w:sz="4" w:space="0" w:color="auto"/>
            </w:tcBorders>
            <w:shd w:val="clear" w:color="auto" w:fill="auto"/>
            <w:vAlign w:val="center"/>
            <w:hideMark/>
          </w:tcPr>
          <w:p w14:paraId="2B45036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disa shtesa dhe ndryshime në vendimin nr. 952 datë 2.12.2020, të Këshillit të Ministrave, "Për miratimin e dokumentit “Standardet Shtetërore për Specifikimet Teknike të Informacionit Gjeohapësinor në Shqipëri –Tema: Imazhi I hartës bazë""</w:t>
            </w:r>
          </w:p>
        </w:tc>
        <w:tc>
          <w:tcPr>
            <w:tcW w:w="670" w:type="dxa"/>
            <w:tcBorders>
              <w:top w:val="nil"/>
              <w:left w:val="nil"/>
              <w:bottom w:val="single" w:sz="4" w:space="0" w:color="auto"/>
              <w:right w:val="single" w:sz="4" w:space="0" w:color="auto"/>
            </w:tcBorders>
            <w:shd w:val="clear" w:color="auto" w:fill="auto"/>
            <w:vAlign w:val="center"/>
            <w:hideMark/>
          </w:tcPr>
          <w:p w14:paraId="119F879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0208BA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(ASIG)</w:t>
            </w:r>
          </w:p>
        </w:tc>
        <w:tc>
          <w:tcPr>
            <w:tcW w:w="678" w:type="dxa"/>
            <w:tcBorders>
              <w:top w:val="nil"/>
              <w:left w:val="nil"/>
              <w:bottom w:val="single" w:sz="4" w:space="0" w:color="auto"/>
              <w:right w:val="single" w:sz="4" w:space="0" w:color="auto"/>
            </w:tcBorders>
            <w:shd w:val="clear" w:color="auto" w:fill="auto"/>
            <w:vAlign w:val="center"/>
            <w:hideMark/>
          </w:tcPr>
          <w:p w14:paraId="6B9A9EE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8" w:space="0" w:color="auto"/>
              <w:right w:val="single" w:sz="4" w:space="0" w:color="auto"/>
            </w:tcBorders>
            <w:shd w:val="clear" w:color="auto" w:fill="auto"/>
            <w:vAlign w:val="center"/>
            <w:hideMark/>
          </w:tcPr>
          <w:p w14:paraId="25CEA27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Detyrim ligjor</w:t>
            </w:r>
          </w:p>
        </w:tc>
        <w:tc>
          <w:tcPr>
            <w:tcW w:w="1233" w:type="dxa"/>
            <w:tcBorders>
              <w:top w:val="nil"/>
              <w:left w:val="nil"/>
              <w:bottom w:val="single" w:sz="8" w:space="0" w:color="auto"/>
              <w:right w:val="single" w:sz="4" w:space="0" w:color="auto"/>
            </w:tcBorders>
            <w:shd w:val="clear" w:color="auto" w:fill="auto"/>
            <w:vAlign w:val="center"/>
            <w:hideMark/>
          </w:tcPr>
          <w:p w14:paraId="033C737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Standardet teknike për krijimin e sistemit të informacionit gjeografik për temën e nenit 11/2/ç,  të ligjit 72/2012  "Infrastruktura industriale" </w:t>
            </w:r>
          </w:p>
        </w:tc>
        <w:tc>
          <w:tcPr>
            <w:tcW w:w="701" w:type="dxa"/>
            <w:tcBorders>
              <w:top w:val="nil"/>
              <w:left w:val="nil"/>
              <w:bottom w:val="single" w:sz="8" w:space="0" w:color="auto"/>
              <w:right w:val="single" w:sz="4" w:space="0" w:color="auto"/>
            </w:tcBorders>
            <w:shd w:val="clear" w:color="auto" w:fill="auto"/>
            <w:noWrap/>
            <w:vAlign w:val="center"/>
            <w:hideMark/>
          </w:tcPr>
          <w:p w14:paraId="4125B4A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8" w:space="0" w:color="auto"/>
              <w:right w:val="single" w:sz="4" w:space="0" w:color="auto"/>
            </w:tcBorders>
            <w:shd w:val="clear" w:color="auto" w:fill="auto"/>
            <w:vAlign w:val="center"/>
            <w:hideMark/>
          </w:tcPr>
          <w:p w14:paraId="5E91500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Angazhimi nr. 77, Shoqëria digjitale, "Përmirësim dhe modernizim i sistemeve elektronike në të gjithë sektorët".</w:t>
            </w:r>
          </w:p>
        </w:tc>
        <w:tc>
          <w:tcPr>
            <w:tcW w:w="674" w:type="dxa"/>
            <w:tcBorders>
              <w:top w:val="nil"/>
              <w:left w:val="nil"/>
              <w:bottom w:val="single" w:sz="8" w:space="0" w:color="auto"/>
              <w:right w:val="single" w:sz="4" w:space="0" w:color="auto"/>
            </w:tcBorders>
            <w:shd w:val="clear" w:color="auto" w:fill="auto"/>
            <w:vAlign w:val="center"/>
            <w:hideMark/>
          </w:tcPr>
          <w:p w14:paraId="07B70A3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Dokumenti I  politikave “Për Qeverisjen e Sektorit të Informacionit Gjeohapësinor në Shqipëri, 2020-2030”, miratuar me VKM Nr. 402, datë 20.05.2020.</w:t>
            </w:r>
          </w:p>
        </w:tc>
        <w:tc>
          <w:tcPr>
            <w:tcW w:w="790" w:type="dxa"/>
            <w:tcBorders>
              <w:top w:val="nil"/>
              <w:left w:val="nil"/>
              <w:bottom w:val="single" w:sz="8" w:space="0" w:color="auto"/>
              <w:right w:val="single" w:sz="8" w:space="0" w:color="auto"/>
            </w:tcBorders>
            <w:shd w:val="clear" w:color="auto" w:fill="auto"/>
            <w:noWrap/>
            <w:vAlign w:val="center"/>
            <w:hideMark/>
          </w:tcPr>
          <w:p w14:paraId="140F76E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44853CB3"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446C1C6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28</w:t>
            </w:r>
          </w:p>
        </w:tc>
        <w:tc>
          <w:tcPr>
            <w:tcW w:w="722" w:type="dxa"/>
            <w:tcBorders>
              <w:top w:val="nil"/>
              <w:left w:val="nil"/>
              <w:bottom w:val="nil"/>
              <w:right w:val="nil"/>
            </w:tcBorders>
            <w:shd w:val="clear" w:color="auto" w:fill="auto"/>
            <w:vAlign w:val="center"/>
            <w:hideMark/>
          </w:tcPr>
          <w:p w14:paraId="028A27A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 xml:space="preserve">Për përcaktimin e Autoriteti licencues, kushtet dhe kriteret për licencim për monitorimin e zbatimit të kontratës për projektet me natyre të veçantë dhe komplekse </w:t>
            </w:r>
          </w:p>
        </w:tc>
        <w:tc>
          <w:tcPr>
            <w:tcW w:w="670" w:type="dxa"/>
            <w:tcBorders>
              <w:top w:val="nil"/>
              <w:left w:val="single" w:sz="4" w:space="0" w:color="auto"/>
              <w:bottom w:val="single" w:sz="4" w:space="0" w:color="auto"/>
              <w:right w:val="single" w:sz="4" w:space="0" w:color="auto"/>
            </w:tcBorders>
            <w:shd w:val="clear" w:color="auto" w:fill="auto"/>
            <w:vAlign w:val="center"/>
            <w:hideMark/>
          </w:tcPr>
          <w:p w14:paraId="091F3CA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0E65D0F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vAlign w:val="center"/>
            <w:hideMark/>
          </w:tcPr>
          <w:p w14:paraId="730E9AD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25621A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Neni 29, shkonja “h”, Ligj nr. 43/2023 "Për qeverisjen elektronike"</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0D54C35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“E-Rezidenca” është sistemi TIK, i cili u mundëson shtetasve të huaj që nuk kanë leje qëndrimi në Shqipëri të paraqesin kërkesë për ID digjitale, pa qenë nevoja e paraqitjes fizike.</w:t>
            </w:r>
            <w:r w:rsidRPr="00F622DE">
              <w:rPr>
                <w:rFonts w:ascii="Arial" w:eastAsia="Times New Roman" w:hAnsi="Arial" w:cs="Arial"/>
                <w:color w:val="000000"/>
                <w:sz w:val="12"/>
                <w:szCs w:val="12"/>
                <w:bdr w:val="none" w:sz="0" w:space="0" w:color="auto"/>
              </w:rPr>
              <w:br/>
              <w:t>2. Shtetasi i huaj ka të drejtë, por pa u limituar në:</w:t>
            </w:r>
            <w:r w:rsidRPr="00F622DE">
              <w:rPr>
                <w:rFonts w:ascii="Arial" w:eastAsia="Times New Roman" w:hAnsi="Arial" w:cs="Arial"/>
                <w:color w:val="000000"/>
                <w:sz w:val="12"/>
                <w:szCs w:val="12"/>
                <w:bdr w:val="none" w:sz="0" w:space="0" w:color="auto"/>
              </w:rPr>
              <w:br/>
              <w:t>a) kërkesën për t’u pajisur me një identitet virtual pranë një konsullate, ku paraqitet vetëm një herë;</w:t>
            </w:r>
            <w:r w:rsidRPr="00F622DE">
              <w:rPr>
                <w:rFonts w:ascii="Arial" w:eastAsia="Times New Roman" w:hAnsi="Arial" w:cs="Arial"/>
                <w:color w:val="000000"/>
                <w:sz w:val="12"/>
                <w:szCs w:val="12"/>
                <w:bdr w:val="none" w:sz="0" w:space="0" w:color="auto"/>
              </w:rPr>
              <w:br/>
              <w:t>b) kërkesën on-line për marrjen e rezidencës elektronike;</w:t>
            </w:r>
            <w:r w:rsidRPr="00F622DE">
              <w:rPr>
                <w:rFonts w:ascii="Arial" w:eastAsia="Times New Roman" w:hAnsi="Arial" w:cs="Arial"/>
                <w:color w:val="000000"/>
                <w:sz w:val="12"/>
                <w:szCs w:val="12"/>
                <w:bdr w:val="none" w:sz="0" w:space="0" w:color="auto"/>
              </w:rPr>
              <w:br/>
              <w:t>c) kërkesën për regjistrimin e një subjekti privat pranë institucionit që mbulon regjistrimin e biznesit, si dhe ta menaxhojë atë nëpërmjet internetit;</w:t>
            </w:r>
            <w:r w:rsidRPr="00F622DE">
              <w:rPr>
                <w:rFonts w:ascii="Arial" w:eastAsia="Times New Roman" w:hAnsi="Arial" w:cs="Arial"/>
                <w:color w:val="000000"/>
                <w:sz w:val="12"/>
                <w:szCs w:val="12"/>
                <w:bdr w:val="none" w:sz="0" w:space="0" w:color="auto"/>
              </w:rPr>
              <w:br/>
              <w:t>ç) kërkesën për regjistrimin si nomad digjital;</w:t>
            </w:r>
            <w:r w:rsidRPr="00F622DE">
              <w:rPr>
                <w:rFonts w:ascii="Arial" w:eastAsia="Times New Roman" w:hAnsi="Arial" w:cs="Arial"/>
                <w:color w:val="000000"/>
                <w:sz w:val="12"/>
                <w:szCs w:val="12"/>
                <w:bdr w:val="none" w:sz="0" w:space="0" w:color="auto"/>
              </w:rPr>
              <w:br/>
              <w:t xml:space="preserve">d) të ketë mundësi për të aksesuar tek ofruesit e shërbimeve ndërkombëtare të pagesave; </w:t>
            </w:r>
            <w:r w:rsidRPr="00F622DE">
              <w:rPr>
                <w:rFonts w:ascii="Arial" w:eastAsia="Times New Roman" w:hAnsi="Arial" w:cs="Arial"/>
                <w:color w:val="000000"/>
                <w:sz w:val="12"/>
                <w:szCs w:val="12"/>
                <w:bdr w:val="none" w:sz="0" w:space="0" w:color="auto"/>
              </w:rPr>
              <w:br/>
              <w:t>dh) të nënshkruajë dhe të transmetojë dokumente në mënyrë digjitale.</w:t>
            </w:r>
            <w:r w:rsidRPr="00F622DE">
              <w:rPr>
                <w:rFonts w:ascii="Arial" w:eastAsia="Times New Roman" w:hAnsi="Arial" w:cs="Arial"/>
                <w:color w:val="000000"/>
                <w:sz w:val="12"/>
                <w:szCs w:val="12"/>
                <w:bdr w:val="none" w:sz="0" w:space="0" w:color="auto"/>
              </w:rPr>
              <w:br/>
              <w:t>3. ID digjitale e e-Rezidentit mund t’i jepet një personi në përputhje me ligjin për dokumentin elektronik, i cili ka një interes të justifikuar në përdorimin e shërbimeve elektronike të shtetit shqiptar, pavarësisht nëse ka ose jo leje qëndrimi në Republikën e Shqipërisë.</w:t>
            </w:r>
          </w:p>
        </w:tc>
        <w:tc>
          <w:tcPr>
            <w:tcW w:w="701" w:type="dxa"/>
            <w:tcBorders>
              <w:top w:val="single" w:sz="4" w:space="0" w:color="auto"/>
              <w:left w:val="nil"/>
              <w:bottom w:val="single" w:sz="4" w:space="0" w:color="auto"/>
              <w:right w:val="single" w:sz="4" w:space="0" w:color="auto"/>
            </w:tcBorders>
            <w:shd w:val="clear" w:color="auto" w:fill="auto"/>
            <w:vAlign w:val="center"/>
            <w:hideMark/>
          </w:tcPr>
          <w:p w14:paraId="07D63CF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40ECB1B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single" w:sz="4" w:space="0" w:color="auto"/>
              <w:left w:val="nil"/>
              <w:bottom w:val="single" w:sz="4" w:space="0" w:color="auto"/>
              <w:right w:val="single" w:sz="4" w:space="0" w:color="auto"/>
            </w:tcBorders>
            <w:shd w:val="clear" w:color="auto" w:fill="auto"/>
            <w:vAlign w:val="center"/>
            <w:hideMark/>
          </w:tcPr>
          <w:p w14:paraId="536A438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single" w:sz="4" w:space="0" w:color="auto"/>
              <w:left w:val="nil"/>
              <w:bottom w:val="single" w:sz="4" w:space="0" w:color="auto"/>
              <w:right w:val="single" w:sz="4" w:space="0" w:color="auto"/>
            </w:tcBorders>
            <w:shd w:val="clear" w:color="auto" w:fill="auto"/>
            <w:vAlign w:val="center"/>
            <w:hideMark/>
          </w:tcPr>
          <w:p w14:paraId="2EAD2C3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33EF2DBD"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4676844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29</w:t>
            </w:r>
          </w:p>
        </w:tc>
        <w:tc>
          <w:tcPr>
            <w:tcW w:w="722" w:type="dxa"/>
            <w:tcBorders>
              <w:top w:val="single" w:sz="4" w:space="0" w:color="auto"/>
              <w:left w:val="nil"/>
              <w:bottom w:val="single" w:sz="4" w:space="0" w:color="auto"/>
              <w:right w:val="single" w:sz="4" w:space="0" w:color="auto"/>
            </w:tcBorders>
            <w:shd w:val="clear" w:color="auto" w:fill="auto"/>
            <w:vAlign w:val="center"/>
            <w:hideMark/>
          </w:tcPr>
          <w:p w14:paraId="4BBC9AA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 përcaktimin e mënyrës së ofrimit të shërbimeve elektronike për subjektet private </w:t>
            </w:r>
          </w:p>
        </w:tc>
        <w:tc>
          <w:tcPr>
            <w:tcW w:w="670" w:type="dxa"/>
            <w:tcBorders>
              <w:top w:val="nil"/>
              <w:left w:val="nil"/>
              <w:bottom w:val="single" w:sz="4" w:space="0" w:color="auto"/>
              <w:right w:val="single" w:sz="4" w:space="0" w:color="auto"/>
            </w:tcBorders>
            <w:shd w:val="clear" w:color="auto" w:fill="auto"/>
            <w:vAlign w:val="center"/>
            <w:hideMark/>
          </w:tcPr>
          <w:p w14:paraId="1D86389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4134A6C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vAlign w:val="center"/>
            <w:hideMark/>
          </w:tcPr>
          <w:p w14:paraId="1BEE2E0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1B689C4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Nnei 52, pika 4, Ligj nr. 43/2023 "Për qeverisjen elektronike"</w:t>
            </w:r>
          </w:p>
        </w:tc>
        <w:tc>
          <w:tcPr>
            <w:tcW w:w="1233" w:type="dxa"/>
            <w:tcBorders>
              <w:top w:val="nil"/>
              <w:left w:val="nil"/>
              <w:bottom w:val="single" w:sz="4" w:space="0" w:color="auto"/>
              <w:right w:val="single" w:sz="4" w:space="0" w:color="auto"/>
            </w:tcBorders>
            <w:shd w:val="clear" w:color="auto" w:fill="auto"/>
            <w:vAlign w:val="center"/>
            <w:hideMark/>
          </w:tcPr>
          <w:p w14:paraId="17414D6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 Për ofrimin e shërbimeve elektronike nga subjektet private, AKSHI ngre platformën elektronike dhe mundëson pagesën elektronike në mënyrë të drejtpërdrejtë nëpërmjet platformës së pagesave të ngritur nga AKSHI e të pavarur nga platformat elektronike të pagesave nga institucionet financiare.</w:t>
            </w:r>
            <w:r w:rsidRPr="00F622DE">
              <w:rPr>
                <w:rFonts w:ascii="Arial" w:eastAsia="Times New Roman" w:hAnsi="Arial" w:cs="Arial"/>
                <w:color w:val="000000"/>
                <w:sz w:val="12"/>
                <w:szCs w:val="12"/>
                <w:bdr w:val="none" w:sz="0" w:space="0" w:color="auto"/>
              </w:rPr>
              <w:br/>
              <w:t>2. Ofrimi i shërbimeve elektronike në platformë ofrohet si mënyrë alternative.</w:t>
            </w:r>
            <w:r w:rsidRPr="00F622DE">
              <w:rPr>
                <w:rFonts w:ascii="Arial" w:eastAsia="Times New Roman" w:hAnsi="Arial" w:cs="Arial"/>
                <w:color w:val="000000"/>
                <w:sz w:val="12"/>
                <w:szCs w:val="12"/>
                <w:bdr w:val="none" w:sz="0" w:space="0" w:color="auto"/>
              </w:rPr>
              <w:br/>
              <w:t>3. AKSHI aplikon tarifa për subjektet që zgjedhin ofrimin e shërbimeve elektronike publike në platformë.</w:t>
            </w:r>
          </w:p>
        </w:tc>
        <w:tc>
          <w:tcPr>
            <w:tcW w:w="701" w:type="dxa"/>
            <w:tcBorders>
              <w:top w:val="nil"/>
              <w:left w:val="nil"/>
              <w:bottom w:val="single" w:sz="4" w:space="0" w:color="auto"/>
              <w:right w:val="single" w:sz="4" w:space="0" w:color="auto"/>
            </w:tcBorders>
            <w:shd w:val="clear" w:color="auto" w:fill="auto"/>
            <w:vAlign w:val="center"/>
            <w:hideMark/>
          </w:tcPr>
          <w:p w14:paraId="3F4345E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12DE895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7E46915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744270D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5288C980"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9BA727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30</w:t>
            </w:r>
          </w:p>
        </w:tc>
        <w:tc>
          <w:tcPr>
            <w:tcW w:w="722" w:type="dxa"/>
            <w:tcBorders>
              <w:top w:val="nil"/>
              <w:left w:val="nil"/>
              <w:bottom w:val="single" w:sz="4" w:space="0" w:color="auto"/>
              <w:right w:val="single" w:sz="4" w:space="0" w:color="auto"/>
            </w:tcBorders>
            <w:shd w:val="clear" w:color="auto" w:fill="auto"/>
            <w:vAlign w:val="center"/>
            <w:hideMark/>
          </w:tcPr>
          <w:p w14:paraId="00C6320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 miratimin e standardeve e projektimit të sistemeve TIK në administratën publike </w:t>
            </w:r>
          </w:p>
        </w:tc>
        <w:tc>
          <w:tcPr>
            <w:tcW w:w="670" w:type="dxa"/>
            <w:tcBorders>
              <w:top w:val="nil"/>
              <w:left w:val="nil"/>
              <w:bottom w:val="single" w:sz="4" w:space="0" w:color="auto"/>
              <w:right w:val="single" w:sz="4" w:space="0" w:color="auto"/>
            </w:tcBorders>
            <w:shd w:val="clear" w:color="auto" w:fill="auto"/>
            <w:vAlign w:val="center"/>
            <w:hideMark/>
          </w:tcPr>
          <w:p w14:paraId="4E79CE2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1E6439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vAlign w:val="center"/>
            <w:hideMark/>
          </w:tcPr>
          <w:p w14:paraId="69BC27E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7254F67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Neni 54, pika 2, Ligj nr. 43/2023 "Për qeverisjen elektronike"</w:t>
            </w:r>
          </w:p>
        </w:tc>
        <w:tc>
          <w:tcPr>
            <w:tcW w:w="1233" w:type="dxa"/>
            <w:tcBorders>
              <w:top w:val="nil"/>
              <w:left w:val="nil"/>
              <w:bottom w:val="single" w:sz="4" w:space="0" w:color="auto"/>
              <w:right w:val="single" w:sz="4" w:space="0" w:color="auto"/>
            </w:tcBorders>
            <w:shd w:val="clear" w:color="auto" w:fill="auto"/>
            <w:vAlign w:val="center"/>
            <w:hideMark/>
          </w:tcPr>
          <w:p w14:paraId="4080B3C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 Projektet TIK në administratën publike zhvillohen dhe projektohen duke garantuar ndërveprueshmërinë e sistemeve dhe shërbimeve në përputhje me rregullat e miratuara me vendim të Këshillit të Ministrave sipas këtij ligji.</w:t>
            </w:r>
          </w:p>
        </w:tc>
        <w:tc>
          <w:tcPr>
            <w:tcW w:w="701" w:type="dxa"/>
            <w:tcBorders>
              <w:top w:val="nil"/>
              <w:left w:val="nil"/>
              <w:bottom w:val="single" w:sz="4" w:space="0" w:color="auto"/>
              <w:right w:val="single" w:sz="4" w:space="0" w:color="auto"/>
            </w:tcBorders>
            <w:shd w:val="clear" w:color="auto" w:fill="auto"/>
            <w:vAlign w:val="center"/>
            <w:hideMark/>
          </w:tcPr>
          <w:p w14:paraId="247DFD7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107170B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6AFEA01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4551146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4220B02E"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64A706A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31</w:t>
            </w:r>
          </w:p>
        </w:tc>
        <w:tc>
          <w:tcPr>
            <w:tcW w:w="722" w:type="dxa"/>
            <w:tcBorders>
              <w:top w:val="nil"/>
              <w:left w:val="nil"/>
              <w:bottom w:val="single" w:sz="4" w:space="0" w:color="auto"/>
              <w:right w:val="single" w:sz="4" w:space="0" w:color="auto"/>
            </w:tcBorders>
            <w:shd w:val="clear" w:color="auto" w:fill="auto"/>
            <w:vAlign w:val="center"/>
            <w:hideMark/>
          </w:tcPr>
          <w:p w14:paraId="76B7BFC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"Për sigurimin fizik të informacionit të klasifikuar “sekret shtetëror”, të NATO-s, BE-së, shteteve dhe organizatave të tjera ndërkombëtare</w:t>
            </w:r>
          </w:p>
        </w:tc>
        <w:tc>
          <w:tcPr>
            <w:tcW w:w="670" w:type="dxa"/>
            <w:tcBorders>
              <w:top w:val="nil"/>
              <w:left w:val="nil"/>
              <w:bottom w:val="single" w:sz="4" w:space="0" w:color="auto"/>
              <w:right w:val="single" w:sz="4" w:space="0" w:color="auto"/>
            </w:tcBorders>
            <w:shd w:val="clear" w:color="auto" w:fill="auto"/>
            <w:vAlign w:val="center"/>
            <w:hideMark/>
          </w:tcPr>
          <w:p w14:paraId="024570E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D09944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Kryeministri-Zëvendëskryeministri (AKSIK)</w:t>
            </w:r>
          </w:p>
        </w:tc>
        <w:tc>
          <w:tcPr>
            <w:tcW w:w="678" w:type="dxa"/>
            <w:tcBorders>
              <w:top w:val="nil"/>
              <w:left w:val="nil"/>
              <w:bottom w:val="single" w:sz="4" w:space="0" w:color="auto"/>
              <w:right w:val="single" w:sz="4" w:space="0" w:color="auto"/>
            </w:tcBorders>
            <w:shd w:val="clear" w:color="auto" w:fill="auto"/>
            <w:vAlign w:val="center"/>
            <w:hideMark/>
          </w:tcPr>
          <w:p w14:paraId="338953E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366406E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 xml:space="preserve"> Projektakti synon përmirësimin e anës ligjore të sigurimit të informacionit të klasifikuar gjatë ciklit që prodhohet, regjistrohet,</w:t>
            </w:r>
            <w:r w:rsidRPr="00F622DE">
              <w:rPr>
                <w:rFonts w:ascii="Arial" w:eastAsia="Times New Roman" w:hAnsi="Arial" w:cs="Arial"/>
                <w:sz w:val="12"/>
                <w:szCs w:val="12"/>
                <w:bdr w:val="none" w:sz="0" w:space="0" w:color="auto"/>
              </w:rPr>
              <w:br/>
              <w:t>shfrytëzohet, shumëfishohet, ruhet, transmetohet</w:t>
            </w:r>
            <w:r w:rsidRPr="00F622DE">
              <w:rPr>
                <w:rFonts w:ascii="Arial" w:eastAsia="Times New Roman" w:hAnsi="Arial" w:cs="Arial"/>
                <w:sz w:val="12"/>
                <w:szCs w:val="12"/>
                <w:bdr w:val="none" w:sz="0" w:space="0" w:color="auto"/>
              </w:rPr>
              <w:br/>
              <w:t>dhe arkivohet informacion i klasifikuar “Sekret</w:t>
            </w:r>
            <w:r w:rsidRPr="00F622DE">
              <w:rPr>
                <w:rFonts w:ascii="Arial" w:eastAsia="Times New Roman" w:hAnsi="Arial" w:cs="Arial"/>
                <w:sz w:val="12"/>
                <w:szCs w:val="12"/>
                <w:bdr w:val="none" w:sz="0" w:space="0" w:color="auto"/>
              </w:rPr>
              <w:br/>
              <w:t>shtetëror” i NATO-s, BE-së, shteteve dhe</w:t>
            </w:r>
            <w:r w:rsidRPr="00F622DE">
              <w:rPr>
                <w:rFonts w:ascii="Arial" w:eastAsia="Times New Roman" w:hAnsi="Arial" w:cs="Arial"/>
                <w:sz w:val="12"/>
                <w:szCs w:val="12"/>
                <w:bdr w:val="none" w:sz="0" w:space="0" w:color="auto"/>
              </w:rPr>
              <w:br/>
              <w:t>organizatave të tjera ndërkombëtare. Pas hyrjes në fuqi të ligjit të ri "Për informacionin e klasifikuar" është parashikuar ndryshimi i akteve nënligjore në zbatim të tij.</w:t>
            </w:r>
          </w:p>
        </w:tc>
        <w:tc>
          <w:tcPr>
            <w:tcW w:w="1233" w:type="dxa"/>
            <w:tcBorders>
              <w:top w:val="nil"/>
              <w:left w:val="nil"/>
              <w:bottom w:val="nil"/>
              <w:right w:val="nil"/>
            </w:tcBorders>
            <w:shd w:val="clear" w:color="auto" w:fill="auto"/>
            <w:vAlign w:val="center"/>
            <w:hideMark/>
          </w:tcPr>
          <w:p w14:paraId="3668B04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Përcaktimi i tërësisë së masave fizike, teknike, elektronike dhe procedurale për ruajtjen e zonave, ndërtesave, zyrave, dhomave dhe pajisjeve ku prodhohet, regjistrohet, shfrytëzohet, transmetohet, ruhet, arkivohet dhe shkatërrohet informacioni i klasifikuar “Sekret shtetëror” i NATO-s, BE-së, shteteve dhe organizatave të tjera ndërkombëtare.</w:t>
            </w:r>
          </w:p>
        </w:tc>
        <w:tc>
          <w:tcPr>
            <w:tcW w:w="701" w:type="dxa"/>
            <w:tcBorders>
              <w:top w:val="nil"/>
              <w:left w:val="single" w:sz="4" w:space="0" w:color="auto"/>
              <w:bottom w:val="single" w:sz="4" w:space="0" w:color="auto"/>
              <w:right w:val="single" w:sz="4" w:space="0" w:color="auto"/>
            </w:tcBorders>
            <w:shd w:val="clear" w:color="auto" w:fill="auto"/>
            <w:vAlign w:val="center"/>
            <w:hideMark/>
          </w:tcPr>
          <w:p w14:paraId="693FFCD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PO. Kapitulli 31, "Politika e Jashtme, Sigurisë dhe Mbrojtjes"</w:t>
            </w:r>
          </w:p>
        </w:tc>
        <w:tc>
          <w:tcPr>
            <w:tcW w:w="971" w:type="dxa"/>
            <w:tcBorders>
              <w:top w:val="nil"/>
              <w:left w:val="nil"/>
              <w:bottom w:val="single" w:sz="4" w:space="0" w:color="auto"/>
              <w:right w:val="single" w:sz="4" w:space="0" w:color="auto"/>
            </w:tcBorders>
            <w:shd w:val="clear" w:color="auto" w:fill="auto"/>
            <w:vAlign w:val="center"/>
            <w:hideMark/>
          </w:tcPr>
          <w:p w14:paraId="56D2DA6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7210B02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0541A34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Jo</w:t>
            </w:r>
          </w:p>
        </w:tc>
      </w:tr>
      <w:tr w:rsidR="00F622DE" w:rsidRPr="00F622DE" w14:paraId="4B6D01E1"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B13BE0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32</w:t>
            </w:r>
          </w:p>
        </w:tc>
        <w:tc>
          <w:tcPr>
            <w:tcW w:w="722" w:type="dxa"/>
            <w:tcBorders>
              <w:top w:val="nil"/>
              <w:left w:val="nil"/>
              <w:bottom w:val="single" w:sz="4" w:space="0" w:color="auto"/>
              <w:right w:val="single" w:sz="4" w:space="0" w:color="auto"/>
            </w:tcBorders>
            <w:shd w:val="clear" w:color="auto" w:fill="auto"/>
            <w:vAlign w:val="center"/>
            <w:hideMark/>
          </w:tcPr>
          <w:p w14:paraId="3F6F2E2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Planit të menaxhimit të rrezikut nga përmbytjet për disa zona ku ekziston rreziku potencial nga përmbytjet ose ka gjasa të ndodhin përmbytje, drin-bunë 4, 5 dhe 6 (Territori i Njësive Administrative Shkodër, Ana e Malit, Bërdicë, Dajç, Guri i Zi, Rrethinat dhe Velipojë të Bashkisë Shkodër dhe Njësinë Administrative Bushat të Bashkisë Vau i Dejës)”</w:t>
            </w:r>
          </w:p>
        </w:tc>
        <w:tc>
          <w:tcPr>
            <w:tcW w:w="670" w:type="dxa"/>
            <w:tcBorders>
              <w:top w:val="nil"/>
              <w:left w:val="nil"/>
              <w:bottom w:val="single" w:sz="4" w:space="0" w:color="auto"/>
              <w:right w:val="single" w:sz="4" w:space="0" w:color="auto"/>
            </w:tcBorders>
            <w:shd w:val="clear" w:color="auto" w:fill="auto"/>
            <w:vAlign w:val="center"/>
            <w:hideMark/>
          </w:tcPr>
          <w:p w14:paraId="2749520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42DC863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(AMBU)</w:t>
            </w:r>
          </w:p>
        </w:tc>
        <w:tc>
          <w:tcPr>
            <w:tcW w:w="678" w:type="dxa"/>
            <w:tcBorders>
              <w:top w:val="nil"/>
              <w:left w:val="nil"/>
              <w:bottom w:val="single" w:sz="4" w:space="0" w:color="auto"/>
              <w:right w:val="single" w:sz="4" w:space="0" w:color="auto"/>
            </w:tcBorders>
            <w:shd w:val="clear" w:color="auto" w:fill="auto"/>
            <w:vAlign w:val="center"/>
            <w:hideMark/>
          </w:tcPr>
          <w:p w14:paraId="21151A1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4196836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Projektvendimi ka si ka</w:t>
            </w:r>
            <w:r w:rsidRPr="00F622DE">
              <w:rPr>
                <w:rFonts w:ascii="Arial" w:eastAsia="Times New Roman" w:hAnsi="Arial" w:cs="Arial"/>
                <w:color w:val="000000"/>
                <w:sz w:val="12"/>
                <w:szCs w:val="12"/>
                <w:bdr w:val="none" w:sz="0" w:space="0" w:color="auto"/>
              </w:rPr>
              <w:br/>
              <w:t>për qëllim miratimin e</w:t>
            </w:r>
            <w:r w:rsidRPr="00F622DE">
              <w:rPr>
                <w:rFonts w:ascii="Arial" w:eastAsia="Times New Roman" w:hAnsi="Arial" w:cs="Arial"/>
                <w:color w:val="000000"/>
                <w:sz w:val="12"/>
                <w:szCs w:val="12"/>
                <w:bdr w:val="none" w:sz="0" w:space="0" w:color="auto"/>
              </w:rPr>
              <w:br/>
              <w:t>një Planit të Menaxhimit të rrezikut nga</w:t>
            </w:r>
            <w:r w:rsidRPr="00F622DE">
              <w:rPr>
                <w:rFonts w:ascii="Arial" w:eastAsia="Times New Roman" w:hAnsi="Arial" w:cs="Arial"/>
                <w:color w:val="000000"/>
                <w:sz w:val="12"/>
                <w:szCs w:val="12"/>
                <w:bdr w:val="none" w:sz="0" w:space="0" w:color="auto"/>
              </w:rPr>
              <w:br/>
              <w:t>përmbytjet për disa zona,</w:t>
            </w:r>
            <w:r w:rsidRPr="00F622DE">
              <w:rPr>
                <w:rFonts w:ascii="Arial" w:eastAsia="Times New Roman" w:hAnsi="Arial" w:cs="Arial"/>
                <w:color w:val="000000"/>
                <w:sz w:val="12"/>
                <w:szCs w:val="12"/>
                <w:bdr w:val="none" w:sz="0" w:space="0" w:color="auto"/>
              </w:rPr>
              <w:br/>
              <w:t>i cili i shërben</w:t>
            </w:r>
            <w:r w:rsidRPr="00F622DE">
              <w:rPr>
                <w:rFonts w:ascii="Arial" w:eastAsia="Times New Roman" w:hAnsi="Arial" w:cs="Arial"/>
                <w:color w:val="000000"/>
                <w:sz w:val="12"/>
                <w:szCs w:val="12"/>
                <w:bdr w:val="none" w:sz="0" w:space="0" w:color="auto"/>
              </w:rPr>
              <w:br/>
              <w:t>institucioneve shtetërore,</w:t>
            </w:r>
            <w:r w:rsidRPr="00F622DE">
              <w:rPr>
                <w:rFonts w:ascii="Arial" w:eastAsia="Times New Roman" w:hAnsi="Arial" w:cs="Arial"/>
                <w:color w:val="000000"/>
                <w:sz w:val="12"/>
                <w:szCs w:val="12"/>
                <w:bdr w:val="none" w:sz="0" w:space="0" w:color="auto"/>
              </w:rPr>
              <w:br/>
              <w:t>enteve publike e private</w:t>
            </w:r>
            <w:r w:rsidRPr="00F622DE">
              <w:rPr>
                <w:rFonts w:ascii="Arial" w:eastAsia="Times New Roman" w:hAnsi="Arial" w:cs="Arial"/>
                <w:color w:val="000000"/>
                <w:sz w:val="12"/>
                <w:szCs w:val="12"/>
                <w:bdr w:val="none" w:sz="0" w:space="0" w:color="auto"/>
              </w:rPr>
              <w:br/>
              <w:t>për të menaxhuar në</w:t>
            </w:r>
            <w:r w:rsidRPr="00F622DE">
              <w:rPr>
                <w:rFonts w:ascii="Arial" w:eastAsia="Times New Roman" w:hAnsi="Arial" w:cs="Arial"/>
                <w:color w:val="000000"/>
                <w:sz w:val="12"/>
                <w:szCs w:val="12"/>
                <w:bdr w:val="none" w:sz="0" w:space="0" w:color="auto"/>
              </w:rPr>
              <w:br/>
              <w:t>mënyrë të harmonizuar</w:t>
            </w:r>
            <w:r w:rsidRPr="00F622DE">
              <w:rPr>
                <w:rFonts w:ascii="Arial" w:eastAsia="Times New Roman" w:hAnsi="Arial" w:cs="Arial"/>
                <w:color w:val="000000"/>
                <w:sz w:val="12"/>
                <w:szCs w:val="12"/>
                <w:bdr w:val="none" w:sz="0" w:space="0" w:color="auto"/>
              </w:rPr>
              <w:br/>
              <w:t>rrezikun nga përmbytjet</w:t>
            </w:r>
            <w:r w:rsidRPr="00F622DE">
              <w:rPr>
                <w:rFonts w:ascii="Arial" w:eastAsia="Times New Roman" w:hAnsi="Arial" w:cs="Arial"/>
                <w:color w:val="000000"/>
                <w:sz w:val="12"/>
                <w:szCs w:val="12"/>
                <w:bdr w:val="none" w:sz="0" w:space="0" w:color="auto"/>
              </w:rPr>
              <w:br/>
              <w:t>dhe marrjen e masave</w:t>
            </w:r>
            <w:r w:rsidRPr="00F622DE">
              <w:rPr>
                <w:rFonts w:ascii="Arial" w:eastAsia="Times New Roman" w:hAnsi="Arial" w:cs="Arial"/>
                <w:color w:val="000000"/>
                <w:sz w:val="12"/>
                <w:szCs w:val="12"/>
                <w:bdr w:val="none" w:sz="0" w:space="0" w:color="auto"/>
              </w:rPr>
              <w:br/>
              <w:t>efektive, me qëllim</w:t>
            </w:r>
            <w:r w:rsidRPr="00F622DE">
              <w:rPr>
                <w:rFonts w:ascii="Arial" w:eastAsia="Times New Roman" w:hAnsi="Arial" w:cs="Arial"/>
                <w:color w:val="000000"/>
                <w:sz w:val="12"/>
                <w:szCs w:val="12"/>
                <w:bdr w:val="none" w:sz="0" w:space="0" w:color="auto"/>
              </w:rPr>
              <w:br/>
              <w:t>parandalimin dhe</w:t>
            </w:r>
            <w:r w:rsidRPr="00F622DE">
              <w:rPr>
                <w:rFonts w:ascii="Arial" w:eastAsia="Times New Roman" w:hAnsi="Arial" w:cs="Arial"/>
                <w:color w:val="000000"/>
                <w:sz w:val="12"/>
                <w:szCs w:val="12"/>
                <w:bdr w:val="none" w:sz="0" w:space="0" w:color="auto"/>
              </w:rPr>
              <w:br/>
              <w:t>reduktimin e pasojave të</w:t>
            </w:r>
            <w:r w:rsidRPr="00F622DE">
              <w:rPr>
                <w:rFonts w:ascii="Arial" w:eastAsia="Times New Roman" w:hAnsi="Arial" w:cs="Arial"/>
                <w:color w:val="000000"/>
                <w:sz w:val="12"/>
                <w:szCs w:val="12"/>
                <w:bdr w:val="none" w:sz="0" w:space="0" w:color="auto"/>
              </w:rPr>
              <w:br/>
              <w:t>mundshme negative nga</w:t>
            </w:r>
            <w:r w:rsidRPr="00F622DE">
              <w:rPr>
                <w:rFonts w:ascii="Arial" w:eastAsia="Times New Roman" w:hAnsi="Arial" w:cs="Arial"/>
                <w:color w:val="000000"/>
                <w:sz w:val="12"/>
                <w:szCs w:val="12"/>
                <w:bdr w:val="none" w:sz="0" w:space="0" w:color="auto"/>
              </w:rPr>
              <w:br/>
              <w:t>përmbytjet për shëndetin</w:t>
            </w:r>
            <w:r w:rsidRPr="00F622DE">
              <w:rPr>
                <w:rFonts w:ascii="Arial" w:eastAsia="Times New Roman" w:hAnsi="Arial" w:cs="Arial"/>
                <w:color w:val="000000"/>
                <w:sz w:val="12"/>
                <w:szCs w:val="12"/>
                <w:bdr w:val="none" w:sz="0" w:space="0" w:color="auto"/>
              </w:rPr>
              <w:br/>
              <w:t>e njeriut, mjedisin,</w:t>
            </w:r>
            <w:r w:rsidRPr="00F622DE">
              <w:rPr>
                <w:rFonts w:ascii="Arial" w:eastAsia="Times New Roman" w:hAnsi="Arial" w:cs="Arial"/>
                <w:color w:val="000000"/>
                <w:sz w:val="12"/>
                <w:szCs w:val="12"/>
                <w:bdr w:val="none" w:sz="0" w:space="0" w:color="auto"/>
              </w:rPr>
              <w:br/>
              <w:t>trashëgiminë kulturore</w:t>
            </w:r>
            <w:r w:rsidRPr="00F622DE">
              <w:rPr>
                <w:rFonts w:ascii="Arial" w:eastAsia="Times New Roman" w:hAnsi="Arial" w:cs="Arial"/>
                <w:color w:val="000000"/>
                <w:sz w:val="12"/>
                <w:szCs w:val="12"/>
                <w:bdr w:val="none" w:sz="0" w:space="0" w:color="auto"/>
              </w:rPr>
              <w:br/>
              <w:t>dhe aktivitetin</w:t>
            </w:r>
            <w:r w:rsidRPr="00F622DE">
              <w:rPr>
                <w:rFonts w:ascii="Arial" w:eastAsia="Times New Roman" w:hAnsi="Arial" w:cs="Arial"/>
                <w:color w:val="000000"/>
                <w:sz w:val="12"/>
                <w:szCs w:val="12"/>
                <w:bdr w:val="none" w:sz="0" w:space="0" w:color="auto"/>
              </w:rPr>
              <w:br/>
              <w:t>ekonomik, në zonat</w:t>
            </w:r>
            <w:r w:rsidRPr="00F622DE">
              <w:rPr>
                <w:rFonts w:ascii="Arial" w:eastAsia="Times New Roman" w:hAnsi="Arial" w:cs="Arial"/>
                <w:color w:val="000000"/>
                <w:sz w:val="12"/>
                <w:szCs w:val="12"/>
                <w:bdr w:val="none" w:sz="0" w:space="0" w:color="auto"/>
              </w:rPr>
              <w:br/>
              <w:t>respektive.</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463ADB5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Projektvendimi është</w:t>
            </w:r>
            <w:r w:rsidRPr="00F622DE">
              <w:rPr>
                <w:rFonts w:ascii="Arial" w:eastAsia="Times New Roman" w:hAnsi="Arial" w:cs="Arial"/>
                <w:color w:val="000000"/>
                <w:sz w:val="12"/>
                <w:szCs w:val="12"/>
                <w:bdr w:val="none" w:sz="0" w:space="0" w:color="auto"/>
              </w:rPr>
              <w:br/>
              <w:t>në vijim të akteve</w:t>
            </w:r>
            <w:r w:rsidRPr="00F622DE">
              <w:rPr>
                <w:rFonts w:ascii="Arial" w:eastAsia="Times New Roman" w:hAnsi="Arial" w:cs="Arial"/>
                <w:color w:val="000000"/>
                <w:sz w:val="12"/>
                <w:szCs w:val="12"/>
                <w:bdr w:val="none" w:sz="0" w:space="0" w:color="auto"/>
              </w:rPr>
              <w:br/>
              <w:t>nënligjore që synojnë tëplotësojnë dhe</w:t>
            </w:r>
            <w:r w:rsidRPr="00F622DE">
              <w:rPr>
                <w:rFonts w:ascii="Arial" w:eastAsia="Times New Roman" w:hAnsi="Arial" w:cs="Arial"/>
                <w:color w:val="000000"/>
                <w:sz w:val="12"/>
                <w:szCs w:val="12"/>
                <w:bdr w:val="none" w:sz="0" w:space="0" w:color="auto"/>
              </w:rPr>
              <w:br/>
              <w:t>përmirësojnë kuadrin</w:t>
            </w:r>
            <w:r w:rsidRPr="00F622DE">
              <w:rPr>
                <w:rFonts w:ascii="Arial" w:eastAsia="Times New Roman" w:hAnsi="Arial" w:cs="Arial"/>
                <w:color w:val="000000"/>
                <w:sz w:val="12"/>
                <w:szCs w:val="12"/>
                <w:bdr w:val="none" w:sz="0" w:space="0" w:color="auto"/>
              </w:rPr>
              <w:br/>
              <w:t>ligjor për menaxhimin</w:t>
            </w:r>
            <w:r w:rsidRPr="00F622DE">
              <w:rPr>
                <w:rFonts w:ascii="Arial" w:eastAsia="Times New Roman" w:hAnsi="Arial" w:cs="Arial"/>
                <w:color w:val="000000"/>
                <w:sz w:val="12"/>
                <w:szCs w:val="12"/>
                <w:bdr w:val="none" w:sz="0" w:space="0" w:color="auto"/>
              </w:rPr>
              <w:br/>
              <w:t>e integruar të burimeve</w:t>
            </w:r>
            <w:r w:rsidRPr="00F622DE">
              <w:rPr>
                <w:rFonts w:ascii="Arial" w:eastAsia="Times New Roman" w:hAnsi="Arial" w:cs="Arial"/>
                <w:color w:val="000000"/>
                <w:sz w:val="12"/>
                <w:szCs w:val="12"/>
                <w:bdr w:val="none" w:sz="0" w:space="0" w:color="auto"/>
              </w:rPr>
              <w:br/>
              <w:t>ujore në përgjithësi dhe</w:t>
            </w:r>
            <w:r w:rsidRPr="00F622DE">
              <w:rPr>
                <w:rFonts w:ascii="Arial" w:eastAsia="Times New Roman" w:hAnsi="Arial" w:cs="Arial"/>
                <w:color w:val="000000"/>
                <w:sz w:val="12"/>
                <w:szCs w:val="12"/>
                <w:bdr w:val="none" w:sz="0" w:space="0" w:color="auto"/>
              </w:rPr>
              <w:br/>
              <w:t>menaxhimin e rrezikut</w:t>
            </w:r>
            <w:r w:rsidRPr="00F622DE">
              <w:rPr>
                <w:rFonts w:ascii="Arial" w:eastAsia="Times New Roman" w:hAnsi="Arial" w:cs="Arial"/>
                <w:color w:val="000000"/>
                <w:sz w:val="12"/>
                <w:szCs w:val="12"/>
                <w:bdr w:val="none" w:sz="0" w:space="0" w:color="auto"/>
              </w:rPr>
              <w:br/>
              <w:t>nga përmbytjet në</w:t>
            </w:r>
            <w:r w:rsidRPr="00F622DE">
              <w:rPr>
                <w:rFonts w:ascii="Arial" w:eastAsia="Times New Roman" w:hAnsi="Arial" w:cs="Arial"/>
                <w:color w:val="000000"/>
                <w:sz w:val="12"/>
                <w:szCs w:val="12"/>
                <w:bdr w:val="none" w:sz="0" w:space="0" w:color="auto"/>
              </w:rPr>
              <w:br/>
              <w:t>veçanti, në Republikën</w:t>
            </w:r>
            <w:r w:rsidRPr="00F622DE">
              <w:rPr>
                <w:rFonts w:ascii="Arial" w:eastAsia="Times New Roman" w:hAnsi="Arial" w:cs="Arial"/>
                <w:color w:val="000000"/>
                <w:sz w:val="12"/>
                <w:szCs w:val="12"/>
                <w:bdr w:val="none" w:sz="0" w:space="0" w:color="auto"/>
              </w:rPr>
              <w:br/>
              <w:t>e Shqipërisë, në</w:t>
            </w:r>
            <w:r w:rsidRPr="00F622DE">
              <w:rPr>
                <w:rFonts w:ascii="Arial" w:eastAsia="Times New Roman" w:hAnsi="Arial" w:cs="Arial"/>
                <w:color w:val="000000"/>
                <w:sz w:val="12"/>
                <w:szCs w:val="12"/>
                <w:bdr w:val="none" w:sz="0" w:space="0" w:color="auto"/>
              </w:rPr>
              <w:br/>
              <w:t>përputhje me</w:t>
            </w:r>
            <w:r w:rsidRPr="00F622DE">
              <w:rPr>
                <w:rFonts w:ascii="Arial" w:eastAsia="Times New Roman" w:hAnsi="Arial" w:cs="Arial"/>
                <w:color w:val="000000"/>
                <w:sz w:val="12"/>
                <w:szCs w:val="12"/>
                <w:bdr w:val="none" w:sz="0" w:space="0" w:color="auto"/>
              </w:rPr>
              <w:br/>
              <w:t>legjislacionin Evropian.</w:t>
            </w:r>
            <w:r w:rsidRPr="00F622DE">
              <w:rPr>
                <w:rFonts w:ascii="Arial" w:eastAsia="Times New Roman" w:hAnsi="Arial" w:cs="Arial"/>
                <w:color w:val="000000"/>
                <w:sz w:val="12"/>
                <w:szCs w:val="12"/>
                <w:bdr w:val="none" w:sz="0" w:space="0" w:color="auto"/>
              </w:rPr>
              <w:br/>
              <w:t>Zbatimi i planit të</w:t>
            </w:r>
            <w:r w:rsidRPr="00F622DE">
              <w:rPr>
                <w:rFonts w:ascii="Arial" w:eastAsia="Times New Roman" w:hAnsi="Arial" w:cs="Arial"/>
                <w:color w:val="000000"/>
                <w:sz w:val="12"/>
                <w:szCs w:val="12"/>
                <w:bdr w:val="none" w:sz="0" w:space="0" w:color="auto"/>
              </w:rPr>
              <w:br/>
              <w:t>masave dhe</w:t>
            </w:r>
            <w:r w:rsidRPr="00F622DE">
              <w:rPr>
                <w:rFonts w:ascii="Arial" w:eastAsia="Times New Roman" w:hAnsi="Arial" w:cs="Arial"/>
                <w:color w:val="000000"/>
                <w:sz w:val="12"/>
                <w:szCs w:val="12"/>
                <w:bdr w:val="none" w:sz="0" w:space="0" w:color="auto"/>
              </w:rPr>
              <w:br/>
              <w:t>rekomandimeve të</w:t>
            </w:r>
            <w:r w:rsidRPr="00F622DE">
              <w:rPr>
                <w:rFonts w:ascii="Arial" w:eastAsia="Times New Roman" w:hAnsi="Arial" w:cs="Arial"/>
                <w:color w:val="000000"/>
                <w:sz w:val="12"/>
                <w:szCs w:val="12"/>
                <w:bdr w:val="none" w:sz="0" w:space="0" w:color="auto"/>
              </w:rPr>
              <w:br/>
              <w:t>Planit të Menaxhimit të</w:t>
            </w:r>
            <w:r w:rsidRPr="00F622DE">
              <w:rPr>
                <w:rFonts w:ascii="Arial" w:eastAsia="Times New Roman" w:hAnsi="Arial" w:cs="Arial"/>
                <w:color w:val="000000"/>
                <w:sz w:val="12"/>
                <w:szCs w:val="12"/>
                <w:bdr w:val="none" w:sz="0" w:space="0" w:color="auto"/>
              </w:rPr>
              <w:br/>
              <w:t>Rrezikut nga</w:t>
            </w:r>
            <w:r w:rsidRPr="00F622DE">
              <w:rPr>
                <w:rFonts w:ascii="Arial" w:eastAsia="Times New Roman" w:hAnsi="Arial" w:cs="Arial"/>
                <w:color w:val="000000"/>
                <w:sz w:val="12"/>
                <w:szCs w:val="12"/>
                <w:bdr w:val="none" w:sz="0" w:space="0" w:color="auto"/>
              </w:rPr>
              <w:br/>
              <w:t>Përmbytjet do të</w:t>
            </w:r>
            <w:r w:rsidRPr="00F622DE">
              <w:rPr>
                <w:rFonts w:ascii="Arial" w:eastAsia="Times New Roman" w:hAnsi="Arial" w:cs="Arial"/>
                <w:color w:val="000000"/>
                <w:sz w:val="12"/>
                <w:szCs w:val="12"/>
                <w:bdr w:val="none" w:sz="0" w:space="0" w:color="auto"/>
              </w:rPr>
              <w:br/>
              <w:t>ndikojnë në uljen e</w:t>
            </w:r>
            <w:r w:rsidRPr="00F622DE">
              <w:rPr>
                <w:rFonts w:ascii="Arial" w:eastAsia="Times New Roman" w:hAnsi="Arial" w:cs="Arial"/>
                <w:color w:val="000000"/>
                <w:sz w:val="12"/>
                <w:szCs w:val="12"/>
                <w:bdr w:val="none" w:sz="0" w:space="0" w:color="auto"/>
              </w:rPr>
              <w:br/>
              <w:t>rrezikut dhe risqeve që</w:t>
            </w:r>
            <w:r w:rsidRPr="00F622DE">
              <w:rPr>
                <w:rFonts w:ascii="Arial" w:eastAsia="Times New Roman" w:hAnsi="Arial" w:cs="Arial"/>
                <w:color w:val="000000"/>
                <w:sz w:val="12"/>
                <w:szCs w:val="12"/>
                <w:bdr w:val="none" w:sz="0" w:space="0" w:color="auto"/>
              </w:rPr>
              <w:br/>
              <w:t>vijnë nga përmbytjet në</w:t>
            </w:r>
            <w:r w:rsidRPr="00F622DE">
              <w:rPr>
                <w:rFonts w:ascii="Arial" w:eastAsia="Times New Roman" w:hAnsi="Arial" w:cs="Arial"/>
                <w:color w:val="000000"/>
                <w:sz w:val="12"/>
                <w:szCs w:val="12"/>
                <w:bdr w:val="none" w:sz="0" w:space="0" w:color="auto"/>
              </w:rPr>
              <w:br/>
              <w:t>territorin e njësive</w:t>
            </w:r>
            <w:r w:rsidRPr="00F622DE">
              <w:rPr>
                <w:rFonts w:ascii="Arial" w:eastAsia="Times New Roman" w:hAnsi="Arial" w:cs="Arial"/>
                <w:color w:val="000000"/>
                <w:sz w:val="12"/>
                <w:szCs w:val="12"/>
                <w:bdr w:val="none" w:sz="0" w:space="0" w:color="auto"/>
              </w:rPr>
              <w:br/>
              <w:t>administrative Shkodër,</w:t>
            </w:r>
            <w:r w:rsidRPr="00F622DE">
              <w:rPr>
                <w:rFonts w:ascii="Arial" w:eastAsia="Times New Roman" w:hAnsi="Arial" w:cs="Arial"/>
                <w:color w:val="000000"/>
                <w:sz w:val="12"/>
                <w:szCs w:val="12"/>
                <w:bdr w:val="none" w:sz="0" w:space="0" w:color="auto"/>
              </w:rPr>
              <w:br/>
              <w:t>Ana e Malit, Bërdicë,</w:t>
            </w:r>
            <w:r w:rsidRPr="00F622DE">
              <w:rPr>
                <w:rFonts w:ascii="Arial" w:eastAsia="Times New Roman" w:hAnsi="Arial" w:cs="Arial"/>
                <w:color w:val="000000"/>
                <w:sz w:val="12"/>
                <w:szCs w:val="12"/>
                <w:bdr w:val="none" w:sz="0" w:space="0" w:color="auto"/>
              </w:rPr>
              <w:br/>
              <w:t>Dajç, Guri i Zi,</w:t>
            </w:r>
            <w:r w:rsidRPr="00F622DE">
              <w:rPr>
                <w:rFonts w:ascii="Arial" w:eastAsia="Times New Roman" w:hAnsi="Arial" w:cs="Arial"/>
                <w:color w:val="000000"/>
                <w:sz w:val="12"/>
                <w:szCs w:val="12"/>
                <w:bdr w:val="none" w:sz="0" w:space="0" w:color="auto"/>
              </w:rPr>
              <w:br/>
              <w:t>Rrethinat dhe Velipojë</w:t>
            </w:r>
            <w:r w:rsidRPr="00F622DE">
              <w:rPr>
                <w:rFonts w:ascii="Arial" w:eastAsia="Times New Roman" w:hAnsi="Arial" w:cs="Arial"/>
                <w:color w:val="000000"/>
                <w:sz w:val="12"/>
                <w:szCs w:val="12"/>
                <w:bdr w:val="none" w:sz="0" w:space="0" w:color="auto"/>
              </w:rPr>
              <w:br/>
              <w:t>të bashkisë Shkodër</w:t>
            </w:r>
            <w:r w:rsidRPr="00F622DE">
              <w:rPr>
                <w:rFonts w:ascii="Arial" w:eastAsia="Times New Roman" w:hAnsi="Arial" w:cs="Arial"/>
                <w:color w:val="000000"/>
                <w:sz w:val="12"/>
                <w:szCs w:val="12"/>
                <w:bdr w:val="none" w:sz="0" w:space="0" w:color="auto"/>
              </w:rPr>
              <w:br/>
              <w:t>dhe njësinë</w:t>
            </w:r>
            <w:r w:rsidRPr="00F622DE">
              <w:rPr>
                <w:rFonts w:ascii="Arial" w:eastAsia="Times New Roman" w:hAnsi="Arial" w:cs="Arial"/>
                <w:color w:val="000000"/>
                <w:sz w:val="12"/>
                <w:szCs w:val="12"/>
                <w:bdr w:val="none" w:sz="0" w:space="0" w:color="auto"/>
              </w:rPr>
              <w:br/>
              <w:t>administrative Bushat</w:t>
            </w:r>
            <w:r w:rsidRPr="00F622DE">
              <w:rPr>
                <w:rFonts w:ascii="Arial" w:eastAsia="Times New Roman" w:hAnsi="Arial" w:cs="Arial"/>
                <w:color w:val="000000"/>
                <w:sz w:val="12"/>
                <w:szCs w:val="12"/>
                <w:bdr w:val="none" w:sz="0" w:space="0" w:color="auto"/>
              </w:rPr>
              <w:br/>
              <w:t>të bashkisë Vau i Dejës</w:t>
            </w:r>
            <w:r w:rsidRPr="00F622DE">
              <w:rPr>
                <w:rFonts w:ascii="Arial" w:eastAsia="Times New Roman" w:hAnsi="Arial" w:cs="Arial"/>
                <w:color w:val="000000"/>
                <w:sz w:val="12"/>
                <w:szCs w:val="12"/>
                <w:bdr w:val="none" w:sz="0" w:space="0" w:color="auto"/>
              </w:rPr>
              <w:br/>
              <w:t>si dhe do të arrijnë</w:t>
            </w:r>
            <w:r w:rsidRPr="00F622DE">
              <w:rPr>
                <w:rFonts w:ascii="Arial" w:eastAsia="Times New Roman" w:hAnsi="Arial" w:cs="Arial"/>
                <w:color w:val="000000"/>
                <w:sz w:val="12"/>
                <w:szCs w:val="12"/>
                <w:bdr w:val="none" w:sz="0" w:space="0" w:color="auto"/>
              </w:rPr>
              <w:br/>
              <w:t>objektivat me qëllim</w:t>
            </w:r>
            <w:r w:rsidRPr="00F622DE">
              <w:rPr>
                <w:rFonts w:ascii="Arial" w:eastAsia="Times New Roman" w:hAnsi="Arial" w:cs="Arial"/>
                <w:color w:val="000000"/>
                <w:sz w:val="12"/>
                <w:szCs w:val="12"/>
                <w:bdr w:val="none" w:sz="0" w:space="0" w:color="auto"/>
              </w:rPr>
              <w:br/>
              <w:t>reduktimin e pasojave</w:t>
            </w:r>
            <w:r w:rsidRPr="00F622DE">
              <w:rPr>
                <w:rFonts w:ascii="Arial" w:eastAsia="Times New Roman" w:hAnsi="Arial" w:cs="Arial"/>
                <w:color w:val="000000"/>
                <w:sz w:val="12"/>
                <w:szCs w:val="12"/>
                <w:bdr w:val="none" w:sz="0" w:space="0" w:color="auto"/>
              </w:rPr>
              <w:br/>
              <w:t>të mundshme negative</w:t>
            </w:r>
            <w:r w:rsidRPr="00F622DE">
              <w:rPr>
                <w:rFonts w:ascii="Arial" w:eastAsia="Times New Roman" w:hAnsi="Arial" w:cs="Arial"/>
                <w:color w:val="000000"/>
                <w:sz w:val="12"/>
                <w:szCs w:val="12"/>
                <w:bdr w:val="none" w:sz="0" w:space="0" w:color="auto"/>
              </w:rPr>
              <w:br/>
              <w:t>nga përmbytjet për</w:t>
            </w:r>
            <w:r w:rsidRPr="00F622DE">
              <w:rPr>
                <w:rFonts w:ascii="Arial" w:eastAsia="Times New Roman" w:hAnsi="Arial" w:cs="Arial"/>
                <w:color w:val="000000"/>
                <w:sz w:val="12"/>
                <w:szCs w:val="12"/>
                <w:bdr w:val="none" w:sz="0" w:space="0" w:color="auto"/>
              </w:rPr>
              <w:br/>
              <w:t>shëndetin e njeriut,</w:t>
            </w:r>
            <w:r w:rsidRPr="00F622DE">
              <w:rPr>
                <w:rFonts w:ascii="Arial" w:eastAsia="Times New Roman" w:hAnsi="Arial" w:cs="Arial"/>
                <w:color w:val="000000"/>
                <w:sz w:val="12"/>
                <w:szCs w:val="12"/>
                <w:bdr w:val="none" w:sz="0" w:space="0" w:color="auto"/>
              </w:rPr>
              <w:br/>
              <w:t>mjedisin, trashëgiminë</w:t>
            </w:r>
            <w:r w:rsidRPr="00F622DE">
              <w:rPr>
                <w:rFonts w:ascii="Arial" w:eastAsia="Times New Roman" w:hAnsi="Arial" w:cs="Arial"/>
                <w:color w:val="000000"/>
                <w:sz w:val="12"/>
                <w:szCs w:val="12"/>
                <w:bdr w:val="none" w:sz="0" w:space="0" w:color="auto"/>
              </w:rPr>
              <w:br/>
              <w:t>kulturore dhe</w:t>
            </w:r>
            <w:r w:rsidRPr="00F622DE">
              <w:rPr>
                <w:rFonts w:ascii="Arial" w:eastAsia="Times New Roman" w:hAnsi="Arial" w:cs="Arial"/>
                <w:color w:val="000000"/>
                <w:sz w:val="12"/>
                <w:szCs w:val="12"/>
                <w:bdr w:val="none" w:sz="0" w:space="0" w:color="auto"/>
              </w:rPr>
              <w:br/>
              <w:t>aktivitetin ekonomik.</w:t>
            </w:r>
          </w:p>
        </w:tc>
        <w:tc>
          <w:tcPr>
            <w:tcW w:w="701" w:type="dxa"/>
            <w:tcBorders>
              <w:top w:val="nil"/>
              <w:left w:val="nil"/>
              <w:bottom w:val="single" w:sz="4" w:space="0" w:color="auto"/>
              <w:right w:val="single" w:sz="4" w:space="0" w:color="auto"/>
            </w:tcBorders>
            <w:shd w:val="clear" w:color="auto" w:fill="auto"/>
            <w:vAlign w:val="center"/>
            <w:hideMark/>
          </w:tcPr>
          <w:p w14:paraId="5AFE17F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Kapitulli 27</w:t>
            </w:r>
          </w:p>
        </w:tc>
        <w:tc>
          <w:tcPr>
            <w:tcW w:w="971" w:type="dxa"/>
            <w:tcBorders>
              <w:top w:val="nil"/>
              <w:left w:val="nil"/>
              <w:bottom w:val="single" w:sz="4" w:space="0" w:color="auto"/>
              <w:right w:val="single" w:sz="4" w:space="0" w:color="auto"/>
            </w:tcBorders>
            <w:shd w:val="clear" w:color="auto" w:fill="auto"/>
            <w:vAlign w:val="center"/>
            <w:hideMark/>
          </w:tcPr>
          <w:p w14:paraId="60EA136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Integrimi Evropian, Mjedisi</w:t>
            </w:r>
          </w:p>
        </w:tc>
        <w:tc>
          <w:tcPr>
            <w:tcW w:w="674" w:type="dxa"/>
            <w:tcBorders>
              <w:top w:val="nil"/>
              <w:left w:val="nil"/>
              <w:bottom w:val="single" w:sz="4" w:space="0" w:color="auto"/>
              <w:right w:val="single" w:sz="4" w:space="0" w:color="auto"/>
            </w:tcBorders>
            <w:shd w:val="clear" w:color="auto" w:fill="auto"/>
            <w:vAlign w:val="center"/>
            <w:hideMark/>
          </w:tcPr>
          <w:p w14:paraId="0EF74AD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SKZHI 2022-</w:t>
            </w:r>
            <w:r w:rsidRPr="00F622DE">
              <w:rPr>
                <w:rFonts w:ascii="Arial" w:eastAsia="Times New Roman" w:hAnsi="Arial" w:cs="Arial"/>
                <w:color w:val="000000"/>
                <w:sz w:val="12"/>
                <w:szCs w:val="12"/>
                <w:bdr w:val="none" w:sz="0" w:space="0" w:color="auto"/>
              </w:rPr>
              <w:br/>
              <w:t>2030, si dhe</w:t>
            </w:r>
            <w:r w:rsidRPr="00F622DE">
              <w:rPr>
                <w:rFonts w:ascii="Arial" w:eastAsia="Times New Roman" w:hAnsi="Arial" w:cs="Arial"/>
                <w:color w:val="000000"/>
                <w:sz w:val="12"/>
                <w:szCs w:val="12"/>
                <w:bdr w:val="none" w:sz="0" w:space="0" w:color="auto"/>
              </w:rPr>
              <w:br/>
              <w:t>Strategjia</w:t>
            </w:r>
            <w:r w:rsidRPr="00F622DE">
              <w:rPr>
                <w:rFonts w:ascii="Arial" w:eastAsia="Times New Roman" w:hAnsi="Arial" w:cs="Arial"/>
                <w:color w:val="000000"/>
                <w:sz w:val="12"/>
                <w:szCs w:val="12"/>
                <w:bdr w:val="none" w:sz="0" w:space="0" w:color="auto"/>
              </w:rPr>
              <w:br/>
              <w:t>Kombëtare e</w:t>
            </w:r>
            <w:r w:rsidRPr="00F622DE">
              <w:rPr>
                <w:rFonts w:ascii="Arial" w:eastAsia="Times New Roman" w:hAnsi="Arial" w:cs="Arial"/>
                <w:color w:val="000000"/>
                <w:sz w:val="12"/>
                <w:szCs w:val="12"/>
                <w:bdr w:val="none" w:sz="0" w:space="0" w:color="auto"/>
              </w:rPr>
              <w:br/>
              <w:t>Menaxhimit të</w:t>
            </w:r>
            <w:r w:rsidRPr="00F622DE">
              <w:rPr>
                <w:rFonts w:ascii="Arial" w:eastAsia="Times New Roman" w:hAnsi="Arial" w:cs="Arial"/>
                <w:color w:val="000000"/>
                <w:sz w:val="12"/>
                <w:szCs w:val="12"/>
                <w:bdr w:val="none" w:sz="0" w:space="0" w:color="auto"/>
              </w:rPr>
              <w:br/>
              <w:t>Integruar të</w:t>
            </w:r>
            <w:r w:rsidRPr="00F622DE">
              <w:rPr>
                <w:rFonts w:ascii="Arial" w:eastAsia="Times New Roman" w:hAnsi="Arial" w:cs="Arial"/>
                <w:color w:val="000000"/>
                <w:sz w:val="12"/>
                <w:szCs w:val="12"/>
                <w:bdr w:val="none" w:sz="0" w:space="0" w:color="auto"/>
              </w:rPr>
              <w:br/>
              <w:t>Burimeve</w:t>
            </w:r>
            <w:r w:rsidRPr="00F622DE">
              <w:rPr>
                <w:rFonts w:ascii="Arial" w:eastAsia="Times New Roman" w:hAnsi="Arial" w:cs="Arial"/>
                <w:color w:val="000000"/>
                <w:sz w:val="12"/>
                <w:szCs w:val="12"/>
                <w:bdr w:val="none" w:sz="0" w:space="0" w:color="auto"/>
              </w:rPr>
              <w:br/>
              <w:t>Ujore 2018-</w:t>
            </w:r>
            <w:r w:rsidRPr="00F622DE">
              <w:rPr>
                <w:rFonts w:ascii="Arial" w:eastAsia="Times New Roman" w:hAnsi="Arial" w:cs="Arial"/>
                <w:color w:val="000000"/>
                <w:sz w:val="12"/>
                <w:szCs w:val="12"/>
                <w:bdr w:val="none" w:sz="0" w:space="0" w:color="auto"/>
              </w:rPr>
              <w:br/>
              <w:t>2030</w:t>
            </w:r>
          </w:p>
        </w:tc>
        <w:tc>
          <w:tcPr>
            <w:tcW w:w="790" w:type="dxa"/>
            <w:tcBorders>
              <w:top w:val="nil"/>
              <w:left w:val="nil"/>
              <w:bottom w:val="single" w:sz="4" w:space="0" w:color="auto"/>
              <w:right w:val="single" w:sz="4" w:space="0" w:color="auto"/>
            </w:tcBorders>
            <w:shd w:val="clear" w:color="auto" w:fill="auto"/>
            <w:vAlign w:val="center"/>
            <w:hideMark/>
          </w:tcPr>
          <w:p w14:paraId="3FFF97B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1432E0F7"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2FEDF4D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33</w:t>
            </w:r>
          </w:p>
        </w:tc>
        <w:tc>
          <w:tcPr>
            <w:tcW w:w="722" w:type="dxa"/>
            <w:tcBorders>
              <w:top w:val="nil"/>
              <w:left w:val="nil"/>
              <w:bottom w:val="single" w:sz="4" w:space="0" w:color="auto"/>
              <w:right w:val="single" w:sz="4" w:space="0" w:color="auto"/>
            </w:tcBorders>
            <w:shd w:val="clear" w:color="auto" w:fill="auto"/>
            <w:vAlign w:val="center"/>
            <w:hideMark/>
          </w:tcPr>
          <w:p w14:paraId="56D7EA9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 disa shtesa dhe ndryshime në  VKM 550, datë 15.07.2020  “Për Miratimin e formularëve të kërkesës për miratimin në parim për dhënien me koncesion të përdorimit të burimit ujor, përdorim burimi ujor, veprimtari ndërtimore në brigje, veprimtari në shtratin e burimit ujor, shkarkime të lëngshme, përdorimin dhe ripërdorimin e ujërave të përdorur, të ndotur, dokumenteve shoqëruese, procedurës së shqyrtimit e vendimmarrjes, formateve të lejes, autorizimit, kushteve të posaçme dhe afateve të vlefshmërisë së tyre”  </w:t>
            </w:r>
          </w:p>
        </w:tc>
        <w:tc>
          <w:tcPr>
            <w:tcW w:w="670" w:type="dxa"/>
            <w:tcBorders>
              <w:top w:val="nil"/>
              <w:left w:val="nil"/>
              <w:bottom w:val="single" w:sz="4" w:space="0" w:color="auto"/>
              <w:right w:val="single" w:sz="4" w:space="0" w:color="auto"/>
            </w:tcBorders>
            <w:shd w:val="clear" w:color="auto" w:fill="auto"/>
            <w:vAlign w:val="center"/>
            <w:hideMark/>
          </w:tcPr>
          <w:p w14:paraId="344EE1E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513CD58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(AMBU)</w:t>
            </w:r>
          </w:p>
        </w:tc>
        <w:tc>
          <w:tcPr>
            <w:tcW w:w="678" w:type="dxa"/>
            <w:tcBorders>
              <w:top w:val="nil"/>
              <w:left w:val="nil"/>
              <w:bottom w:val="single" w:sz="4" w:space="0" w:color="auto"/>
              <w:right w:val="single" w:sz="4" w:space="0" w:color="auto"/>
            </w:tcBorders>
            <w:shd w:val="clear" w:color="auto" w:fill="auto"/>
            <w:vAlign w:val="center"/>
            <w:hideMark/>
          </w:tcPr>
          <w:p w14:paraId="25D84C8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75FC782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Projektvendimi ka si qëllim miratimin e disa ndryshimeve në procedurën e shqyrtimit të kërkesave për pajisje me leje/autorizime për përdorimin e burimit ujor, konkretisht në shkurtimin e hapave dhe afateve me qëllim unifikimin e procedurave në sistemin e-leje (one stop shop) në kuadër të procesit të riinxhinierimit dhe derregulllimit.</w:t>
            </w:r>
          </w:p>
        </w:tc>
        <w:tc>
          <w:tcPr>
            <w:tcW w:w="1233" w:type="dxa"/>
            <w:tcBorders>
              <w:top w:val="nil"/>
              <w:left w:val="nil"/>
              <w:bottom w:val="single" w:sz="4" w:space="0" w:color="auto"/>
              <w:right w:val="single" w:sz="4" w:space="0" w:color="auto"/>
            </w:tcBorders>
            <w:shd w:val="clear" w:color="auto" w:fill="auto"/>
            <w:vAlign w:val="center"/>
            <w:hideMark/>
          </w:tcPr>
          <w:p w14:paraId="719AA1A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Ndryshimi i disa pikave të VKM-së aktuale 550/2020, konkretisht në afatet dhe hapat e shqyrtimit të kërkesave për pajisje me leje/autorizim përdorimi burimi ujor, shkurtimin e listës së dokumenteve të kërkuara në kuadër të procesit të riinxhinieirimit dhe derregullimit</w:t>
            </w:r>
          </w:p>
        </w:tc>
        <w:tc>
          <w:tcPr>
            <w:tcW w:w="701" w:type="dxa"/>
            <w:tcBorders>
              <w:top w:val="nil"/>
              <w:left w:val="nil"/>
              <w:bottom w:val="single" w:sz="4" w:space="0" w:color="auto"/>
              <w:right w:val="single" w:sz="4" w:space="0" w:color="auto"/>
            </w:tcBorders>
            <w:shd w:val="clear" w:color="auto" w:fill="auto"/>
            <w:vAlign w:val="center"/>
            <w:hideMark/>
          </w:tcPr>
          <w:p w14:paraId="5439292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2FECF67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Shoqëria digjitale, Nr. angazhimi 77</w:t>
            </w:r>
          </w:p>
        </w:tc>
        <w:tc>
          <w:tcPr>
            <w:tcW w:w="674" w:type="dxa"/>
            <w:tcBorders>
              <w:top w:val="nil"/>
              <w:left w:val="nil"/>
              <w:bottom w:val="single" w:sz="4" w:space="0" w:color="auto"/>
              <w:right w:val="single" w:sz="4" w:space="0" w:color="auto"/>
            </w:tcBorders>
            <w:shd w:val="clear" w:color="auto" w:fill="auto"/>
            <w:vAlign w:val="center"/>
            <w:hideMark/>
          </w:tcPr>
          <w:p w14:paraId="30B814A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20FC902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6F285FDA"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EED316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34</w:t>
            </w:r>
          </w:p>
        </w:tc>
        <w:tc>
          <w:tcPr>
            <w:tcW w:w="722" w:type="dxa"/>
            <w:tcBorders>
              <w:top w:val="nil"/>
              <w:left w:val="nil"/>
              <w:bottom w:val="single" w:sz="4" w:space="0" w:color="auto"/>
              <w:right w:val="single" w:sz="4" w:space="0" w:color="auto"/>
            </w:tcBorders>
            <w:shd w:val="clear" w:color="auto" w:fill="auto"/>
            <w:vAlign w:val="center"/>
            <w:hideMark/>
          </w:tcPr>
          <w:p w14:paraId="6C8E30A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Per miratimin e disa shtesave dhe ndryshimeve ne VKM 285/2021 "Per miratimin e rregullave per prokurimin publik", te ndryshuar</w:t>
            </w:r>
          </w:p>
        </w:tc>
        <w:tc>
          <w:tcPr>
            <w:tcW w:w="670" w:type="dxa"/>
            <w:tcBorders>
              <w:top w:val="nil"/>
              <w:left w:val="nil"/>
              <w:bottom w:val="single" w:sz="4" w:space="0" w:color="auto"/>
              <w:right w:val="single" w:sz="4" w:space="0" w:color="auto"/>
            </w:tcBorders>
            <w:shd w:val="clear" w:color="auto" w:fill="auto"/>
            <w:vAlign w:val="center"/>
            <w:hideMark/>
          </w:tcPr>
          <w:p w14:paraId="25EDAC3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29F4BEA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(APP)</w:t>
            </w:r>
          </w:p>
        </w:tc>
        <w:tc>
          <w:tcPr>
            <w:tcW w:w="678" w:type="dxa"/>
            <w:tcBorders>
              <w:top w:val="nil"/>
              <w:left w:val="nil"/>
              <w:bottom w:val="single" w:sz="4" w:space="0" w:color="auto"/>
              <w:right w:val="single" w:sz="4" w:space="0" w:color="auto"/>
            </w:tcBorders>
            <w:shd w:val="clear" w:color="auto" w:fill="auto"/>
            <w:vAlign w:val="center"/>
            <w:hideMark/>
          </w:tcPr>
          <w:p w14:paraId="2D43E6F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2101403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 Ndryshimi i VKM 285/2021, vjen si rezultat i ndryshimeve qe mund te pesoje ligji  nr.162/2020, “Për prokurimin publik”, por edhe si rezultat I adresimit te problematikave te hasura ne praktike nga autoritetet kontraktore dhe jo vetem.</w:t>
            </w:r>
          </w:p>
        </w:tc>
        <w:tc>
          <w:tcPr>
            <w:tcW w:w="1233" w:type="dxa"/>
            <w:tcBorders>
              <w:top w:val="nil"/>
              <w:left w:val="nil"/>
              <w:bottom w:val="single" w:sz="4" w:space="0" w:color="auto"/>
              <w:right w:val="single" w:sz="4" w:space="0" w:color="auto"/>
            </w:tcBorders>
            <w:shd w:val="clear" w:color="auto" w:fill="auto"/>
            <w:vAlign w:val="center"/>
            <w:hideMark/>
          </w:tcPr>
          <w:p w14:paraId="480962A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Rishikimi i kufijve monetare,me qellim perafrimin e metejshem me Direktivat e BE. Zhvillimi dhe zgjerimi ne VKM i konceptit te veprimtarive ndihmese, Saktesimi i momentit te dorezimit te kthimit te mostrave ne procesin e prokurimit;  etj,  </w:t>
            </w:r>
          </w:p>
        </w:tc>
        <w:tc>
          <w:tcPr>
            <w:tcW w:w="701" w:type="dxa"/>
            <w:tcBorders>
              <w:top w:val="nil"/>
              <w:left w:val="nil"/>
              <w:bottom w:val="single" w:sz="4" w:space="0" w:color="auto"/>
              <w:right w:val="single" w:sz="4" w:space="0" w:color="auto"/>
            </w:tcBorders>
            <w:shd w:val="clear" w:color="auto" w:fill="auto"/>
            <w:vAlign w:val="center"/>
            <w:hideMark/>
          </w:tcPr>
          <w:p w14:paraId="2B1BB23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c>
          <w:tcPr>
            <w:tcW w:w="971" w:type="dxa"/>
            <w:tcBorders>
              <w:top w:val="nil"/>
              <w:left w:val="nil"/>
              <w:bottom w:val="single" w:sz="4" w:space="0" w:color="auto"/>
              <w:right w:val="single" w:sz="4" w:space="0" w:color="auto"/>
            </w:tcBorders>
            <w:shd w:val="clear" w:color="auto" w:fill="auto"/>
            <w:vAlign w:val="center"/>
            <w:hideMark/>
          </w:tcPr>
          <w:p w14:paraId="609084E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 jo</w:t>
            </w:r>
          </w:p>
        </w:tc>
        <w:tc>
          <w:tcPr>
            <w:tcW w:w="674" w:type="dxa"/>
            <w:tcBorders>
              <w:top w:val="nil"/>
              <w:left w:val="nil"/>
              <w:bottom w:val="single" w:sz="4" w:space="0" w:color="auto"/>
              <w:right w:val="single" w:sz="4" w:space="0" w:color="auto"/>
            </w:tcBorders>
            <w:shd w:val="clear" w:color="auto" w:fill="auto"/>
            <w:vAlign w:val="center"/>
            <w:hideMark/>
          </w:tcPr>
          <w:p w14:paraId="2347701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 Strategjia Kombetare per Prokurimin Publik miratuar me VKM 850/2020</w:t>
            </w:r>
          </w:p>
        </w:tc>
        <w:tc>
          <w:tcPr>
            <w:tcW w:w="790" w:type="dxa"/>
            <w:tcBorders>
              <w:top w:val="nil"/>
              <w:left w:val="nil"/>
              <w:bottom w:val="single" w:sz="4" w:space="0" w:color="auto"/>
              <w:right w:val="single" w:sz="4" w:space="0" w:color="auto"/>
            </w:tcBorders>
            <w:shd w:val="clear" w:color="auto" w:fill="auto"/>
            <w:vAlign w:val="center"/>
            <w:hideMark/>
          </w:tcPr>
          <w:p w14:paraId="06A47BA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n/a</w:t>
            </w:r>
          </w:p>
        </w:tc>
      </w:tr>
      <w:tr w:rsidR="00F622DE" w:rsidRPr="00F622DE" w14:paraId="2CFEF820"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AF2122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35</w:t>
            </w:r>
          </w:p>
        </w:tc>
        <w:tc>
          <w:tcPr>
            <w:tcW w:w="722" w:type="dxa"/>
            <w:tcBorders>
              <w:top w:val="nil"/>
              <w:left w:val="nil"/>
              <w:bottom w:val="single" w:sz="4" w:space="0" w:color="auto"/>
              <w:right w:val="single" w:sz="4" w:space="0" w:color="auto"/>
            </w:tcBorders>
            <w:shd w:val="clear" w:color="auto" w:fill="auto"/>
            <w:vAlign w:val="center"/>
            <w:hideMark/>
          </w:tcPr>
          <w:p w14:paraId="33AF21A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 përcaktimin e kufijve monetarë  në procedurat e prokurimit publik </w:t>
            </w:r>
          </w:p>
        </w:tc>
        <w:tc>
          <w:tcPr>
            <w:tcW w:w="670" w:type="dxa"/>
            <w:tcBorders>
              <w:top w:val="nil"/>
              <w:left w:val="nil"/>
              <w:bottom w:val="single" w:sz="4" w:space="0" w:color="auto"/>
              <w:right w:val="single" w:sz="4" w:space="0" w:color="auto"/>
            </w:tcBorders>
            <w:shd w:val="clear" w:color="auto" w:fill="auto"/>
            <w:vAlign w:val="center"/>
            <w:hideMark/>
          </w:tcPr>
          <w:p w14:paraId="60AA17F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78676AC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(APP)</w:t>
            </w:r>
          </w:p>
        </w:tc>
        <w:tc>
          <w:tcPr>
            <w:tcW w:w="678" w:type="dxa"/>
            <w:tcBorders>
              <w:top w:val="nil"/>
              <w:left w:val="nil"/>
              <w:bottom w:val="single" w:sz="4" w:space="0" w:color="auto"/>
              <w:right w:val="single" w:sz="4" w:space="0" w:color="auto"/>
            </w:tcBorders>
            <w:shd w:val="clear" w:color="auto" w:fill="auto"/>
            <w:vAlign w:val="center"/>
            <w:hideMark/>
          </w:tcPr>
          <w:p w14:paraId="32791A2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F622DE">
              <w:rPr>
                <w:rFonts w:ascii="Arial" w:eastAsia="Times New Roman" w:hAnsi="Arial" w:cs="Arial"/>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6AED48B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Hartimi i ketij projektvendimi vjen si rezultat i ndryshimeve te ligjit nr.162/2020, “Për prokurimin publik". </w:t>
            </w:r>
          </w:p>
        </w:tc>
        <w:tc>
          <w:tcPr>
            <w:tcW w:w="1233" w:type="dxa"/>
            <w:tcBorders>
              <w:top w:val="nil"/>
              <w:left w:val="nil"/>
              <w:bottom w:val="single" w:sz="4" w:space="0" w:color="auto"/>
              <w:right w:val="single" w:sz="4" w:space="0" w:color="auto"/>
            </w:tcBorders>
            <w:shd w:val="clear" w:color="auto" w:fill="auto"/>
            <w:vAlign w:val="center"/>
            <w:hideMark/>
          </w:tcPr>
          <w:p w14:paraId="2C0BB30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Rishikimi i kufijve monetare,me qellim perafrimin e metejshem me Direktivat e BE.</w:t>
            </w:r>
          </w:p>
        </w:tc>
        <w:tc>
          <w:tcPr>
            <w:tcW w:w="701" w:type="dxa"/>
            <w:tcBorders>
              <w:top w:val="nil"/>
              <w:left w:val="nil"/>
              <w:bottom w:val="single" w:sz="4" w:space="0" w:color="auto"/>
              <w:right w:val="single" w:sz="4" w:space="0" w:color="auto"/>
            </w:tcBorders>
            <w:shd w:val="clear" w:color="auto" w:fill="auto"/>
            <w:vAlign w:val="center"/>
            <w:hideMark/>
          </w:tcPr>
          <w:p w14:paraId="57DFFAD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c>
          <w:tcPr>
            <w:tcW w:w="971" w:type="dxa"/>
            <w:tcBorders>
              <w:top w:val="nil"/>
              <w:left w:val="nil"/>
              <w:bottom w:val="single" w:sz="4" w:space="0" w:color="auto"/>
              <w:right w:val="single" w:sz="4" w:space="0" w:color="auto"/>
            </w:tcBorders>
            <w:shd w:val="clear" w:color="auto" w:fill="auto"/>
            <w:vAlign w:val="center"/>
            <w:hideMark/>
          </w:tcPr>
          <w:p w14:paraId="46A802F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 jo</w:t>
            </w:r>
          </w:p>
        </w:tc>
        <w:tc>
          <w:tcPr>
            <w:tcW w:w="674" w:type="dxa"/>
            <w:tcBorders>
              <w:top w:val="nil"/>
              <w:left w:val="nil"/>
              <w:bottom w:val="single" w:sz="4" w:space="0" w:color="auto"/>
              <w:right w:val="single" w:sz="4" w:space="0" w:color="auto"/>
            </w:tcBorders>
            <w:shd w:val="clear" w:color="auto" w:fill="auto"/>
            <w:vAlign w:val="center"/>
            <w:hideMark/>
          </w:tcPr>
          <w:p w14:paraId="3687BD2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 Strategjia Kombetare per Prokurimin Publik miratuar me VKM 850/2021</w:t>
            </w:r>
          </w:p>
        </w:tc>
        <w:tc>
          <w:tcPr>
            <w:tcW w:w="790" w:type="dxa"/>
            <w:tcBorders>
              <w:top w:val="nil"/>
              <w:left w:val="nil"/>
              <w:bottom w:val="single" w:sz="4" w:space="0" w:color="auto"/>
              <w:right w:val="single" w:sz="4" w:space="0" w:color="auto"/>
            </w:tcBorders>
            <w:shd w:val="clear" w:color="auto" w:fill="auto"/>
            <w:vAlign w:val="center"/>
            <w:hideMark/>
          </w:tcPr>
          <w:p w14:paraId="106FD30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n/a</w:t>
            </w:r>
          </w:p>
        </w:tc>
      </w:tr>
      <w:tr w:rsidR="00F622DE" w:rsidRPr="00F622DE" w14:paraId="1C04AEE4"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4C81BBE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36</w:t>
            </w:r>
          </w:p>
        </w:tc>
        <w:tc>
          <w:tcPr>
            <w:tcW w:w="722" w:type="dxa"/>
            <w:tcBorders>
              <w:top w:val="nil"/>
              <w:left w:val="nil"/>
              <w:bottom w:val="single" w:sz="4" w:space="0" w:color="auto"/>
              <w:right w:val="single" w:sz="4" w:space="0" w:color="auto"/>
            </w:tcBorders>
            <w:shd w:val="clear" w:color="auto" w:fill="auto"/>
            <w:vAlign w:val="center"/>
            <w:hideMark/>
          </w:tcPr>
          <w:p w14:paraId="2811F29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Per miratimin e hartës së vlerës së tokës në RSH</w:t>
            </w:r>
          </w:p>
        </w:tc>
        <w:tc>
          <w:tcPr>
            <w:tcW w:w="670" w:type="dxa"/>
            <w:tcBorders>
              <w:top w:val="nil"/>
              <w:left w:val="nil"/>
              <w:bottom w:val="single" w:sz="4" w:space="0" w:color="auto"/>
              <w:right w:val="single" w:sz="4" w:space="0" w:color="auto"/>
            </w:tcBorders>
            <w:shd w:val="clear" w:color="auto" w:fill="auto"/>
            <w:vAlign w:val="center"/>
            <w:hideMark/>
          </w:tcPr>
          <w:p w14:paraId="53957A9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288D52A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(ASHK)</w:t>
            </w:r>
          </w:p>
        </w:tc>
        <w:tc>
          <w:tcPr>
            <w:tcW w:w="678" w:type="dxa"/>
            <w:tcBorders>
              <w:top w:val="nil"/>
              <w:left w:val="nil"/>
              <w:bottom w:val="single" w:sz="4" w:space="0" w:color="auto"/>
              <w:right w:val="single" w:sz="4" w:space="0" w:color="auto"/>
            </w:tcBorders>
            <w:shd w:val="clear" w:color="auto" w:fill="auto"/>
            <w:vAlign w:val="center"/>
            <w:hideMark/>
          </w:tcPr>
          <w:p w14:paraId="50A9331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061A432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Në funksion të përmirësimit të punës dhe ecurisë së  veprimtarisë së ASHK dhe detyrimeve që burojnë nga ligji nr.111/2018 " Për Kadastrën", neni 9, pika 2, germa k.</w:t>
            </w:r>
          </w:p>
        </w:tc>
        <w:tc>
          <w:tcPr>
            <w:tcW w:w="1233" w:type="dxa"/>
            <w:tcBorders>
              <w:top w:val="nil"/>
              <w:left w:val="nil"/>
              <w:bottom w:val="single" w:sz="4" w:space="0" w:color="auto"/>
              <w:right w:val="single" w:sz="4" w:space="0" w:color="auto"/>
            </w:tcBorders>
            <w:shd w:val="clear" w:color="auto" w:fill="auto"/>
            <w:vAlign w:val="center"/>
            <w:hideMark/>
          </w:tcPr>
          <w:p w14:paraId="388E75A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Përcaktojë hartën e vlerës së tokës në RSH (pasurive të paluajtshme truall, tokë bujqësore, pyll, livadh, kullote), në zbatim të nenit 9/2/k të ligjit nr.111/2018 "Për Kadastrën"</w:t>
            </w:r>
          </w:p>
        </w:tc>
        <w:tc>
          <w:tcPr>
            <w:tcW w:w="701" w:type="dxa"/>
            <w:tcBorders>
              <w:top w:val="nil"/>
              <w:left w:val="nil"/>
              <w:bottom w:val="single" w:sz="4" w:space="0" w:color="auto"/>
              <w:right w:val="single" w:sz="4" w:space="0" w:color="auto"/>
            </w:tcBorders>
            <w:shd w:val="clear" w:color="auto" w:fill="auto"/>
            <w:vAlign w:val="center"/>
            <w:hideMark/>
          </w:tcPr>
          <w:p w14:paraId="4C4341C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4B3F7A8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Përputhet  me programin politik të qeverisë dhe konkretisht me kreun  "Siguria e prones" (faqe 36-37)</w:t>
            </w:r>
          </w:p>
        </w:tc>
        <w:tc>
          <w:tcPr>
            <w:tcW w:w="674" w:type="dxa"/>
            <w:tcBorders>
              <w:top w:val="nil"/>
              <w:left w:val="nil"/>
              <w:bottom w:val="single" w:sz="4" w:space="0" w:color="auto"/>
              <w:right w:val="single" w:sz="4" w:space="0" w:color="auto"/>
            </w:tcBorders>
            <w:shd w:val="clear" w:color="auto" w:fill="auto"/>
            <w:vAlign w:val="center"/>
            <w:hideMark/>
          </w:tcPr>
          <w:p w14:paraId="5D4BB9C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këtij projektakti është në funksion të zbatimit të  Strategjise ndersektoriale " Reforma në fushën e të drejtave të pronësisë në vitin 2012-2020(kapitulli II)</w:t>
            </w:r>
          </w:p>
        </w:tc>
        <w:tc>
          <w:tcPr>
            <w:tcW w:w="790" w:type="dxa"/>
            <w:tcBorders>
              <w:top w:val="nil"/>
              <w:left w:val="nil"/>
              <w:bottom w:val="single" w:sz="4" w:space="0" w:color="auto"/>
              <w:right w:val="single" w:sz="4" w:space="0" w:color="auto"/>
            </w:tcBorders>
            <w:shd w:val="clear" w:color="auto" w:fill="auto"/>
            <w:vAlign w:val="center"/>
            <w:hideMark/>
          </w:tcPr>
          <w:p w14:paraId="3D23A88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ndikim financiar dhe social</w:t>
            </w:r>
          </w:p>
        </w:tc>
      </w:tr>
      <w:tr w:rsidR="00F622DE" w:rsidRPr="00F622DE" w14:paraId="7599865D"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AB6199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37</w:t>
            </w:r>
          </w:p>
        </w:tc>
        <w:tc>
          <w:tcPr>
            <w:tcW w:w="722" w:type="dxa"/>
            <w:tcBorders>
              <w:top w:val="nil"/>
              <w:left w:val="nil"/>
              <w:bottom w:val="single" w:sz="4" w:space="0" w:color="auto"/>
              <w:right w:val="single" w:sz="4" w:space="0" w:color="auto"/>
            </w:tcBorders>
            <w:shd w:val="clear" w:color="auto" w:fill="auto"/>
            <w:vAlign w:val="center"/>
            <w:hideMark/>
          </w:tcPr>
          <w:p w14:paraId="3701DCD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hapjen e procedurës së pranimit në kategorinë e ulët dhe të mesme drejtuese edhe për kandidatë të tjerë jashtë shërbimit civil, për vitin 2024</w:t>
            </w:r>
          </w:p>
        </w:tc>
        <w:tc>
          <w:tcPr>
            <w:tcW w:w="670" w:type="dxa"/>
            <w:tcBorders>
              <w:top w:val="nil"/>
              <w:left w:val="nil"/>
              <w:bottom w:val="single" w:sz="4" w:space="0" w:color="auto"/>
              <w:right w:val="single" w:sz="4" w:space="0" w:color="auto"/>
            </w:tcBorders>
            <w:shd w:val="clear" w:color="auto" w:fill="auto"/>
            <w:vAlign w:val="center"/>
            <w:hideMark/>
          </w:tcPr>
          <w:p w14:paraId="5D81726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4A0FAF6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(DAP)</w:t>
            </w:r>
          </w:p>
        </w:tc>
        <w:tc>
          <w:tcPr>
            <w:tcW w:w="678" w:type="dxa"/>
            <w:tcBorders>
              <w:top w:val="nil"/>
              <w:left w:val="nil"/>
              <w:bottom w:val="single" w:sz="4" w:space="0" w:color="auto"/>
              <w:right w:val="single" w:sz="4" w:space="0" w:color="auto"/>
            </w:tcBorders>
            <w:shd w:val="clear" w:color="auto" w:fill="auto"/>
            <w:noWrap/>
            <w:vAlign w:val="center"/>
            <w:hideMark/>
          </w:tcPr>
          <w:p w14:paraId="56C8697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6182E7C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Miratimi nga Këshilli i Ministrave i mundësisë që procedura e plotësimit të pozicioneve të lira të kategorisë së ulët dhe të mesme drejtuese, për të cilët lëvizja paralele është mbyllur pa fitues, të jetë e hapur edhe për kandidatë të tjerë nga jashtë shërbimit civil, që plotësojnë kushtet dhe kërkesat për vendet e lira </w:t>
            </w:r>
          </w:p>
        </w:tc>
        <w:tc>
          <w:tcPr>
            <w:tcW w:w="1233" w:type="dxa"/>
            <w:tcBorders>
              <w:top w:val="nil"/>
              <w:left w:val="nil"/>
              <w:bottom w:val="single" w:sz="4" w:space="0" w:color="auto"/>
              <w:right w:val="single" w:sz="4" w:space="0" w:color="auto"/>
            </w:tcBorders>
            <w:shd w:val="clear" w:color="auto" w:fill="auto"/>
            <w:vAlign w:val="center"/>
            <w:hideMark/>
          </w:tcPr>
          <w:p w14:paraId="7602863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 Përcaktimi për secilën kategori (të ulët apo të mesme drejtuese) i numrit të pozicioneve për të cilët do të përdoret procedura sipas këtij vendimi;                                                                           2. Përcaktimi në mënyrë nominative i pozicioneve në të cilat mund konkurojnë edhe kandidatë nga jashtë shërbimit civil.</w:t>
            </w:r>
          </w:p>
        </w:tc>
        <w:tc>
          <w:tcPr>
            <w:tcW w:w="701" w:type="dxa"/>
            <w:tcBorders>
              <w:top w:val="nil"/>
              <w:left w:val="nil"/>
              <w:bottom w:val="single" w:sz="4" w:space="0" w:color="auto"/>
              <w:right w:val="single" w:sz="4" w:space="0" w:color="auto"/>
            </w:tcBorders>
            <w:shd w:val="clear" w:color="auto" w:fill="auto"/>
            <w:vAlign w:val="center"/>
            <w:hideMark/>
          </w:tcPr>
          <w:p w14:paraId="59E3224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79A5D54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69F3F17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4E823E3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r w:rsidR="00F622DE" w:rsidRPr="00F622DE" w14:paraId="0602663C"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1DC49B7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38</w:t>
            </w:r>
          </w:p>
        </w:tc>
        <w:tc>
          <w:tcPr>
            <w:tcW w:w="722" w:type="dxa"/>
            <w:tcBorders>
              <w:top w:val="nil"/>
              <w:left w:val="nil"/>
              <w:bottom w:val="single" w:sz="4" w:space="0" w:color="auto"/>
              <w:right w:val="single" w:sz="4" w:space="0" w:color="auto"/>
            </w:tcBorders>
            <w:shd w:val="clear" w:color="auto" w:fill="auto"/>
            <w:vAlign w:val="center"/>
            <w:hideMark/>
          </w:tcPr>
          <w:p w14:paraId="1A8C090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 disa shtesa dhe ndryshimen në vendimin nr.34, datë 7.1.1999, të Këshillit të Ministrave, "Për Drejtorinë e Shërbimeve Qeveritare dhe Trajtimin e Personaliteteve të Larta", të ndryshuar. </w:t>
            </w:r>
          </w:p>
        </w:tc>
        <w:tc>
          <w:tcPr>
            <w:tcW w:w="670" w:type="dxa"/>
            <w:tcBorders>
              <w:top w:val="nil"/>
              <w:left w:val="nil"/>
              <w:bottom w:val="single" w:sz="4" w:space="0" w:color="auto"/>
              <w:right w:val="single" w:sz="4" w:space="0" w:color="auto"/>
            </w:tcBorders>
            <w:shd w:val="clear" w:color="auto" w:fill="auto"/>
            <w:vAlign w:val="center"/>
            <w:hideMark/>
          </w:tcPr>
          <w:p w14:paraId="0944311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181CBC8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(DSHQ)</w:t>
            </w:r>
          </w:p>
        </w:tc>
        <w:tc>
          <w:tcPr>
            <w:tcW w:w="678" w:type="dxa"/>
            <w:tcBorders>
              <w:top w:val="nil"/>
              <w:left w:val="nil"/>
              <w:bottom w:val="single" w:sz="4" w:space="0" w:color="auto"/>
              <w:right w:val="single" w:sz="4" w:space="0" w:color="auto"/>
            </w:tcBorders>
            <w:shd w:val="clear" w:color="auto" w:fill="auto"/>
            <w:vAlign w:val="center"/>
            <w:hideMark/>
          </w:tcPr>
          <w:p w14:paraId="2179CAE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Katermujori II</w:t>
            </w:r>
          </w:p>
        </w:tc>
        <w:tc>
          <w:tcPr>
            <w:tcW w:w="1180" w:type="dxa"/>
            <w:tcBorders>
              <w:top w:val="nil"/>
              <w:left w:val="nil"/>
              <w:bottom w:val="single" w:sz="4" w:space="0" w:color="auto"/>
              <w:right w:val="single" w:sz="4" w:space="0" w:color="auto"/>
            </w:tcBorders>
            <w:shd w:val="clear" w:color="auto" w:fill="auto"/>
            <w:vAlign w:val="center"/>
            <w:hideMark/>
          </w:tcPr>
          <w:p w14:paraId="5869F8C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Përmirësimi i ofrimit të shërbimeve nga DSHQ, përmes unifikimit të praktikës për institucionet që kërkojnë këto shërbime</w:t>
            </w:r>
          </w:p>
        </w:tc>
        <w:tc>
          <w:tcPr>
            <w:tcW w:w="1233" w:type="dxa"/>
            <w:tcBorders>
              <w:top w:val="nil"/>
              <w:left w:val="nil"/>
              <w:bottom w:val="single" w:sz="4" w:space="0" w:color="auto"/>
              <w:right w:val="single" w:sz="4" w:space="0" w:color="auto"/>
            </w:tcBorders>
            <w:shd w:val="clear" w:color="auto" w:fill="auto"/>
            <w:vAlign w:val="center"/>
            <w:hideMark/>
          </w:tcPr>
          <w:p w14:paraId="7479C39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Përcaktimi i shërbimeve që ofrohen nga DSHQ-ja, procedurës për institucionet që kërkojnë marrjen e këtyre shërbimeve, mënyrën e tarifimit dhe shlyerjes së detyrimeve.</w:t>
            </w:r>
          </w:p>
        </w:tc>
        <w:tc>
          <w:tcPr>
            <w:tcW w:w="701" w:type="dxa"/>
            <w:tcBorders>
              <w:top w:val="nil"/>
              <w:left w:val="nil"/>
              <w:bottom w:val="single" w:sz="4" w:space="0" w:color="auto"/>
              <w:right w:val="single" w:sz="4" w:space="0" w:color="auto"/>
            </w:tcBorders>
            <w:shd w:val="clear" w:color="auto" w:fill="auto"/>
            <w:vAlign w:val="center"/>
            <w:hideMark/>
          </w:tcPr>
          <w:p w14:paraId="7E51FEE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2AADC06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674" w:type="dxa"/>
            <w:tcBorders>
              <w:top w:val="nil"/>
              <w:left w:val="nil"/>
              <w:bottom w:val="single" w:sz="4" w:space="0" w:color="auto"/>
              <w:right w:val="single" w:sz="4" w:space="0" w:color="auto"/>
            </w:tcBorders>
            <w:shd w:val="clear" w:color="auto" w:fill="auto"/>
            <w:vAlign w:val="center"/>
            <w:hideMark/>
          </w:tcPr>
          <w:p w14:paraId="66BB4EC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3ACA82A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6DCFC8A5"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2518B60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39</w:t>
            </w:r>
          </w:p>
        </w:tc>
        <w:tc>
          <w:tcPr>
            <w:tcW w:w="722" w:type="dxa"/>
            <w:tcBorders>
              <w:top w:val="nil"/>
              <w:left w:val="nil"/>
              <w:bottom w:val="single" w:sz="4" w:space="0" w:color="auto"/>
              <w:right w:val="single" w:sz="4" w:space="0" w:color="auto"/>
            </w:tcBorders>
            <w:shd w:val="clear" w:color="auto" w:fill="auto"/>
            <w:vAlign w:val="center"/>
            <w:hideMark/>
          </w:tcPr>
          <w:p w14:paraId="400D220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miratimin e Strategjisë për Specializimin Inteligjent</w:t>
            </w:r>
          </w:p>
        </w:tc>
        <w:tc>
          <w:tcPr>
            <w:tcW w:w="670" w:type="dxa"/>
            <w:tcBorders>
              <w:top w:val="nil"/>
              <w:left w:val="nil"/>
              <w:bottom w:val="single" w:sz="4" w:space="0" w:color="auto"/>
              <w:right w:val="single" w:sz="4" w:space="0" w:color="auto"/>
            </w:tcBorders>
            <w:shd w:val="clear" w:color="auto" w:fill="auto"/>
            <w:vAlign w:val="center"/>
            <w:hideMark/>
          </w:tcPr>
          <w:p w14:paraId="52DE884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E1F1F0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Zëvendëskryeministri</w:t>
            </w:r>
          </w:p>
        </w:tc>
        <w:tc>
          <w:tcPr>
            <w:tcW w:w="678" w:type="dxa"/>
            <w:tcBorders>
              <w:top w:val="nil"/>
              <w:left w:val="nil"/>
              <w:bottom w:val="single" w:sz="4" w:space="0" w:color="auto"/>
              <w:right w:val="single" w:sz="4" w:space="0" w:color="auto"/>
            </w:tcBorders>
            <w:shd w:val="clear" w:color="auto" w:fill="auto"/>
            <w:vAlign w:val="center"/>
            <w:hideMark/>
          </w:tcPr>
          <w:p w14:paraId="4AF6267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w:t>
            </w:r>
          </w:p>
        </w:tc>
        <w:tc>
          <w:tcPr>
            <w:tcW w:w="1180" w:type="dxa"/>
            <w:tcBorders>
              <w:top w:val="nil"/>
              <w:left w:val="nil"/>
              <w:bottom w:val="single" w:sz="4" w:space="0" w:color="auto"/>
              <w:right w:val="single" w:sz="4" w:space="0" w:color="auto"/>
            </w:tcBorders>
            <w:shd w:val="clear" w:color="auto" w:fill="auto"/>
            <w:vAlign w:val="center"/>
            <w:hideMark/>
          </w:tcPr>
          <w:p w14:paraId="602E4B5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Urdher Kryeministri, nr. 13 dt 7.2.2023, pjese e detyrimeve ne kuader te 2 kapitujve, 20 dhe 25, pjese e CRM AP 2021-24, pjese e Agendes se inovacionit te BE per WB6 2021-2027</w:t>
            </w:r>
          </w:p>
        </w:tc>
        <w:tc>
          <w:tcPr>
            <w:tcW w:w="1233" w:type="dxa"/>
            <w:tcBorders>
              <w:top w:val="nil"/>
              <w:left w:val="nil"/>
              <w:bottom w:val="single" w:sz="4" w:space="0" w:color="auto"/>
              <w:right w:val="single" w:sz="4" w:space="0" w:color="auto"/>
            </w:tcBorders>
            <w:shd w:val="clear" w:color="auto" w:fill="auto"/>
            <w:vAlign w:val="center"/>
            <w:hideMark/>
          </w:tcPr>
          <w:p w14:paraId="6B0C431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Miratimi i Strategjise per Specializimin Inteligjent</w:t>
            </w:r>
          </w:p>
        </w:tc>
        <w:tc>
          <w:tcPr>
            <w:tcW w:w="701" w:type="dxa"/>
            <w:tcBorders>
              <w:top w:val="nil"/>
              <w:left w:val="nil"/>
              <w:bottom w:val="single" w:sz="4" w:space="0" w:color="auto"/>
              <w:right w:val="single" w:sz="4" w:space="0" w:color="auto"/>
            </w:tcBorders>
            <w:shd w:val="clear" w:color="auto" w:fill="auto"/>
            <w:vAlign w:val="center"/>
            <w:hideMark/>
          </w:tcPr>
          <w:p w14:paraId="5076629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Kapitulli 25, ne PKIE 2023-2025</w:t>
            </w:r>
            <w:r w:rsidRPr="00F622DE">
              <w:rPr>
                <w:rFonts w:ascii="Arial" w:eastAsia="Times New Roman" w:hAnsi="Arial" w:cs="Arial"/>
                <w:color w:val="000000"/>
                <w:sz w:val="12"/>
                <w:szCs w:val="12"/>
                <w:bdr w:val="none" w:sz="0" w:space="0" w:color="auto"/>
              </w:rPr>
              <w:br/>
              <w:t>Do te parashikohet ne kapitullin 20 dhe 25 ne PKIE 2024-2026</w:t>
            </w:r>
          </w:p>
        </w:tc>
        <w:tc>
          <w:tcPr>
            <w:tcW w:w="971" w:type="dxa"/>
            <w:tcBorders>
              <w:top w:val="nil"/>
              <w:left w:val="nil"/>
              <w:bottom w:val="single" w:sz="4" w:space="0" w:color="auto"/>
              <w:right w:val="single" w:sz="4" w:space="0" w:color="auto"/>
            </w:tcBorders>
            <w:shd w:val="clear" w:color="auto" w:fill="auto"/>
            <w:vAlign w:val="center"/>
            <w:hideMark/>
          </w:tcPr>
          <w:p w14:paraId="68B1B66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Ky akt eshte ne linje dhe dote ndihmoje ne realizimin e programit politik te Qeverise 2021-25 ne te gjitha shtyllat dhe konkretisht per nje sere angazhimesh si vijon:</w:t>
            </w:r>
            <w:r w:rsidRPr="00F622DE">
              <w:rPr>
                <w:rFonts w:ascii="Arial" w:eastAsia="Times New Roman" w:hAnsi="Arial" w:cs="Arial"/>
                <w:color w:val="000000"/>
                <w:sz w:val="12"/>
                <w:szCs w:val="12"/>
                <w:bdr w:val="none" w:sz="0" w:space="0" w:color="auto"/>
              </w:rPr>
              <w:br/>
              <w:t>Rritja e qendrueshme ekonomike dhe rritja e konkurrueshmerise se ndermarrjeve shqiptare duke ndihmuar ne rritjen e eksporteve, Mbeshtetje per rritjen e aksesit ne tregjet e huaja te ndermarrjeve  shqiptare.</w:t>
            </w:r>
            <w:r w:rsidRPr="00F622DE">
              <w:rPr>
                <w:rFonts w:ascii="Arial" w:eastAsia="Times New Roman" w:hAnsi="Arial" w:cs="Arial"/>
                <w:color w:val="000000"/>
                <w:sz w:val="12"/>
                <w:szCs w:val="12"/>
                <w:bdr w:val="none" w:sz="0" w:space="0" w:color="auto"/>
              </w:rPr>
              <w:br/>
              <w:t>Mbeshtetje per futjen e teknologjive dhe makinerive te avancuara ne ndermarrjet/ industrine vendase</w:t>
            </w:r>
            <w:r w:rsidRPr="00F622DE">
              <w:rPr>
                <w:rFonts w:ascii="Arial" w:eastAsia="Times New Roman" w:hAnsi="Arial" w:cs="Arial"/>
                <w:color w:val="000000"/>
                <w:sz w:val="12"/>
                <w:szCs w:val="12"/>
                <w:bdr w:val="none" w:sz="0" w:space="0" w:color="auto"/>
              </w:rPr>
              <w:br/>
              <w:t>Zhvillimi i zonave rurale/fshatrave per zhvillimin e turizmit/agriturizmit, bujtinave, fermave dhe ushqimit te shendetshem, per ruajtjen e tradites dhe kulinarise</w:t>
            </w:r>
            <w:r w:rsidRPr="00F622DE">
              <w:rPr>
                <w:rFonts w:ascii="Arial" w:eastAsia="Times New Roman" w:hAnsi="Arial" w:cs="Arial"/>
                <w:color w:val="000000"/>
                <w:sz w:val="12"/>
                <w:szCs w:val="12"/>
                <w:bdr w:val="none" w:sz="0" w:space="0" w:color="auto"/>
              </w:rPr>
              <w:br/>
              <w:t>Rritja e te ardhurave te disponnueshme</w:t>
            </w:r>
            <w:r w:rsidRPr="00F622DE">
              <w:rPr>
                <w:rFonts w:ascii="Arial" w:eastAsia="Times New Roman" w:hAnsi="Arial" w:cs="Arial"/>
                <w:color w:val="000000"/>
                <w:sz w:val="12"/>
                <w:szCs w:val="12"/>
                <w:bdr w:val="none" w:sz="0" w:space="0" w:color="auto"/>
              </w:rPr>
              <w:br/>
              <w:t>Mbeshtetjen sipermarrjet e reja dhe investimi i diaspores me fokus ne zonat rurale permes mekanizmave nxites per brain circulation/brain gain dhe nxitjen e investimeve</w:t>
            </w:r>
            <w:r w:rsidRPr="00F622DE">
              <w:rPr>
                <w:rFonts w:ascii="Arial" w:eastAsia="Times New Roman" w:hAnsi="Arial" w:cs="Arial"/>
                <w:color w:val="000000"/>
                <w:sz w:val="12"/>
                <w:szCs w:val="12"/>
                <w:bdr w:val="none" w:sz="0" w:space="0" w:color="auto"/>
              </w:rPr>
              <w:br/>
              <w:t>Nxitja e clusterave/shoqerive te bashkepunimit bujqesor</w:t>
            </w:r>
            <w:r w:rsidRPr="00F622DE">
              <w:rPr>
                <w:rFonts w:ascii="Arial" w:eastAsia="Times New Roman" w:hAnsi="Arial" w:cs="Arial"/>
                <w:color w:val="000000"/>
                <w:sz w:val="12"/>
                <w:szCs w:val="12"/>
                <w:bdr w:val="none" w:sz="0" w:space="0" w:color="auto"/>
              </w:rPr>
              <w:br/>
              <w:t>Promovim i produkteve made in Albania</w:t>
            </w:r>
            <w:r w:rsidRPr="00F622DE">
              <w:rPr>
                <w:rFonts w:ascii="Arial" w:eastAsia="Times New Roman" w:hAnsi="Arial" w:cs="Arial"/>
                <w:color w:val="000000"/>
                <w:sz w:val="12"/>
                <w:szCs w:val="12"/>
                <w:bdr w:val="none" w:sz="0" w:space="0" w:color="auto"/>
              </w:rPr>
              <w:br/>
              <w:t>Promovim i ndermarrjeve vendase per t'i kthyer ato qe jane pjese e prioriteteve te S£ ne lider rajonal</w:t>
            </w:r>
            <w:r w:rsidRPr="00F622DE">
              <w:rPr>
                <w:rFonts w:ascii="Arial" w:eastAsia="Times New Roman" w:hAnsi="Arial" w:cs="Arial"/>
                <w:color w:val="000000"/>
                <w:sz w:val="12"/>
                <w:szCs w:val="12"/>
                <w:bdr w:val="none" w:sz="0" w:space="0" w:color="auto"/>
              </w:rPr>
              <w:br/>
              <w:t>Mbeshtetja per ta kthyer vendin ne destinacion turistik gjithevjetor dhe te qendrueshem</w:t>
            </w:r>
            <w:r w:rsidRPr="00F622DE">
              <w:rPr>
                <w:rFonts w:ascii="Arial" w:eastAsia="Times New Roman" w:hAnsi="Arial" w:cs="Arial"/>
                <w:color w:val="000000"/>
                <w:sz w:val="12"/>
                <w:szCs w:val="12"/>
                <w:bdr w:val="none" w:sz="0" w:space="0" w:color="auto"/>
              </w:rPr>
              <w:br/>
              <w:t>Kthimi i Shqiperise ne lider rajonal per energjine e rinovueshme dhe lendet e para, duke diversifikuar burimet per te plotesuar 100% nevojat e vendit dhe per ta kthyer ne eksportues neto te energjise se gjelber</w:t>
            </w:r>
            <w:r w:rsidRPr="00F622DE">
              <w:rPr>
                <w:rFonts w:ascii="Arial" w:eastAsia="Times New Roman" w:hAnsi="Arial" w:cs="Arial"/>
                <w:color w:val="000000"/>
                <w:sz w:val="12"/>
                <w:szCs w:val="12"/>
                <w:bdr w:val="none" w:sz="0" w:space="0" w:color="auto"/>
              </w:rPr>
              <w:br/>
              <w:t>Permiresimi i sherbimeveper qytetaret, ne te gjithe vendin, permiresimi i transportit dhe sherbimeve shendetesorebdhe arsimore</w:t>
            </w:r>
            <w:r w:rsidRPr="00F622DE">
              <w:rPr>
                <w:rFonts w:ascii="Arial" w:eastAsia="Times New Roman" w:hAnsi="Arial" w:cs="Arial"/>
                <w:color w:val="000000"/>
                <w:sz w:val="12"/>
                <w:szCs w:val="12"/>
                <w:bdr w:val="none" w:sz="0" w:space="0" w:color="auto"/>
              </w:rPr>
              <w:br/>
              <w:t>Nxitjen e inovacionit dhe perdorimit te teknologjive te avancuara, ne shendetesi dhe permiresuar sherbimin shendetesor dhe social ne zonat rurale</w:t>
            </w:r>
            <w:r w:rsidRPr="00F622DE">
              <w:rPr>
                <w:rFonts w:ascii="Arial" w:eastAsia="Times New Roman" w:hAnsi="Arial" w:cs="Arial"/>
                <w:color w:val="000000"/>
                <w:sz w:val="12"/>
                <w:szCs w:val="12"/>
                <w:bdr w:val="none" w:sz="0" w:space="0" w:color="auto"/>
              </w:rPr>
              <w:br/>
              <w:t>Ofrimi i programeve te edukimit ne vazhdim, per reskilling/upskilling per te pergatitur punonjes me njohuri te perditesuara ne sektoret prioritare per vendin, perfshire inovacionin, kerkim dhe zhvillim</w:t>
            </w:r>
            <w:r w:rsidRPr="00F622DE">
              <w:rPr>
                <w:rFonts w:ascii="Arial" w:eastAsia="Times New Roman" w:hAnsi="Arial" w:cs="Arial"/>
                <w:color w:val="000000"/>
                <w:sz w:val="12"/>
                <w:szCs w:val="12"/>
                <w:bdr w:val="none" w:sz="0" w:space="0" w:color="auto"/>
              </w:rPr>
              <w:br/>
              <w:t>Investimi ne teknologji, inovacion dhe edukim per te kontribuar ne menaxhimin e integruar te mbetjeve</w:t>
            </w:r>
            <w:r w:rsidRPr="00F622DE">
              <w:rPr>
                <w:rFonts w:ascii="Arial" w:eastAsia="Times New Roman" w:hAnsi="Arial" w:cs="Arial"/>
                <w:color w:val="000000"/>
                <w:sz w:val="12"/>
                <w:szCs w:val="12"/>
                <w:bdr w:val="none" w:sz="0" w:space="0" w:color="auto"/>
              </w:rPr>
              <w:br/>
              <w:t>permiresimi i sistemeve elektronike ne sektoret prioritare dhe horizontale</w:t>
            </w:r>
            <w:r w:rsidRPr="00F622DE">
              <w:rPr>
                <w:rFonts w:ascii="Arial" w:eastAsia="Times New Roman" w:hAnsi="Arial" w:cs="Arial"/>
                <w:color w:val="000000"/>
                <w:sz w:val="12"/>
                <w:szCs w:val="12"/>
                <w:bdr w:val="none" w:sz="0" w:space="0" w:color="auto"/>
              </w:rPr>
              <w:br/>
              <w:t>mekanzma facilitues per mbeshtetjen e familjeve, famijeve dhe grave me fokus zonat rurale per te ndihmuar ne nje jete sociale me te mire, frenuar largimin e talenteve dhe krijuar mundesi pune dhe karriere ne keto zona si parakusht per zhvillimin inovativ te sektoreve prioritare te S3</w:t>
            </w:r>
            <w:r w:rsidRPr="00F622DE">
              <w:rPr>
                <w:rFonts w:ascii="Arial" w:eastAsia="Times New Roman" w:hAnsi="Arial" w:cs="Arial"/>
                <w:color w:val="000000"/>
                <w:sz w:val="12"/>
                <w:szCs w:val="12"/>
                <w:bdr w:val="none" w:sz="0" w:space="0" w:color="auto"/>
              </w:rPr>
              <w:br/>
              <w:t>Mbeshtetja dhe incentivimi i programeve te perbashketa me universitete te BE</w:t>
            </w:r>
            <w:r w:rsidRPr="00F622DE">
              <w:rPr>
                <w:rFonts w:ascii="Arial" w:eastAsia="Times New Roman" w:hAnsi="Arial" w:cs="Arial"/>
                <w:color w:val="000000"/>
                <w:sz w:val="12"/>
                <w:szCs w:val="12"/>
                <w:bdr w:val="none" w:sz="0" w:space="0" w:color="auto"/>
              </w:rPr>
              <w:br/>
              <w:t>krijimi i me shume mundesive duke zgjeruar rrjetin e qendrave dhe sherbimeve ne te gjithe vendin per femijet, talentet, angazhimin e grave</w:t>
            </w:r>
            <w:r w:rsidRPr="00F622DE">
              <w:rPr>
                <w:rFonts w:ascii="Arial" w:eastAsia="Times New Roman" w:hAnsi="Arial" w:cs="Arial"/>
                <w:color w:val="000000"/>
                <w:sz w:val="12"/>
                <w:szCs w:val="12"/>
                <w:bdr w:val="none" w:sz="0" w:space="0" w:color="auto"/>
              </w:rPr>
              <w:br/>
              <w:t>Mbeshtetje e ndryshimeve te nevojshme per te mundesuar regjistrimin e pronavebujqesore dhe hartat digjitale te pronave</w:t>
            </w:r>
            <w:r w:rsidRPr="00F622DE">
              <w:rPr>
                <w:rFonts w:ascii="Arial" w:eastAsia="Times New Roman" w:hAnsi="Arial" w:cs="Arial"/>
                <w:color w:val="000000"/>
                <w:sz w:val="12"/>
                <w:szCs w:val="12"/>
                <w:bdr w:val="none" w:sz="0" w:space="0" w:color="auto"/>
              </w:rPr>
              <w:br/>
              <w:t>Forcimi i bashkepunimit rajonal me vendet finje permes marreveshjeve bilaterale ose ne kuader te procesit te Berlinit per fushat me interes reciprok.</w:t>
            </w:r>
            <w:r w:rsidRPr="00F622DE">
              <w:rPr>
                <w:rFonts w:ascii="Arial" w:eastAsia="Times New Roman" w:hAnsi="Arial" w:cs="Arial"/>
                <w:color w:val="000000"/>
                <w:sz w:val="12"/>
                <w:szCs w:val="12"/>
                <w:bdr w:val="none" w:sz="0" w:space="0" w:color="auto"/>
              </w:rPr>
              <w:br/>
              <w:t>Futja e metodologjive te avancuara smart ne ndihme te monitorimit te territorit per aktivitetet e ndermarrjeve, ndertime, etj</w:t>
            </w:r>
          </w:p>
        </w:tc>
        <w:tc>
          <w:tcPr>
            <w:tcW w:w="674" w:type="dxa"/>
            <w:tcBorders>
              <w:top w:val="nil"/>
              <w:left w:val="nil"/>
              <w:bottom w:val="single" w:sz="4" w:space="0" w:color="auto"/>
              <w:right w:val="single" w:sz="4" w:space="0" w:color="auto"/>
            </w:tcBorders>
            <w:shd w:val="clear" w:color="auto" w:fill="auto"/>
            <w:vAlign w:val="center"/>
            <w:hideMark/>
          </w:tcPr>
          <w:p w14:paraId="04AEEB4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lidhet me SKZHI. </w:t>
            </w:r>
            <w:r w:rsidRPr="00F622DE">
              <w:rPr>
                <w:rFonts w:ascii="Arial" w:eastAsia="Times New Roman" w:hAnsi="Arial" w:cs="Arial"/>
                <w:color w:val="000000"/>
                <w:sz w:val="12"/>
                <w:szCs w:val="12"/>
                <w:bdr w:val="none" w:sz="0" w:space="0" w:color="auto"/>
              </w:rPr>
              <w:br/>
              <w:t>S3 eshte strategji ombrelle nen SKZHI dhe mbi strategjite sektoriale</w:t>
            </w:r>
          </w:p>
        </w:tc>
        <w:tc>
          <w:tcPr>
            <w:tcW w:w="790" w:type="dxa"/>
            <w:tcBorders>
              <w:top w:val="nil"/>
              <w:left w:val="nil"/>
              <w:bottom w:val="single" w:sz="4" w:space="0" w:color="auto"/>
              <w:right w:val="single" w:sz="4" w:space="0" w:color="auto"/>
            </w:tcBorders>
            <w:shd w:val="clear" w:color="auto" w:fill="auto"/>
            <w:vAlign w:val="center"/>
            <w:hideMark/>
          </w:tcPr>
          <w:p w14:paraId="4583D6A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Investimi ne inovacion, kerkim dhe teknologji ne sektoret prioritare perkthehet ne vlere te shtuar per ekonomine shqiptare, mbeshtetja e zhvillimit rural, balancimi i investimeve ne shkalle vendi, mbajtja e talenteve dhe krijimi i kushteve per punesim dhe investime nga diaspora ne zonat rurale do kete nje impakt te rendesishem social me nje mundesi te shtuar zhvillimi te ekonomise ne zoonat rrale dhe ne gjithe Shqiperine. Inovacioni ne sektoret prioritare do te sjelle rritje te ekonomise, konkurrueshmeri te ndermarrjeve dhe promovimin e produkteve shqiptare ne bote. Mbeshtetja me teknologjite e reja dhe zgjidhjet smart per monitorimin e mjedisit, problemeve mjedisore dhe ndotjes, mundeson kontroll me te mire te territorit me nje impakt te konsiderueshem ne mbrojtjen e mjedisit dhe uljen e ndotjes</w:t>
            </w:r>
          </w:p>
        </w:tc>
      </w:tr>
      <w:tr w:rsidR="00F622DE" w:rsidRPr="00F622DE" w14:paraId="5F54B131"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5751504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40</w:t>
            </w:r>
          </w:p>
        </w:tc>
        <w:tc>
          <w:tcPr>
            <w:tcW w:w="722" w:type="dxa"/>
            <w:tcBorders>
              <w:top w:val="nil"/>
              <w:left w:val="nil"/>
              <w:bottom w:val="single" w:sz="4" w:space="0" w:color="auto"/>
              <w:right w:val="single" w:sz="4" w:space="0" w:color="auto"/>
            </w:tcBorders>
            <w:shd w:val="clear" w:color="auto" w:fill="auto"/>
            <w:vAlign w:val="center"/>
            <w:hideMark/>
          </w:tcPr>
          <w:p w14:paraId="6582D5F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Per percaktimin e llojeve te tarifave te sherbimeve te ofruara nga AKSHI  dhe mases se tyre</w:t>
            </w:r>
          </w:p>
        </w:tc>
        <w:tc>
          <w:tcPr>
            <w:tcW w:w="670" w:type="dxa"/>
            <w:tcBorders>
              <w:top w:val="nil"/>
              <w:left w:val="nil"/>
              <w:bottom w:val="single" w:sz="4" w:space="0" w:color="auto"/>
              <w:right w:val="single" w:sz="4" w:space="0" w:color="auto"/>
            </w:tcBorders>
            <w:shd w:val="clear" w:color="auto" w:fill="auto"/>
            <w:vAlign w:val="center"/>
            <w:hideMark/>
          </w:tcPr>
          <w:p w14:paraId="67575AD1"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1D43E7F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vAlign w:val="center"/>
            <w:hideMark/>
          </w:tcPr>
          <w:p w14:paraId="5126684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III</w:t>
            </w:r>
          </w:p>
        </w:tc>
        <w:tc>
          <w:tcPr>
            <w:tcW w:w="1180" w:type="dxa"/>
            <w:tcBorders>
              <w:top w:val="nil"/>
              <w:left w:val="nil"/>
              <w:bottom w:val="single" w:sz="4" w:space="0" w:color="auto"/>
              <w:right w:val="single" w:sz="4" w:space="0" w:color="auto"/>
            </w:tcBorders>
            <w:shd w:val="clear" w:color="auto" w:fill="auto"/>
            <w:vAlign w:val="center"/>
            <w:hideMark/>
          </w:tcPr>
          <w:p w14:paraId="497BA0E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Neni 36, pika 2 Ligj nr. 43/2023 "Për qeverisjen elektronike"</w:t>
            </w:r>
          </w:p>
        </w:tc>
        <w:tc>
          <w:tcPr>
            <w:tcW w:w="1233" w:type="dxa"/>
            <w:tcBorders>
              <w:top w:val="nil"/>
              <w:left w:val="nil"/>
              <w:bottom w:val="single" w:sz="4" w:space="0" w:color="auto"/>
              <w:right w:val="single" w:sz="4" w:space="0" w:color="auto"/>
            </w:tcBorders>
            <w:shd w:val="clear" w:color="auto" w:fill="auto"/>
            <w:vAlign w:val="center"/>
            <w:hideMark/>
          </w:tcPr>
          <w:p w14:paraId="26D84C0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Tarifat e mbledhura nga ofrimi i shërbimeve të AKSHI-t në zbatim të këtij ligji, të shërbimeve të përcaktuara në ligjin për nënshkrimin elektronik dhe shërbimet e besuara derdhen në buxhetin e shtetit.</w:t>
            </w:r>
          </w:p>
        </w:tc>
        <w:tc>
          <w:tcPr>
            <w:tcW w:w="701" w:type="dxa"/>
            <w:tcBorders>
              <w:top w:val="nil"/>
              <w:left w:val="nil"/>
              <w:bottom w:val="single" w:sz="4" w:space="0" w:color="auto"/>
              <w:right w:val="single" w:sz="4" w:space="0" w:color="auto"/>
            </w:tcBorders>
            <w:shd w:val="clear" w:color="auto" w:fill="auto"/>
            <w:vAlign w:val="center"/>
            <w:hideMark/>
          </w:tcPr>
          <w:p w14:paraId="52E8A1E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4197BEB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757D056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5844B806"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2F0BE4FE"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4F1E9E0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41</w:t>
            </w:r>
          </w:p>
        </w:tc>
        <w:tc>
          <w:tcPr>
            <w:tcW w:w="722" w:type="dxa"/>
            <w:tcBorders>
              <w:top w:val="nil"/>
              <w:left w:val="nil"/>
              <w:bottom w:val="single" w:sz="4" w:space="0" w:color="auto"/>
              <w:right w:val="single" w:sz="4" w:space="0" w:color="auto"/>
            </w:tcBorders>
            <w:shd w:val="clear" w:color="auto" w:fill="auto"/>
            <w:vAlign w:val="center"/>
            <w:hideMark/>
          </w:tcPr>
          <w:p w14:paraId="64A1950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Për përcaktimin e autoritetit përgjegjës për mbledhjen e tarifave (open data), masa e këtyre tarifave dhe mënyra e pagesës </w:t>
            </w:r>
          </w:p>
        </w:tc>
        <w:tc>
          <w:tcPr>
            <w:tcW w:w="670" w:type="dxa"/>
            <w:tcBorders>
              <w:top w:val="nil"/>
              <w:left w:val="nil"/>
              <w:bottom w:val="single" w:sz="4" w:space="0" w:color="auto"/>
              <w:right w:val="single" w:sz="4" w:space="0" w:color="auto"/>
            </w:tcBorders>
            <w:shd w:val="clear" w:color="auto" w:fill="auto"/>
            <w:vAlign w:val="center"/>
            <w:hideMark/>
          </w:tcPr>
          <w:p w14:paraId="25E05FD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2BC919C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(AKSHI)</w:t>
            </w:r>
          </w:p>
        </w:tc>
        <w:tc>
          <w:tcPr>
            <w:tcW w:w="678" w:type="dxa"/>
            <w:tcBorders>
              <w:top w:val="nil"/>
              <w:left w:val="nil"/>
              <w:bottom w:val="single" w:sz="4" w:space="0" w:color="auto"/>
              <w:right w:val="single" w:sz="4" w:space="0" w:color="auto"/>
            </w:tcBorders>
            <w:shd w:val="clear" w:color="auto" w:fill="auto"/>
            <w:vAlign w:val="center"/>
            <w:hideMark/>
          </w:tcPr>
          <w:p w14:paraId="5CEE2E3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III</w:t>
            </w:r>
          </w:p>
        </w:tc>
        <w:tc>
          <w:tcPr>
            <w:tcW w:w="1180" w:type="dxa"/>
            <w:tcBorders>
              <w:top w:val="nil"/>
              <w:left w:val="nil"/>
              <w:bottom w:val="single" w:sz="4" w:space="0" w:color="auto"/>
              <w:right w:val="single" w:sz="4" w:space="0" w:color="auto"/>
            </w:tcBorders>
            <w:shd w:val="clear" w:color="auto" w:fill="auto"/>
            <w:vAlign w:val="center"/>
            <w:hideMark/>
          </w:tcPr>
          <w:p w14:paraId="386F24A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Neni 43, pika2, Ligj nr. 43/2023 "Për qeverisjen elektronike"</w:t>
            </w:r>
          </w:p>
        </w:tc>
        <w:tc>
          <w:tcPr>
            <w:tcW w:w="1233" w:type="dxa"/>
            <w:tcBorders>
              <w:top w:val="nil"/>
              <w:left w:val="nil"/>
              <w:bottom w:val="single" w:sz="4" w:space="0" w:color="auto"/>
              <w:right w:val="single" w:sz="4" w:space="0" w:color="auto"/>
            </w:tcBorders>
            <w:shd w:val="clear" w:color="auto" w:fill="auto"/>
            <w:vAlign w:val="center"/>
            <w:hideMark/>
          </w:tcPr>
          <w:p w14:paraId="1ADD26F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Me qëllim krijimin e produkteve të reja të informacionit dhe shërbimeve, të cilat kanë si bazë informacionet dhe të dhënat që gjenden në portalin opendata.gov.al, si dhe për promovimin e zhvillimin e ekonomisë së të dhënave, autoritetet publike dhe AKSHI u ofrojnë personave fizikë dhe juridikë të drejtën e ripërdorimit të informacionit që prodhohet dhe mbahet nga autoritetet publike si pjesë e të dhënave të hapura.</w:t>
            </w:r>
          </w:p>
        </w:tc>
        <w:tc>
          <w:tcPr>
            <w:tcW w:w="701" w:type="dxa"/>
            <w:tcBorders>
              <w:top w:val="nil"/>
              <w:left w:val="nil"/>
              <w:bottom w:val="single" w:sz="4" w:space="0" w:color="auto"/>
              <w:right w:val="single" w:sz="4" w:space="0" w:color="auto"/>
            </w:tcBorders>
            <w:shd w:val="clear" w:color="auto" w:fill="auto"/>
            <w:vAlign w:val="center"/>
            <w:hideMark/>
          </w:tcPr>
          <w:p w14:paraId="312D33A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2E22E6D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Fusha, Shoqeria Digjitale</w:t>
            </w:r>
          </w:p>
        </w:tc>
        <w:tc>
          <w:tcPr>
            <w:tcW w:w="674" w:type="dxa"/>
            <w:tcBorders>
              <w:top w:val="nil"/>
              <w:left w:val="nil"/>
              <w:bottom w:val="single" w:sz="4" w:space="0" w:color="auto"/>
              <w:right w:val="single" w:sz="4" w:space="0" w:color="auto"/>
            </w:tcBorders>
            <w:shd w:val="clear" w:color="auto" w:fill="auto"/>
            <w:vAlign w:val="center"/>
            <w:hideMark/>
          </w:tcPr>
          <w:p w14:paraId="0BFF35F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Agjenda Digjitale e Shqipërisë 2022 – 2026, miratuar me VKM Nr. 370, datë 1.6.2022, </w:t>
            </w:r>
          </w:p>
        </w:tc>
        <w:tc>
          <w:tcPr>
            <w:tcW w:w="790" w:type="dxa"/>
            <w:tcBorders>
              <w:top w:val="nil"/>
              <w:left w:val="nil"/>
              <w:bottom w:val="single" w:sz="4" w:space="0" w:color="auto"/>
              <w:right w:val="single" w:sz="4" w:space="0" w:color="auto"/>
            </w:tcBorders>
            <w:shd w:val="clear" w:color="auto" w:fill="auto"/>
            <w:vAlign w:val="center"/>
            <w:hideMark/>
          </w:tcPr>
          <w:p w14:paraId="58C595A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w:t>
            </w:r>
          </w:p>
        </w:tc>
      </w:tr>
      <w:tr w:rsidR="00F622DE" w:rsidRPr="00F622DE" w14:paraId="69EAE5DE"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65CA14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42</w:t>
            </w:r>
          </w:p>
        </w:tc>
        <w:tc>
          <w:tcPr>
            <w:tcW w:w="722" w:type="dxa"/>
            <w:tcBorders>
              <w:top w:val="nil"/>
              <w:left w:val="nil"/>
              <w:bottom w:val="single" w:sz="4" w:space="0" w:color="auto"/>
              <w:right w:val="single" w:sz="4" w:space="0" w:color="auto"/>
            </w:tcBorders>
            <w:shd w:val="clear" w:color="auto" w:fill="auto"/>
            <w:vAlign w:val="center"/>
            <w:hideMark/>
          </w:tcPr>
          <w:p w14:paraId="5AA381F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disa ndryshime në VKM nr. 268, datë 6.4.20216 “Për miratimin e rregullores “Për funksionimin e Këshillit Kombëtar të Ujit”, të ndryshuar</w:t>
            </w:r>
          </w:p>
        </w:tc>
        <w:tc>
          <w:tcPr>
            <w:tcW w:w="670" w:type="dxa"/>
            <w:tcBorders>
              <w:top w:val="nil"/>
              <w:left w:val="nil"/>
              <w:bottom w:val="single" w:sz="4" w:space="0" w:color="auto"/>
              <w:right w:val="single" w:sz="4" w:space="0" w:color="auto"/>
            </w:tcBorders>
            <w:shd w:val="clear" w:color="auto" w:fill="auto"/>
            <w:vAlign w:val="center"/>
            <w:hideMark/>
          </w:tcPr>
          <w:p w14:paraId="4DBEFAD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Projektvendim</w:t>
            </w:r>
          </w:p>
        </w:tc>
        <w:tc>
          <w:tcPr>
            <w:tcW w:w="1573" w:type="dxa"/>
            <w:tcBorders>
              <w:top w:val="nil"/>
              <w:left w:val="nil"/>
              <w:bottom w:val="single" w:sz="4" w:space="0" w:color="auto"/>
              <w:right w:val="single" w:sz="4" w:space="0" w:color="auto"/>
            </w:tcBorders>
            <w:shd w:val="clear" w:color="auto" w:fill="auto"/>
            <w:vAlign w:val="center"/>
            <w:hideMark/>
          </w:tcPr>
          <w:p w14:paraId="32A8DBF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Kryeministri/Zëvendëskryeministri (AMBU)</w:t>
            </w:r>
          </w:p>
        </w:tc>
        <w:tc>
          <w:tcPr>
            <w:tcW w:w="678" w:type="dxa"/>
            <w:tcBorders>
              <w:top w:val="nil"/>
              <w:left w:val="nil"/>
              <w:bottom w:val="single" w:sz="4" w:space="0" w:color="auto"/>
              <w:right w:val="single" w:sz="4" w:space="0" w:color="auto"/>
            </w:tcBorders>
            <w:shd w:val="clear" w:color="auto" w:fill="auto"/>
            <w:vAlign w:val="center"/>
            <w:hideMark/>
          </w:tcPr>
          <w:p w14:paraId="130BB43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III</w:t>
            </w:r>
          </w:p>
        </w:tc>
        <w:tc>
          <w:tcPr>
            <w:tcW w:w="1180" w:type="dxa"/>
            <w:tcBorders>
              <w:top w:val="nil"/>
              <w:left w:val="nil"/>
              <w:bottom w:val="single" w:sz="4" w:space="0" w:color="auto"/>
              <w:right w:val="single" w:sz="4" w:space="0" w:color="auto"/>
            </w:tcBorders>
            <w:shd w:val="clear" w:color="auto" w:fill="auto"/>
            <w:vAlign w:val="center"/>
            <w:hideMark/>
          </w:tcPr>
          <w:p w14:paraId="430CF313"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Ky projektvendim ka si qëllim miratimin e disa ndryshimeve në Rregulloren e Këshillit Kombëtar të Ujit, në vijim të miratimit të Projektvendimit ndryshues të VKM 550/2020</w:t>
            </w:r>
          </w:p>
        </w:tc>
        <w:tc>
          <w:tcPr>
            <w:tcW w:w="1233" w:type="dxa"/>
            <w:tcBorders>
              <w:top w:val="nil"/>
              <w:left w:val="nil"/>
              <w:bottom w:val="single" w:sz="4" w:space="0" w:color="auto"/>
              <w:right w:val="single" w:sz="4" w:space="0" w:color="auto"/>
            </w:tcBorders>
            <w:shd w:val="clear" w:color="auto" w:fill="auto"/>
            <w:vAlign w:val="center"/>
            <w:hideMark/>
          </w:tcPr>
          <w:p w14:paraId="62D604F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Ndryshimi i disa pikave të VKM-së aktuale 268/2016 në vijim të miratimit të Projektvendimit ndryshues të VKM 550/2020</w:t>
            </w:r>
          </w:p>
        </w:tc>
        <w:tc>
          <w:tcPr>
            <w:tcW w:w="701" w:type="dxa"/>
            <w:tcBorders>
              <w:top w:val="nil"/>
              <w:left w:val="nil"/>
              <w:bottom w:val="single" w:sz="4" w:space="0" w:color="auto"/>
              <w:right w:val="single" w:sz="4" w:space="0" w:color="auto"/>
            </w:tcBorders>
            <w:shd w:val="clear" w:color="auto" w:fill="auto"/>
            <w:vAlign w:val="center"/>
            <w:hideMark/>
          </w:tcPr>
          <w:p w14:paraId="4789EC4C"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971" w:type="dxa"/>
            <w:tcBorders>
              <w:top w:val="nil"/>
              <w:left w:val="nil"/>
              <w:bottom w:val="single" w:sz="4" w:space="0" w:color="auto"/>
              <w:right w:val="single" w:sz="4" w:space="0" w:color="auto"/>
            </w:tcBorders>
            <w:shd w:val="clear" w:color="auto" w:fill="auto"/>
            <w:vAlign w:val="center"/>
            <w:hideMark/>
          </w:tcPr>
          <w:p w14:paraId="113AF4A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Shoqëria digjitale, Nr. angazhimi 77</w:t>
            </w:r>
          </w:p>
        </w:tc>
        <w:tc>
          <w:tcPr>
            <w:tcW w:w="674" w:type="dxa"/>
            <w:tcBorders>
              <w:top w:val="nil"/>
              <w:left w:val="nil"/>
              <w:bottom w:val="single" w:sz="4" w:space="0" w:color="auto"/>
              <w:right w:val="single" w:sz="4" w:space="0" w:color="auto"/>
            </w:tcBorders>
            <w:shd w:val="clear" w:color="auto" w:fill="auto"/>
            <w:vAlign w:val="center"/>
            <w:hideMark/>
          </w:tcPr>
          <w:p w14:paraId="1DC88AB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c>
          <w:tcPr>
            <w:tcW w:w="790" w:type="dxa"/>
            <w:tcBorders>
              <w:top w:val="nil"/>
              <w:left w:val="nil"/>
              <w:bottom w:val="single" w:sz="4" w:space="0" w:color="auto"/>
              <w:right w:val="single" w:sz="4" w:space="0" w:color="auto"/>
            </w:tcBorders>
            <w:shd w:val="clear" w:color="auto" w:fill="auto"/>
            <w:vAlign w:val="center"/>
            <w:hideMark/>
          </w:tcPr>
          <w:p w14:paraId="317ED62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Jo </w:t>
            </w:r>
          </w:p>
        </w:tc>
      </w:tr>
      <w:tr w:rsidR="00F622DE" w:rsidRPr="00F622DE" w14:paraId="675B9743"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738162F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43</w:t>
            </w:r>
          </w:p>
        </w:tc>
        <w:tc>
          <w:tcPr>
            <w:tcW w:w="722" w:type="dxa"/>
            <w:tcBorders>
              <w:top w:val="nil"/>
              <w:left w:val="nil"/>
              <w:bottom w:val="single" w:sz="4" w:space="0" w:color="auto"/>
              <w:right w:val="single" w:sz="4" w:space="0" w:color="auto"/>
            </w:tcBorders>
            <w:shd w:val="clear" w:color="auto" w:fill="auto"/>
            <w:vAlign w:val="center"/>
            <w:hideMark/>
          </w:tcPr>
          <w:p w14:paraId="45BE9E75"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disa shtesa dhe ndryshime në ligjin nr. 152/2013, "Për nëpunësin civil", të ndryshuar</w:t>
            </w:r>
          </w:p>
        </w:tc>
        <w:tc>
          <w:tcPr>
            <w:tcW w:w="670" w:type="dxa"/>
            <w:tcBorders>
              <w:top w:val="nil"/>
              <w:left w:val="nil"/>
              <w:bottom w:val="single" w:sz="4" w:space="0" w:color="auto"/>
              <w:right w:val="single" w:sz="4" w:space="0" w:color="auto"/>
            </w:tcBorders>
            <w:shd w:val="clear" w:color="000000" w:fill="FFFFFF"/>
            <w:vAlign w:val="center"/>
            <w:hideMark/>
          </w:tcPr>
          <w:p w14:paraId="3CD1CAB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Projektligj</w:t>
            </w:r>
          </w:p>
        </w:tc>
        <w:tc>
          <w:tcPr>
            <w:tcW w:w="1573" w:type="dxa"/>
            <w:tcBorders>
              <w:top w:val="nil"/>
              <w:left w:val="nil"/>
              <w:bottom w:val="single" w:sz="4" w:space="0" w:color="auto"/>
              <w:right w:val="single" w:sz="4" w:space="0" w:color="auto"/>
            </w:tcBorders>
            <w:shd w:val="clear" w:color="auto" w:fill="auto"/>
            <w:vAlign w:val="center"/>
            <w:hideMark/>
          </w:tcPr>
          <w:p w14:paraId="575BA58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(DAP)</w:t>
            </w:r>
          </w:p>
        </w:tc>
        <w:tc>
          <w:tcPr>
            <w:tcW w:w="678" w:type="dxa"/>
            <w:tcBorders>
              <w:top w:val="nil"/>
              <w:left w:val="nil"/>
              <w:bottom w:val="single" w:sz="4" w:space="0" w:color="auto"/>
              <w:right w:val="single" w:sz="4" w:space="0" w:color="auto"/>
            </w:tcBorders>
            <w:shd w:val="clear" w:color="auto" w:fill="auto"/>
            <w:noWrap/>
            <w:vAlign w:val="center"/>
            <w:hideMark/>
          </w:tcPr>
          <w:p w14:paraId="71E90E77"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III</w:t>
            </w:r>
          </w:p>
        </w:tc>
        <w:tc>
          <w:tcPr>
            <w:tcW w:w="1180" w:type="dxa"/>
            <w:tcBorders>
              <w:top w:val="nil"/>
              <w:left w:val="nil"/>
              <w:bottom w:val="single" w:sz="4" w:space="0" w:color="auto"/>
              <w:right w:val="single" w:sz="4" w:space="0" w:color="auto"/>
            </w:tcBorders>
            <w:shd w:val="clear" w:color="auto" w:fill="auto"/>
            <w:vAlign w:val="center"/>
            <w:hideMark/>
          </w:tcPr>
          <w:p w14:paraId="14DCEBC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Rregullimi i disa parashikimeve të ligjit, për shkak të problematikave të vëna re gjatë zbatimit të tij, si dhe shtimi i disa parashikimeve të tjera të nevojshme në të, në funksion të qartësisë së instituteve të përcaktuara në ligj.     </w:t>
            </w:r>
          </w:p>
        </w:tc>
        <w:tc>
          <w:tcPr>
            <w:tcW w:w="1233" w:type="dxa"/>
            <w:tcBorders>
              <w:top w:val="nil"/>
              <w:left w:val="nil"/>
              <w:bottom w:val="single" w:sz="4" w:space="0" w:color="auto"/>
              <w:right w:val="single" w:sz="4" w:space="0" w:color="auto"/>
            </w:tcBorders>
            <w:shd w:val="clear" w:color="auto" w:fill="auto"/>
            <w:vAlign w:val="center"/>
            <w:hideMark/>
          </w:tcPr>
          <w:p w14:paraId="7A4F325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1. Rregullime në lidhje me kriteret e përgjithshme të pranimit në shërbimin civil;                                                                   2. Rregullime në lidhje me afatin e pezullimit të nëpunësve civilë që zgjidhen si anëtarë të këshillave bashkiakë;                                                        3. Rregullime ne lidhje me masën e demshpërblimit në rastin e lirimit të nëpunësit civil për shkak të ristrukturimit apo mbylljes së institucionit;                                                                  4. Rregullime në lidhje me zbatimin e vendimeve gjyqësore të formës së prerë;                                                                5. Rregullime në lidhje me procesin e vlerësimit të punës së nëpunësve civilë;                                                                          6. Rregullime ne lidhje me elementët e hapave të pagës;                                                                         7. Rregullime në lidhje me organizimin dhe funksionimin e ASPA-s.</w:t>
            </w:r>
          </w:p>
        </w:tc>
        <w:tc>
          <w:tcPr>
            <w:tcW w:w="701" w:type="dxa"/>
            <w:tcBorders>
              <w:top w:val="nil"/>
              <w:left w:val="nil"/>
              <w:bottom w:val="single" w:sz="4" w:space="0" w:color="auto"/>
              <w:right w:val="single" w:sz="4" w:space="0" w:color="auto"/>
            </w:tcBorders>
            <w:shd w:val="clear" w:color="auto" w:fill="auto"/>
            <w:vAlign w:val="center"/>
            <w:hideMark/>
          </w:tcPr>
          <w:p w14:paraId="4B4B6B7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PKIE 2024 - 2026</w:t>
            </w:r>
          </w:p>
        </w:tc>
        <w:tc>
          <w:tcPr>
            <w:tcW w:w="971" w:type="dxa"/>
            <w:tcBorders>
              <w:top w:val="nil"/>
              <w:left w:val="nil"/>
              <w:bottom w:val="single" w:sz="4" w:space="0" w:color="auto"/>
              <w:right w:val="single" w:sz="4" w:space="0" w:color="auto"/>
            </w:tcBorders>
            <w:shd w:val="clear" w:color="auto" w:fill="auto"/>
            <w:vAlign w:val="center"/>
            <w:hideMark/>
          </w:tcPr>
          <w:p w14:paraId="27671DE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39F421E8"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Strategjia Ndërsektoriale e Reformës në Administratën Publike, 2023 - 2030, që pritet të miratoahet brenda vitit 2023</w:t>
            </w:r>
          </w:p>
        </w:tc>
        <w:tc>
          <w:tcPr>
            <w:tcW w:w="790" w:type="dxa"/>
            <w:tcBorders>
              <w:top w:val="nil"/>
              <w:left w:val="nil"/>
              <w:bottom w:val="single" w:sz="4" w:space="0" w:color="auto"/>
              <w:right w:val="single" w:sz="4" w:space="0" w:color="auto"/>
            </w:tcBorders>
            <w:shd w:val="clear" w:color="auto" w:fill="auto"/>
            <w:vAlign w:val="center"/>
            <w:hideMark/>
          </w:tcPr>
          <w:p w14:paraId="65C5911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ndikime sociale</w:t>
            </w:r>
          </w:p>
        </w:tc>
      </w:tr>
      <w:tr w:rsidR="00F622DE" w:rsidRPr="00F622DE" w14:paraId="671700EC" w14:textId="77777777" w:rsidTr="00F622DE">
        <w:trPr>
          <w:trHeight w:val="180"/>
          <w:jc w:val="center"/>
        </w:trPr>
        <w:tc>
          <w:tcPr>
            <w:tcW w:w="168" w:type="dxa"/>
            <w:tcBorders>
              <w:top w:val="nil"/>
              <w:left w:val="single" w:sz="4" w:space="0" w:color="auto"/>
              <w:bottom w:val="single" w:sz="4" w:space="0" w:color="auto"/>
              <w:right w:val="single" w:sz="4" w:space="0" w:color="auto"/>
            </w:tcBorders>
            <w:shd w:val="clear" w:color="auto" w:fill="auto"/>
            <w:noWrap/>
            <w:vAlign w:val="center"/>
            <w:hideMark/>
          </w:tcPr>
          <w:p w14:paraId="3FC6CDDD"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44</w:t>
            </w:r>
          </w:p>
        </w:tc>
        <w:tc>
          <w:tcPr>
            <w:tcW w:w="722" w:type="dxa"/>
            <w:tcBorders>
              <w:top w:val="nil"/>
              <w:left w:val="nil"/>
              <w:bottom w:val="single" w:sz="4" w:space="0" w:color="auto"/>
              <w:right w:val="single" w:sz="4" w:space="0" w:color="auto"/>
            </w:tcBorders>
            <w:shd w:val="clear" w:color="auto" w:fill="auto"/>
            <w:vAlign w:val="center"/>
            <w:hideMark/>
          </w:tcPr>
          <w:p w14:paraId="48D48009"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Për disa shtesa dhe ndryshime në ligjin nr. 90/2012, "Për organizimin dhe funksionimin e administratës shtetërore"</w:t>
            </w:r>
          </w:p>
        </w:tc>
        <w:tc>
          <w:tcPr>
            <w:tcW w:w="670" w:type="dxa"/>
            <w:tcBorders>
              <w:top w:val="nil"/>
              <w:left w:val="nil"/>
              <w:bottom w:val="single" w:sz="4" w:space="0" w:color="auto"/>
              <w:right w:val="single" w:sz="4" w:space="0" w:color="auto"/>
            </w:tcBorders>
            <w:shd w:val="clear" w:color="000000" w:fill="FFFFFF"/>
            <w:vAlign w:val="center"/>
            <w:hideMark/>
          </w:tcPr>
          <w:p w14:paraId="1B40B09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Projektligj</w:t>
            </w:r>
          </w:p>
        </w:tc>
        <w:tc>
          <w:tcPr>
            <w:tcW w:w="1573" w:type="dxa"/>
            <w:tcBorders>
              <w:top w:val="nil"/>
              <w:left w:val="nil"/>
              <w:bottom w:val="single" w:sz="4" w:space="0" w:color="auto"/>
              <w:right w:val="single" w:sz="4" w:space="0" w:color="auto"/>
            </w:tcBorders>
            <w:shd w:val="clear" w:color="auto" w:fill="auto"/>
            <w:vAlign w:val="center"/>
            <w:hideMark/>
          </w:tcPr>
          <w:p w14:paraId="1BC24F3E"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Kryeministri - Zëvendëskryeministri (DAP)</w:t>
            </w:r>
          </w:p>
        </w:tc>
        <w:tc>
          <w:tcPr>
            <w:tcW w:w="678" w:type="dxa"/>
            <w:tcBorders>
              <w:top w:val="nil"/>
              <w:left w:val="nil"/>
              <w:bottom w:val="single" w:sz="4" w:space="0" w:color="auto"/>
              <w:right w:val="single" w:sz="4" w:space="0" w:color="auto"/>
            </w:tcBorders>
            <w:shd w:val="clear" w:color="auto" w:fill="auto"/>
            <w:noWrap/>
            <w:vAlign w:val="center"/>
            <w:hideMark/>
          </w:tcPr>
          <w:p w14:paraId="0866C99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Katërmujori III</w:t>
            </w:r>
          </w:p>
        </w:tc>
        <w:tc>
          <w:tcPr>
            <w:tcW w:w="1180" w:type="dxa"/>
            <w:tcBorders>
              <w:top w:val="nil"/>
              <w:left w:val="nil"/>
              <w:bottom w:val="single" w:sz="4" w:space="0" w:color="auto"/>
              <w:right w:val="single" w:sz="4" w:space="0" w:color="auto"/>
            </w:tcBorders>
            <w:shd w:val="clear" w:color="auto" w:fill="auto"/>
            <w:vAlign w:val="center"/>
            <w:hideMark/>
          </w:tcPr>
          <w:p w14:paraId="6A4FF440"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Rregullime per disa parashikime të ligjit, për shkak të problematikave të vëna re gjatë zbatimit të tij, të evidentuara edhe në nga raportet e progresit të Bë-së, si dhe në raportin screening të BE-së </w:t>
            </w:r>
          </w:p>
        </w:tc>
        <w:tc>
          <w:tcPr>
            <w:tcW w:w="1233" w:type="dxa"/>
            <w:tcBorders>
              <w:top w:val="nil"/>
              <w:left w:val="nil"/>
              <w:bottom w:val="single" w:sz="4" w:space="0" w:color="auto"/>
              <w:right w:val="single" w:sz="4" w:space="0" w:color="auto"/>
            </w:tcBorders>
            <w:shd w:val="clear" w:color="auto" w:fill="auto"/>
            <w:vAlign w:val="center"/>
            <w:hideMark/>
          </w:tcPr>
          <w:p w14:paraId="185A3204"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 xml:space="preserve">Rregullimi i parimeve, si dhe mënyrës së krijimit, organizimit, funksionimit dhe tipologjisë së institucioneve të administratës shteterore. Gjithashtu, në këtë ligj duhet të përcaktohet mekanizimi i mbikqyrjes së performancë së institucioneve të administratës shtetërore, si dhe raportimi në Këshillin e Ministrave në lidhje me zbatimin e ligjit. </w:t>
            </w:r>
          </w:p>
        </w:tc>
        <w:tc>
          <w:tcPr>
            <w:tcW w:w="701" w:type="dxa"/>
            <w:tcBorders>
              <w:top w:val="nil"/>
              <w:left w:val="nil"/>
              <w:bottom w:val="single" w:sz="4" w:space="0" w:color="auto"/>
              <w:right w:val="single" w:sz="4" w:space="0" w:color="auto"/>
            </w:tcBorders>
            <w:shd w:val="clear" w:color="auto" w:fill="auto"/>
            <w:vAlign w:val="center"/>
            <w:hideMark/>
          </w:tcPr>
          <w:p w14:paraId="573D731B"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Po  PKIE 2024 - 2026</w:t>
            </w:r>
          </w:p>
        </w:tc>
        <w:tc>
          <w:tcPr>
            <w:tcW w:w="971" w:type="dxa"/>
            <w:tcBorders>
              <w:top w:val="nil"/>
              <w:left w:val="nil"/>
              <w:bottom w:val="single" w:sz="4" w:space="0" w:color="auto"/>
              <w:right w:val="single" w:sz="4" w:space="0" w:color="auto"/>
            </w:tcBorders>
            <w:shd w:val="clear" w:color="auto" w:fill="auto"/>
            <w:vAlign w:val="center"/>
            <w:hideMark/>
          </w:tcPr>
          <w:p w14:paraId="6B75C0BA"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N/A</w:t>
            </w:r>
          </w:p>
        </w:tc>
        <w:tc>
          <w:tcPr>
            <w:tcW w:w="674" w:type="dxa"/>
            <w:tcBorders>
              <w:top w:val="nil"/>
              <w:left w:val="nil"/>
              <w:bottom w:val="single" w:sz="4" w:space="0" w:color="auto"/>
              <w:right w:val="single" w:sz="4" w:space="0" w:color="auto"/>
            </w:tcBorders>
            <w:shd w:val="clear" w:color="auto" w:fill="auto"/>
            <w:vAlign w:val="center"/>
            <w:hideMark/>
          </w:tcPr>
          <w:p w14:paraId="1F6F8B52"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Strategjia Ndërsektoriale e Reformës në Administratën Publike, 2023 - 2030, që pritet të miratoahet brenda vitit 2023</w:t>
            </w:r>
          </w:p>
        </w:tc>
        <w:tc>
          <w:tcPr>
            <w:tcW w:w="790" w:type="dxa"/>
            <w:tcBorders>
              <w:top w:val="nil"/>
              <w:left w:val="nil"/>
              <w:bottom w:val="single" w:sz="4" w:space="0" w:color="auto"/>
              <w:right w:val="single" w:sz="4" w:space="0" w:color="auto"/>
            </w:tcBorders>
            <w:shd w:val="clear" w:color="auto" w:fill="auto"/>
            <w:vAlign w:val="center"/>
            <w:hideMark/>
          </w:tcPr>
          <w:p w14:paraId="1540840F" w14:textId="77777777" w:rsidR="00F622DE" w:rsidRPr="00F622DE" w:rsidRDefault="00F622DE" w:rsidP="00F622D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622DE">
              <w:rPr>
                <w:rFonts w:ascii="Arial" w:eastAsia="Times New Roman" w:hAnsi="Arial" w:cs="Arial"/>
                <w:color w:val="000000"/>
                <w:sz w:val="12"/>
                <w:szCs w:val="12"/>
                <w:bdr w:val="none" w:sz="0" w:space="0" w:color="auto"/>
              </w:rPr>
              <w:t>Jo</w:t>
            </w:r>
          </w:p>
        </w:tc>
      </w:tr>
    </w:tbl>
    <w:p w14:paraId="547C3492" w14:textId="5A434009" w:rsidR="00E85315" w:rsidRPr="00943752" w:rsidRDefault="00E85315" w:rsidP="00E85315">
      <w:pPr>
        <w:ind w:firstLine="284"/>
        <w:jc w:val="both"/>
        <w:rPr>
          <w:rFonts w:ascii="Garamond" w:hAnsi="Garamond"/>
          <w:b/>
        </w:rPr>
      </w:pPr>
    </w:p>
    <w:p w14:paraId="4D9C29F4" w14:textId="77777777" w:rsidR="00943752" w:rsidRPr="004D50D8" w:rsidRDefault="00943752" w:rsidP="00943752">
      <w:pPr>
        <w:pStyle w:val="BodyA"/>
        <w:jc w:val="right"/>
        <w:rPr>
          <w:bCs/>
          <w:smallCaps/>
          <w:spacing w:val="-1"/>
          <w:sz w:val="28"/>
          <w:szCs w:val="28"/>
          <w:lang w:val="sq-AL"/>
        </w:rPr>
      </w:pPr>
    </w:p>
    <w:p w14:paraId="7850DC82" w14:textId="1B470E5D" w:rsidR="00B60D59" w:rsidRDefault="00B60D59" w:rsidP="009F3407">
      <w:pPr>
        <w:pStyle w:val="BodyA"/>
        <w:jc w:val="center"/>
        <w:rPr>
          <w:sz w:val="28"/>
          <w:szCs w:val="28"/>
          <w:lang w:val="it-IT"/>
        </w:rPr>
      </w:pPr>
    </w:p>
    <w:p w14:paraId="0FFEBA80" w14:textId="3A457EE1" w:rsidR="00D3179A" w:rsidRDefault="00D3179A" w:rsidP="009F3407">
      <w:pPr>
        <w:pStyle w:val="BodyA"/>
        <w:jc w:val="center"/>
        <w:rPr>
          <w:sz w:val="28"/>
          <w:szCs w:val="28"/>
          <w:lang w:val="it-IT"/>
        </w:rPr>
      </w:pPr>
    </w:p>
    <w:p w14:paraId="17214CAE" w14:textId="73875D37" w:rsidR="00D3179A" w:rsidRDefault="00D3179A" w:rsidP="009F3407">
      <w:pPr>
        <w:pStyle w:val="BodyA"/>
        <w:jc w:val="center"/>
        <w:rPr>
          <w:sz w:val="28"/>
          <w:szCs w:val="28"/>
          <w:lang w:val="it-IT"/>
        </w:rPr>
      </w:pPr>
    </w:p>
    <w:p w14:paraId="2B0FF50D" w14:textId="1E38C71F" w:rsidR="00D3179A" w:rsidRDefault="00D3179A" w:rsidP="009F3407">
      <w:pPr>
        <w:pStyle w:val="BodyA"/>
        <w:jc w:val="center"/>
        <w:rPr>
          <w:sz w:val="28"/>
          <w:szCs w:val="28"/>
          <w:lang w:val="it-IT"/>
        </w:rPr>
      </w:pPr>
    </w:p>
    <w:p w14:paraId="033BAA1C" w14:textId="22F9B057" w:rsidR="00D3179A" w:rsidRDefault="00D3179A" w:rsidP="009F3407">
      <w:pPr>
        <w:pStyle w:val="BodyA"/>
        <w:jc w:val="center"/>
        <w:rPr>
          <w:sz w:val="28"/>
          <w:szCs w:val="28"/>
          <w:lang w:val="it-IT"/>
        </w:rPr>
      </w:pPr>
    </w:p>
    <w:p w14:paraId="5FEECDFA" w14:textId="6760CE87" w:rsidR="00D3179A" w:rsidRDefault="00D3179A" w:rsidP="009F3407">
      <w:pPr>
        <w:pStyle w:val="BodyA"/>
        <w:jc w:val="center"/>
        <w:rPr>
          <w:sz w:val="28"/>
          <w:szCs w:val="28"/>
          <w:lang w:val="it-IT"/>
        </w:rPr>
      </w:pPr>
    </w:p>
    <w:p w14:paraId="07E001AA" w14:textId="37AC8A76" w:rsidR="00D3179A" w:rsidRDefault="00D3179A" w:rsidP="009F3407">
      <w:pPr>
        <w:pStyle w:val="BodyA"/>
        <w:jc w:val="center"/>
        <w:rPr>
          <w:sz w:val="28"/>
          <w:szCs w:val="28"/>
          <w:lang w:val="it-IT"/>
        </w:rPr>
      </w:pPr>
    </w:p>
    <w:p w14:paraId="71489114" w14:textId="07F29FA9" w:rsidR="00D3179A" w:rsidRDefault="00D3179A" w:rsidP="009F3407">
      <w:pPr>
        <w:pStyle w:val="BodyA"/>
        <w:jc w:val="center"/>
        <w:rPr>
          <w:sz w:val="28"/>
          <w:szCs w:val="28"/>
          <w:lang w:val="it-IT"/>
        </w:rPr>
      </w:pPr>
    </w:p>
    <w:p w14:paraId="01E3BF62" w14:textId="1931D3CB" w:rsidR="00D3179A" w:rsidRDefault="00D3179A" w:rsidP="009F3407">
      <w:pPr>
        <w:pStyle w:val="BodyA"/>
        <w:jc w:val="center"/>
        <w:rPr>
          <w:sz w:val="28"/>
          <w:szCs w:val="28"/>
          <w:lang w:val="it-IT"/>
        </w:rPr>
      </w:pPr>
    </w:p>
    <w:p w14:paraId="2796C746" w14:textId="5E679F92" w:rsidR="00D3179A" w:rsidRDefault="00D3179A" w:rsidP="009F3407">
      <w:pPr>
        <w:pStyle w:val="BodyA"/>
        <w:jc w:val="center"/>
        <w:rPr>
          <w:sz w:val="28"/>
          <w:szCs w:val="28"/>
          <w:lang w:val="it-IT"/>
        </w:rPr>
      </w:pPr>
    </w:p>
    <w:p w14:paraId="48618765" w14:textId="609401FC" w:rsidR="00D3179A" w:rsidRDefault="00D3179A" w:rsidP="009F3407">
      <w:pPr>
        <w:pStyle w:val="BodyA"/>
        <w:jc w:val="center"/>
        <w:rPr>
          <w:sz w:val="28"/>
          <w:szCs w:val="28"/>
          <w:lang w:val="it-IT"/>
        </w:rPr>
      </w:pPr>
    </w:p>
    <w:p w14:paraId="291D07A6" w14:textId="59BB42BF" w:rsidR="00D3179A" w:rsidRDefault="00D3179A" w:rsidP="009F3407">
      <w:pPr>
        <w:pStyle w:val="BodyA"/>
        <w:jc w:val="center"/>
        <w:rPr>
          <w:sz w:val="28"/>
          <w:szCs w:val="28"/>
          <w:lang w:val="it-IT"/>
        </w:rPr>
      </w:pPr>
    </w:p>
    <w:p w14:paraId="7FFC7240" w14:textId="12B7EB6D" w:rsidR="00D3179A" w:rsidRDefault="00D3179A" w:rsidP="009F3407">
      <w:pPr>
        <w:pStyle w:val="BodyA"/>
        <w:jc w:val="center"/>
        <w:rPr>
          <w:sz w:val="28"/>
          <w:szCs w:val="28"/>
          <w:lang w:val="it-IT"/>
        </w:rPr>
      </w:pPr>
    </w:p>
    <w:p w14:paraId="34CF76E9" w14:textId="161198F8" w:rsidR="00D3179A" w:rsidRDefault="00D3179A" w:rsidP="009F3407">
      <w:pPr>
        <w:pStyle w:val="BodyA"/>
        <w:jc w:val="center"/>
        <w:rPr>
          <w:sz w:val="28"/>
          <w:szCs w:val="28"/>
          <w:lang w:val="it-IT"/>
        </w:rPr>
      </w:pPr>
    </w:p>
    <w:p w14:paraId="3C263125" w14:textId="2038241F" w:rsidR="00D3179A" w:rsidRDefault="00D3179A" w:rsidP="009F3407">
      <w:pPr>
        <w:pStyle w:val="BodyA"/>
        <w:jc w:val="center"/>
        <w:rPr>
          <w:sz w:val="28"/>
          <w:szCs w:val="28"/>
          <w:lang w:val="it-IT"/>
        </w:rPr>
      </w:pPr>
    </w:p>
    <w:p w14:paraId="24CE7E46" w14:textId="20CF0212" w:rsidR="00D3179A" w:rsidRDefault="00D3179A" w:rsidP="009F3407">
      <w:pPr>
        <w:pStyle w:val="BodyA"/>
        <w:jc w:val="center"/>
        <w:rPr>
          <w:sz w:val="28"/>
          <w:szCs w:val="28"/>
          <w:lang w:val="it-IT"/>
        </w:rPr>
      </w:pPr>
    </w:p>
    <w:p w14:paraId="408F40AF" w14:textId="7E5CE970" w:rsidR="00D3179A" w:rsidRDefault="00D3179A" w:rsidP="009F3407">
      <w:pPr>
        <w:pStyle w:val="BodyA"/>
        <w:jc w:val="center"/>
        <w:rPr>
          <w:sz w:val="28"/>
          <w:szCs w:val="28"/>
          <w:lang w:val="it-IT"/>
        </w:rPr>
      </w:pPr>
    </w:p>
    <w:p w14:paraId="4D746400" w14:textId="77777777" w:rsidR="00D3179A" w:rsidRDefault="00D3179A" w:rsidP="009F3407">
      <w:pPr>
        <w:pStyle w:val="BodyA"/>
        <w:jc w:val="center"/>
        <w:rPr>
          <w:sz w:val="28"/>
          <w:szCs w:val="28"/>
          <w:lang w:val="it-IT"/>
        </w:rPr>
      </w:pPr>
    </w:p>
    <w:p w14:paraId="77BFFC57" w14:textId="1B409416" w:rsidR="00D3179A" w:rsidRDefault="00D3179A" w:rsidP="009F3407">
      <w:pPr>
        <w:pStyle w:val="BodyA"/>
        <w:jc w:val="center"/>
        <w:rPr>
          <w:sz w:val="28"/>
          <w:szCs w:val="28"/>
          <w:lang w:val="it-IT"/>
        </w:rPr>
      </w:pPr>
    </w:p>
    <w:p w14:paraId="177DDAD9" w14:textId="52417BEA" w:rsidR="00D3179A" w:rsidRDefault="00D3179A" w:rsidP="009F3407">
      <w:pPr>
        <w:pStyle w:val="BodyA"/>
        <w:jc w:val="center"/>
        <w:rPr>
          <w:sz w:val="28"/>
          <w:szCs w:val="28"/>
          <w:lang w:val="it-IT"/>
        </w:rPr>
      </w:pPr>
    </w:p>
    <w:tbl>
      <w:tblPr>
        <w:tblW w:w="5000" w:type="pct"/>
        <w:jc w:val="center"/>
        <w:tblLook w:val="04A0" w:firstRow="1" w:lastRow="0" w:firstColumn="1" w:lastColumn="0" w:noHBand="0" w:noVBand="1"/>
      </w:tblPr>
      <w:tblGrid>
        <w:gridCol w:w="489"/>
        <w:gridCol w:w="1370"/>
        <w:gridCol w:w="1253"/>
        <w:gridCol w:w="1027"/>
        <w:gridCol w:w="1082"/>
        <w:gridCol w:w="1640"/>
        <w:gridCol w:w="1640"/>
        <w:gridCol w:w="1328"/>
        <w:gridCol w:w="1439"/>
        <w:gridCol w:w="1573"/>
        <w:gridCol w:w="1107"/>
      </w:tblGrid>
      <w:tr w:rsidR="00D3179A" w:rsidRPr="00D3179A" w14:paraId="3887F754" w14:textId="77777777" w:rsidTr="00D3179A">
        <w:trPr>
          <w:trHeight w:val="180"/>
          <w:jc w:val="center"/>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07A74ED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D3179A">
              <w:rPr>
                <w:rFonts w:ascii="Arial" w:eastAsia="Times New Roman" w:hAnsi="Arial" w:cs="Arial"/>
                <w:b/>
                <w:bCs/>
                <w:color w:val="000000"/>
                <w:sz w:val="12"/>
                <w:szCs w:val="12"/>
                <w:bdr w:val="none" w:sz="0" w:space="0" w:color="auto"/>
              </w:rPr>
              <w:t>Programi i Përgjithshëm Analitik i Projektakteve për vitin 2024</w:t>
            </w:r>
          </w:p>
        </w:tc>
      </w:tr>
      <w:tr w:rsidR="00D3179A" w:rsidRPr="00D3179A" w14:paraId="45D22237" w14:textId="77777777" w:rsidTr="00D3179A">
        <w:trPr>
          <w:trHeight w:val="180"/>
          <w:jc w:val="center"/>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532822F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D3179A">
              <w:rPr>
                <w:rFonts w:ascii="Arial" w:eastAsia="Times New Roman" w:hAnsi="Arial" w:cs="Arial"/>
                <w:b/>
                <w:bCs/>
                <w:color w:val="000000"/>
                <w:sz w:val="12"/>
                <w:szCs w:val="12"/>
                <w:bdr w:val="none" w:sz="0" w:space="0" w:color="auto"/>
              </w:rPr>
              <w:t>Ministria e Arsimit dhe Sportit</w:t>
            </w:r>
          </w:p>
        </w:tc>
      </w:tr>
      <w:tr w:rsidR="00D3179A" w:rsidRPr="00D3179A" w14:paraId="5B60413E"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000000" w:fill="C00000"/>
            <w:vAlign w:val="center"/>
            <w:hideMark/>
          </w:tcPr>
          <w:p w14:paraId="2977729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Nr.</w:t>
            </w:r>
          </w:p>
        </w:tc>
        <w:tc>
          <w:tcPr>
            <w:tcW w:w="491" w:type="pct"/>
            <w:tcBorders>
              <w:top w:val="nil"/>
              <w:left w:val="nil"/>
              <w:bottom w:val="single" w:sz="4" w:space="0" w:color="auto"/>
              <w:right w:val="single" w:sz="4" w:space="0" w:color="auto"/>
            </w:tcBorders>
            <w:shd w:val="clear" w:color="000000" w:fill="C00000"/>
            <w:vAlign w:val="center"/>
            <w:hideMark/>
          </w:tcPr>
          <w:p w14:paraId="667315A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Titulli i projektaktit</w:t>
            </w:r>
          </w:p>
        </w:tc>
        <w:tc>
          <w:tcPr>
            <w:tcW w:w="449" w:type="pct"/>
            <w:tcBorders>
              <w:top w:val="nil"/>
              <w:left w:val="nil"/>
              <w:bottom w:val="single" w:sz="4" w:space="0" w:color="auto"/>
              <w:right w:val="single" w:sz="4" w:space="0" w:color="auto"/>
            </w:tcBorders>
            <w:shd w:val="clear" w:color="000000" w:fill="C00000"/>
            <w:vAlign w:val="center"/>
            <w:hideMark/>
          </w:tcPr>
          <w:p w14:paraId="681317A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Lloji i projektaktit</w:t>
            </w:r>
          </w:p>
        </w:tc>
        <w:tc>
          <w:tcPr>
            <w:tcW w:w="368" w:type="pct"/>
            <w:tcBorders>
              <w:top w:val="nil"/>
              <w:left w:val="nil"/>
              <w:bottom w:val="single" w:sz="4" w:space="0" w:color="auto"/>
              <w:right w:val="single" w:sz="4" w:space="0" w:color="auto"/>
            </w:tcBorders>
            <w:shd w:val="clear" w:color="000000" w:fill="C00000"/>
            <w:vAlign w:val="center"/>
            <w:hideMark/>
          </w:tcPr>
          <w:p w14:paraId="3F7FA6B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Ministri propozues</w:t>
            </w:r>
          </w:p>
        </w:tc>
        <w:tc>
          <w:tcPr>
            <w:tcW w:w="388" w:type="pct"/>
            <w:tcBorders>
              <w:top w:val="nil"/>
              <w:left w:val="nil"/>
              <w:bottom w:val="single" w:sz="4" w:space="0" w:color="auto"/>
              <w:right w:val="single" w:sz="4" w:space="0" w:color="auto"/>
            </w:tcBorders>
            <w:shd w:val="clear" w:color="000000" w:fill="C00000"/>
            <w:vAlign w:val="center"/>
            <w:hideMark/>
          </w:tcPr>
          <w:p w14:paraId="1F2C22D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Katër mujori</w:t>
            </w:r>
          </w:p>
        </w:tc>
        <w:tc>
          <w:tcPr>
            <w:tcW w:w="588" w:type="pct"/>
            <w:tcBorders>
              <w:top w:val="nil"/>
              <w:left w:val="nil"/>
              <w:bottom w:val="single" w:sz="4" w:space="0" w:color="auto"/>
              <w:right w:val="single" w:sz="4" w:space="0" w:color="auto"/>
            </w:tcBorders>
            <w:shd w:val="clear" w:color="000000" w:fill="C00000"/>
            <w:vAlign w:val="center"/>
            <w:hideMark/>
          </w:tcPr>
          <w:p w14:paraId="7B41297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Arsyet kryesore për propozimin e projektaktit</w:t>
            </w:r>
          </w:p>
        </w:tc>
        <w:tc>
          <w:tcPr>
            <w:tcW w:w="588" w:type="pct"/>
            <w:tcBorders>
              <w:top w:val="nil"/>
              <w:left w:val="nil"/>
              <w:bottom w:val="single" w:sz="4" w:space="0" w:color="auto"/>
              <w:right w:val="single" w:sz="4" w:space="0" w:color="auto"/>
            </w:tcBorders>
            <w:shd w:val="clear" w:color="000000" w:fill="C00000"/>
            <w:vAlign w:val="center"/>
            <w:hideMark/>
          </w:tcPr>
          <w:p w14:paraId="0DE1474D"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 xml:space="preserve">Çështjet kryesore që parashikon të rregullojë projektakti </w:t>
            </w:r>
          </w:p>
        </w:tc>
        <w:tc>
          <w:tcPr>
            <w:tcW w:w="476" w:type="pct"/>
            <w:tcBorders>
              <w:top w:val="nil"/>
              <w:left w:val="nil"/>
              <w:bottom w:val="single" w:sz="4" w:space="0" w:color="auto"/>
              <w:right w:val="single" w:sz="4" w:space="0" w:color="auto"/>
            </w:tcBorders>
            <w:shd w:val="clear" w:color="000000" w:fill="C00000"/>
            <w:vAlign w:val="center"/>
            <w:hideMark/>
          </w:tcPr>
          <w:p w14:paraId="167912F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A është parashikuar projektakti në PKIE?</w:t>
            </w:r>
            <w:r w:rsidRPr="00D3179A">
              <w:rPr>
                <w:rFonts w:ascii="Arial" w:eastAsia="Times New Roman" w:hAnsi="Arial" w:cs="Arial"/>
                <w:b/>
                <w:bCs/>
                <w:color w:val="FFFFFF"/>
                <w:sz w:val="12"/>
                <w:szCs w:val="12"/>
                <w:bdr w:val="none" w:sz="0" w:space="0" w:color="auto"/>
              </w:rPr>
              <w:br/>
            </w:r>
            <w:r w:rsidRPr="00D3179A">
              <w:rPr>
                <w:rFonts w:ascii="Arial" w:eastAsia="Times New Roman" w:hAnsi="Arial" w:cs="Arial"/>
                <w:b/>
                <w:bCs/>
                <w:color w:val="FFFFFF"/>
                <w:sz w:val="12"/>
                <w:szCs w:val="12"/>
                <w:bdr w:val="none" w:sz="0" w:space="0" w:color="auto"/>
              </w:rPr>
              <w:br/>
              <w:t>Nëse po, të specifikohet kapitulli përkatës</w:t>
            </w:r>
          </w:p>
        </w:tc>
        <w:tc>
          <w:tcPr>
            <w:tcW w:w="516" w:type="pct"/>
            <w:tcBorders>
              <w:top w:val="nil"/>
              <w:left w:val="nil"/>
              <w:bottom w:val="single" w:sz="4" w:space="0" w:color="auto"/>
              <w:right w:val="single" w:sz="4" w:space="0" w:color="auto"/>
            </w:tcBorders>
            <w:shd w:val="clear" w:color="000000" w:fill="C00000"/>
            <w:vAlign w:val="center"/>
            <w:hideMark/>
          </w:tcPr>
          <w:p w14:paraId="3DD8635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Përputhshmëria e projektaktit me programin politik qeverisës 2021-2025</w:t>
            </w:r>
            <w:r w:rsidRPr="00D3179A">
              <w:rPr>
                <w:rFonts w:ascii="Arial" w:eastAsia="Times New Roman" w:hAnsi="Arial" w:cs="Arial"/>
                <w:b/>
                <w:bCs/>
                <w:color w:val="FFFFFF"/>
                <w:sz w:val="12"/>
                <w:szCs w:val="12"/>
                <w:bdr w:val="none" w:sz="0" w:space="0" w:color="auto"/>
              </w:rPr>
              <w:br/>
            </w:r>
            <w:r w:rsidRPr="00D3179A">
              <w:rPr>
                <w:rFonts w:ascii="Arial" w:eastAsia="Times New Roman" w:hAnsi="Arial" w:cs="Arial"/>
                <w:b/>
                <w:bCs/>
                <w:color w:val="FFFFFF"/>
                <w:sz w:val="12"/>
                <w:szCs w:val="12"/>
                <w:bdr w:val="none" w:sz="0" w:space="0" w:color="auto"/>
              </w:rPr>
              <w:br/>
              <w:t>Nëse përputhet, të jepet  referenca e saktë në progam</w:t>
            </w:r>
          </w:p>
        </w:tc>
        <w:tc>
          <w:tcPr>
            <w:tcW w:w="564" w:type="pct"/>
            <w:tcBorders>
              <w:top w:val="nil"/>
              <w:left w:val="nil"/>
              <w:bottom w:val="single" w:sz="4" w:space="0" w:color="auto"/>
              <w:right w:val="single" w:sz="4" w:space="0" w:color="auto"/>
            </w:tcBorders>
            <w:shd w:val="clear" w:color="000000" w:fill="C00000"/>
            <w:vAlign w:val="center"/>
            <w:hideMark/>
          </w:tcPr>
          <w:p w14:paraId="3167FED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Lidhja e projektaktit me strategjitë kombëtare dhe sektoriale</w:t>
            </w:r>
            <w:r w:rsidRPr="00D3179A">
              <w:rPr>
                <w:rFonts w:ascii="Arial" w:eastAsia="Times New Roman" w:hAnsi="Arial" w:cs="Arial"/>
                <w:b/>
                <w:bCs/>
                <w:color w:val="FFFFFF"/>
                <w:sz w:val="12"/>
                <w:szCs w:val="12"/>
                <w:bdr w:val="none" w:sz="0" w:space="0" w:color="auto"/>
              </w:rPr>
              <w:br/>
            </w:r>
            <w:r w:rsidRPr="00D3179A">
              <w:rPr>
                <w:rFonts w:ascii="Arial" w:eastAsia="Times New Roman" w:hAnsi="Arial" w:cs="Arial"/>
                <w:b/>
                <w:bCs/>
                <w:color w:val="FFFFFF"/>
                <w:sz w:val="12"/>
                <w:szCs w:val="12"/>
                <w:bdr w:val="none" w:sz="0" w:space="0" w:color="auto"/>
              </w:rPr>
              <w:br/>
              <w:t>Nëse lidhet, të specifikohen strategjitë</w:t>
            </w:r>
          </w:p>
        </w:tc>
        <w:tc>
          <w:tcPr>
            <w:tcW w:w="398" w:type="pct"/>
            <w:tcBorders>
              <w:top w:val="nil"/>
              <w:left w:val="nil"/>
              <w:bottom w:val="single" w:sz="4" w:space="0" w:color="auto"/>
              <w:right w:val="single" w:sz="4" w:space="0" w:color="auto"/>
            </w:tcBorders>
            <w:shd w:val="clear" w:color="000000" w:fill="C00000"/>
            <w:vAlign w:val="center"/>
            <w:hideMark/>
          </w:tcPr>
          <w:p w14:paraId="7DA91A3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D3179A">
              <w:rPr>
                <w:rFonts w:ascii="Arial" w:eastAsia="Times New Roman" w:hAnsi="Arial" w:cs="Arial"/>
                <w:b/>
                <w:bCs/>
                <w:color w:val="FFFFFF"/>
                <w:sz w:val="12"/>
                <w:szCs w:val="12"/>
                <w:bdr w:val="none" w:sz="0" w:space="0" w:color="auto"/>
              </w:rPr>
              <w:t>Ndikimet e mundshme ekonomike, financiare, sociale dhe mjedisore</w:t>
            </w:r>
            <w:r w:rsidRPr="00D3179A">
              <w:rPr>
                <w:rFonts w:ascii="Arial" w:eastAsia="Times New Roman" w:hAnsi="Arial" w:cs="Arial"/>
                <w:b/>
                <w:bCs/>
                <w:color w:val="FFFFFF"/>
                <w:sz w:val="12"/>
                <w:szCs w:val="12"/>
                <w:bdr w:val="none" w:sz="0" w:space="0" w:color="auto"/>
              </w:rPr>
              <w:br/>
            </w:r>
            <w:r w:rsidRPr="00D3179A">
              <w:rPr>
                <w:rFonts w:ascii="Arial" w:eastAsia="Times New Roman" w:hAnsi="Arial" w:cs="Arial"/>
                <w:b/>
                <w:bCs/>
                <w:color w:val="FFFFFF"/>
                <w:sz w:val="12"/>
                <w:szCs w:val="12"/>
                <w:bdr w:val="none" w:sz="0" w:space="0" w:color="auto"/>
              </w:rPr>
              <w:br/>
              <w:t xml:space="preserve">Përgjigjuni me Po/Jo për ndikimet përkatëse </w:t>
            </w:r>
          </w:p>
        </w:tc>
      </w:tr>
      <w:tr w:rsidR="00D3179A" w:rsidRPr="00D3179A" w14:paraId="2985CF05"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16B3D273"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1</w:t>
            </w:r>
          </w:p>
        </w:tc>
        <w:tc>
          <w:tcPr>
            <w:tcW w:w="491" w:type="pct"/>
            <w:tcBorders>
              <w:top w:val="nil"/>
              <w:left w:val="nil"/>
              <w:bottom w:val="single" w:sz="4" w:space="0" w:color="auto"/>
              <w:right w:val="single" w:sz="4" w:space="0" w:color="auto"/>
            </w:tcBorders>
            <w:shd w:val="clear" w:color="auto" w:fill="auto"/>
            <w:vAlign w:val="center"/>
            <w:hideMark/>
          </w:tcPr>
          <w:p w14:paraId="0B9D40F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"Për ratifikimin e memorandumit të mirëkuptimit ndërmjet Qeverisë së Republikës së Shqipërisë (Këshilli i Ministrave) dhe Qeverisë së Shteteve të Bashkuara të Amerikës për programin e shkëmbimit akademik "</w:t>
            </w:r>
            <w:r w:rsidRPr="00D3179A">
              <w:rPr>
                <w:rFonts w:ascii="Arial" w:eastAsia="Times New Roman" w:hAnsi="Arial" w:cs="Arial"/>
                <w:i/>
                <w:iCs/>
                <w:color w:val="000000"/>
                <w:sz w:val="12"/>
                <w:szCs w:val="12"/>
                <w:bdr w:val="none" w:sz="0" w:space="0" w:color="auto"/>
              </w:rPr>
              <w:t>Fulbright""</w:t>
            </w:r>
          </w:p>
        </w:tc>
        <w:tc>
          <w:tcPr>
            <w:tcW w:w="449" w:type="pct"/>
            <w:tcBorders>
              <w:top w:val="nil"/>
              <w:left w:val="nil"/>
              <w:bottom w:val="single" w:sz="4" w:space="0" w:color="auto"/>
              <w:right w:val="single" w:sz="4" w:space="0" w:color="auto"/>
            </w:tcBorders>
            <w:shd w:val="clear" w:color="auto" w:fill="auto"/>
            <w:vAlign w:val="center"/>
            <w:hideMark/>
          </w:tcPr>
          <w:p w14:paraId="2AD256F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Projektligj</w:t>
            </w:r>
          </w:p>
        </w:tc>
        <w:tc>
          <w:tcPr>
            <w:tcW w:w="368" w:type="pct"/>
            <w:tcBorders>
              <w:top w:val="nil"/>
              <w:left w:val="nil"/>
              <w:bottom w:val="single" w:sz="4" w:space="0" w:color="auto"/>
              <w:right w:val="single" w:sz="4" w:space="0" w:color="auto"/>
            </w:tcBorders>
            <w:shd w:val="clear" w:color="auto" w:fill="auto"/>
            <w:vAlign w:val="center"/>
            <w:hideMark/>
          </w:tcPr>
          <w:p w14:paraId="625F18A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754166C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690FDAC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sz w:val="12"/>
                <w:szCs w:val="12"/>
                <w:bdr w:val="none" w:sz="0" w:space="0" w:color="auto"/>
              </w:rPr>
              <w:t>Qëllimi i këtij projektligji</w:t>
            </w:r>
            <w:r w:rsidRPr="00D3179A">
              <w:rPr>
                <w:rFonts w:ascii="Arial" w:eastAsia="Times New Roman" w:hAnsi="Arial" w:cs="Arial"/>
                <w:color w:val="000000"/>
                <w:sz w:val="12"/>
                <w:szCs w:val="12"/>
                <w:bdr w:val="none" w:sz="0" w:space="0" w:color="auto"/>
              </w:rPr>
              <w:t xml:space="preserve"> është të forcojë dhe të zhvillojë lidhjet ndërmjet pjesëmarrësve në procesin e zbatimit të Programit të Shkëmbimit Akademik Fulbright  në arsim, kulturë, shkencë dhe punë kërkimore, bazuar në kushte me përfitim të ndërsjellë ndërmjet palëve. Gjatë zbatimit të këtij Memorandumi, synohet të koordinohet menaxhimi i Programit "Fulbright" në Republikën e Shqipërisë, organizimi i përzgjedhjes fillestare të kandidatëve për Programin "Fulbright", zhvillimi i aktiviteteve mësimore dhe shkencore, si dhe analiza e potencialit për shkëmbime akademike shtesë.</w:t>
            </w:r>
          </w:p>
        </w:tc>
        <w:tc>
          <w:tcPr>
            <w:tcW w:w="588" w:type="pct"/>
            <w:tcBorders>
              <w:top w:val="nil"/>
              <w:left w:val="nil"/>
              <w:bottom w:val="single" w:sz="4" w:space="0" w:color="auto"/>
              <w:right w:val="single" w:sz="4" w:space="0" w:color="auto"/>
            </w:tcBorders>
            <w:shd w:val="clear" w:color="auto" w:fill="auto"/>
            <w:vAlign w:val="center"/>
            <w:hideMark/>
          </w:tcPr>
          <w:p w14:paraId="20489DB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Nëpërmjet këtij projektligji synohet rinovimi dhe përditësimi i ligjit nr. 93/2019, "Për ratifikimin e memorandumit të mirëkuptimit ndërmjet Qeverisë së Republikës së Shqipërisë (Këshilli i Ministrave) dhe Qeverisë së Shteteve të Bashkuara të Amerikës për programin e shkëmbimit akademik "Fulbright"", afati i vlefshmërisë së të cilit përfunon në vitin 2024, nxitja e bashkëpunimit ndërmjet institucioneve arsimore, shkencore dhe kërkimore në të dy vendet dhe inkurajimin e përmirësimit të kualifikimeve të profesionistëve akademikë, studiuesve, pedagogëve dhe studentëve, si dhe nxitjen e projekteve të përbashkëta kërkimore-shkencore, ndërmjet palëve.</w:t>
            </w:r>
          </w:p>
        </w:tc>
        <w:tc>
          <w:tcPr>
            <w:tcW w:w="476" w:type="pct"/>
            <w:tcBorders>
              <w:top w:val="nil"/>
              <w:left w:val="nil"/>
              <w:bottom w:val="single" w:sz="4" w:space="0" w:color="auto"/>
              <w:right w:val="single" w:sz="4" w:space="0" w:color="auto"/>
            </w:tcBorders>
            <w:shd w:val="clear" w:color="auto" w:fill="auto"/>
            <w:vAlign w:val="center"/>
            <w:hideMark/>
          </w:tcPr>
          <w:p w14:paraId="1CD67F3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6BDC559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 Po. Fusha e arsimit.</w:t>
            </w:r>
          </w:p>
        </w:tc>
        <w:tc>
          <w:tcPr>
            <w:tcW w:w="564" w:type="pct"/>
            <w:tcBorders>
              <w:top w:val="nil"/>
              <w:left w:val="nil"/>
              <w:bottom w:val="single" w:sz="4" w:space="0" w:color="auto"/>
              <w:right w:val="single" w:sz="4" w:space="0" w:color="auto"/>
            </w:tcBorders>
            <w:shd w:val="clear" w:color="auto" w:fill="auto"/>
            <w:vAlign w:val="center"/>
            <w:hideMark/>
          </w:tcPr>
          <w:p w14:paraId="7ECCB3E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0E1DD51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dhe  sociale, por nuk ka efekte mjedisore.</w:t>
            </w:r>
          </w:p>
        </w:tc>
      </w:tr>
      <w:tr w:rsidR="00D3179A" w:rsidRPr="00D3179A" w14:paraId="5EBFF94D"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0D63B49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2</w:t>
            </w:r>
          </w:p>
        </w:tc>
        <w:tc>
          <w:tcPr>
            <w:tcW w:w="491" w:type="pct"/>
            <w:tcBorders>
              <w:top w:val="nil"/>
              <w:left w:val="nil"/>
              <w:bottom w:val="nil"/>
              <w:right w:val="nil"/>
            </w:tcBorders>
            <w:shd w:val="clear" w:color="auto" w:fill="auto"/>
            <w:vAlign w:val="bottom"/>
            <w:hideMark/>
          </w:tcPr>
          <w:p w14:paraId="4514643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“Për ratifikimin e marrëveshjes ndërmjet Këshillit të Ministrave të Republikës së Shqipërisë dhe Qeverisë së Republikës së Kosovës në fushën e arsimit të lartë dhe kërkimit shkencor”</w:t>
            </w:r>
          </w:p>
        </w:tc>
        <w:tc>
          <w:tcPr>
            <w:tcW w:w="449" w:type="pct"/>
            <w:tcBorders>
              <w:top w:val="nil"/>
              <w:left w:val="single" w:sz="4" w:space="0" w:color="auto"/>
              <w:bottom w:val="single" w:sz="4" w:space="0" w:color="auto"/>
              <w:right w:val="single" w:sz="4" w:space="0" w:color="auto"/>
            </w:tcBorders>
            <w:shd w:val="clear" w:color="auto" w:fill="auto"/>
            <w:vAlign w:val="center"/>
            <w:hideMark/>
          </w:tcPr>
          <w:p w14:paraId="3A557DE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Projektligj</w:t>
            </w:r>
          </w:p>
        </w:tc>
        <w:tc>
          <w:tcPr>
            <w:tcW w:w="368" w:type="pct"/>
            <w:tcBorders>
              <w:top w:val="nil"/>
              <w:left w:val="nil"/>
              <w:bottom w:val="single" w:sz="4" w:space="0" w:color="auto"/>
              <w:right w:val="single" w:sz="4" w:space="0" w:color="auto"/>
            </w:tcBorders>
            <w:shd w:val="clear" w:color="auto" w:fill="auto"/>
            <w:vAlign w:val="center"/>
            <w:hideMark/>
          </w:tcPr>
          <w:p w14:paraId="7CCAE9C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0F77EE6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0701E7B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Ky projektligj ka për qëllim ratifikimin e marrëveshjes ndërmjet Këshillit të</w:t>
            </w:r>
            <w:r w:rsidRPr="00D3179A">
              <w:rPr>
                <w:rFonts w:ascii="Arial" w:eastAsia="Times New Roman" w:hAnsi="Arial" w:cs="Arial"/>
                <w:color w:val="000000"/>
                <w:sz w:val="12"/>
                <w:szCs w:val="12"/>
                <w:bdr w:val="none" w:sz="0" w:space="0" w:color="auto"/>
              </w:rPr>
              <w:br/>
              <w:t xml:space="preserve">Ministrave të Republikës së Shqipërisë dhe Qeverisë së Republikës së Kosovës </w:t>
            </w:r>
            <w:r w:rsidRPr="00D3179A">
              <w:rPr>
                <w:rFonts w:ascii="Arial" w:eastAsia="Times New Roman" w:hAnsi="Arial" w:cs="Arial"/>
                <w:color w:val="000000"/>
                <w:sz w:val="12"/>
                <w:szCs w:val="12"/>
                <w:bdr w:val="none" w:sz="0" w:space="0" w:color="auto"/>
              </w:rPr>
              <w:br/>
              <w:t>në fushën e arsimit të lartë dhe kërkimit shkencor.</w:t>
            </w:r>
            <w:r w:rsidRPr="00D3179A">
              <w:rPr>
                <w:rFonts w:ascii="Arial" w:eastAsia="Times New Roman" w:hAnsi="Arial" w:cs="Arial"/>
                <w:color w:val="000000"/>
                <w:sz w:val="12"/>
                <w:szCs w:val="12"/>
                <w:bdr w:val="none" w:sz="0" w:space="0" w:color="auto"/>
              </w:rPr>
              <w:br/>
              <w:t xml:space="preserve">Kjo marrëveshje është miratuar në parim nëpërmjet vendimit nr. 354, datë </w:t>
            </w:r>
            <w:r w:rsidRPr="00D3179A">
              <w:rPr>
                <w:rFonts w:ascii="Arial" w:eastAsia="Times New Roman" w:hAnsi="Arial" w:cs="Arial"/>
                <w:color w:val="000000"/>
                <w:sz w:val="12"/>
                <w:szCs w:val="12"/>
                <w:bdr w:val="none" w:sz="0" w:space="0" w:color="auto"/>
              </w:rPr>
              <w:br/>
              <w:t xml:space="preserve">7.6.2023 të Këshillit të Ministrave për “Miratimin në parim të Marrëveshjes </w:t>
            </w:r>
            <w:r w:rsidRPr="00D3179A">
              <w:rPr>
                <w:rFonts w:ascii="Arial" w:eastAsia="Times New Roman" w:hAnsi="Arial" w:cs="Arial"/>
                <w:color w:val="000000"/>
                <w:sz w:val="12"/>
                <w:szCs w:val="12"/>
                <w:bdr w:val="none" w:sz="0" w:space="0" w:color="auto"/>
              </w:rPr>
              <w:br/>
              <w:t xml:space="preserve">ndërmjet Këshillit të Ministrave të Republikës së Shqipërisë dhe Qeverisë së </w:t>
            </w:r>
            <w:r w:rsidRPr="00D3179A">
              <w:rPr>
                <w:rFonts w:ascii="Arial" w:eastAsia="Times New Roman" w:hAnsi="Arial" w:cs="Arial"/>
                <w:color w:val="000000"/>
                <w:sz w:val="12"/>
                <w:szCs w:val="12"/>
                <w:bdr w:val="none" w:sz="0" w:space="0" w:color="auto"/>
              </w:rPr>
              <w:br/>
              <w:t xml:space="preserve">Republikës së Kosovës në fushën e arsimit të lartë dhe kërkimit shkencor”. </w:t>
            </w:r>
            <w:r w:rsidRPr="00D3179A">
              <w:rPr>
                <w:rFonts w:ascii="Arial" w:eastAsia="Times New Roman" w:hAnsi="Arial" w:cs="Arial"/>
                <w:color w:val="000000"/>
                <w:sz w:val="12"/>
                <w:szCs w:val="12"/>
                <w:bdr w:val="none" w:sz="0" w:space="0" w:color="auto"/>
              </w:rPr>
              <w:br/>
              <w:t xml:space="preserve">Marrëveshja ndërmjet Këshillit të Ministrave të Republikës së Shqipërisë dhe </w:t>
            </w:r>
            <w:r w:rsidRPr="00D3179A">
              <w:rPr>
                <w:rFonts w:ascii="Arial" w:eastAsia="Times New Roman" w:hAnsi="Arial" w:cs="Arial"/>
                <w:color w:val="000000"/>
                <w:sz w:val="12"/>
                <w:szCs w:val="12"/>
                <w:bdr w:val="none" w:sz="0" w:space="0" w:color="auto"/>
              </w:rPr>
              <w:br/>
              <w:t xml:space="preserve">Qeverisë së Republikës së Kosovës në fushën e arsimit të lartë dhe kërkimit </w:t>
            </w:r>
            <w:r w:rsidRPr="00D3179A">
              <w:rPr>
                <w:rFonts w:ascii="Arial" w:eastAsia="Times New Roman" w:hAnsi="Arial" w:cs="Arial"/>
                <w:color w:val="000000"/>
                <w:sz w:val="12"/>
                <w:szCs w:val="12"/>
                <w:bdr w:val="none" w:sz="0" w:space="0" w:color="auto"/>
              </w:rPr>
              <w:br/>
              <w:t>shkencor, është nënshkruar më 5 Korrik 2023 nga palët.</w:t>
            </w:r>
            <w:r w:rsidRPr="00D3179A">
              <w:rPr>
                <w:rFonts w:ascii="Arial" w:eastAsia="Times New Roman" w:hAnsi="Arial" w:cs="Arial"/>
                <w:color w:val="000000"/>
                <w:sz w:val="12"/>
                <w:szCs w:val="12"/>
                <w:bdr w:val="none" w:sz="0" w:space="0" w:color="auto"/>
              </w:rPr>
              <w:br/>
              <w:t xml:space="preserve">Me anë të kësaj marrëveshjeje synohet forcimi i marrëvdhënieve ndërmjet dy </w:t>
            </w:r>
            <w:r w:rsidRPr="00D3179A">
              <w:rPr>
                <w:rFonts w:ascii="Arial" w:eastAsia="Times New Roman" w:hAnsi="Arial" w:cs="Arial"/>
                <w:color w:val="000000"/>
                <w:sz w:val="12"/>
                <w:szCs w:val="12"/>
                <w:bdr w:val="none" w:sz="0" w:space="0" w:color="auto"/>
              </w:rPr>
              <w:br/>
              <w:t xml:space="preserve">shteteve përmes bashkëpunimit dypalësh në fushën e arsimit të lartë dhe </w:t>
            </w:r>
            <w:r w:rsidRPr="00D3179A">
              <w:rPr>
                <w:rFonts w:ascii="Arial" w:eastAsia="Times New Roman" w:hAnsi="Arial" w:cs="Arial"/>
                <w:color w:val="000000"/>
                <w:sz w:val="12"/>
                <w:szCs w:val="12"/>
                <w:bdr w:val="none" w:sz="0" w:space="0" w:color="auto"/>
              </w:rPr>
              <w:br/>
              <w:t xml:space="preserve">kërkimit shkencor, si dhe interesi për të zhvilluar bashkëpunimin arsimor dhe </w:t>
            </w:r>
            <w:r w:rsidRPr="00D3179A">
              <w:rPr>
                <w:rFonts w:ascii="Arial" w:eastAsia="Times New Roman" w:hAnsi="Arial" w:cs="Arial"/>
                <w:color w:val="000000"/>
                <w:sz w:val="12"/>
                <w:szCs w:val="12"/>
                <w:bdr w:val="none" w:sz="0" w:space="0" w:color="auto"/>
              </w:rPr>
              <w:br/>
              <w:t>shkencor me përfitim reciprok.</w:t>
            </w:r>
          </w:p>
        </w:tc>
        <w:tc>
          <w:tcPr>
            <w:tcW w:w="588" w:type="pct"/>
            <w:tcBorders>
              <w:top w:val="nil"/>
              <w:left w:val="nil"/>
              <w:bottom w:val="single" w:sz="4" w:space="0" w:color="auto"/>
              <w:right w:val="single" w:sz="4" w:space="0" w:color="auto"/>
            </w:tcBorders>
            <w:shd w:val="clear" w:color="auto" w:fill="auto"/>
            <w:vAlign w:val="center"/>
            <w:hideMark/>
          </w:tcPr>
          <w:p w14:paraId="6F2352C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Ky projektligj ka për qëllim ratifikimin e marrëveshjes ndërmjet Këshillit të Ministrave të Republikës së Shqipërisë dhe Qeverisë së Republikës së Kosovës në fushën e arsimit të lartë dhe kërkimit shkencor.</w:t>
            </w:r>
            <w:r w:rsidRPr="00D3179A">
              <w:rPr>
                <w:rFonts w:ascii="Arial" w:eastAsia="Times New Roman" w:hAnsi="Arial" w:cs="Arial"/>
                <w:color w:val="000000"/>
                <w:sz w:val="12"/>
                <w:szCs w:val="12"/>
                <w:bdr w:val="none" w:sz="0" w:space="0" w:color="auto"/>
              </w:rPr>
              <w:br/>
              <w:t xml:space="preserve">Kjo marrëveshje është miratuar në parim nëpërmjet vendimit nr. 354, datë 7.6.2023 të Këshillit të Ministrave për “Miratimin në parim të Marrëveshjes ndërmjet Këshillit të Ministrave të Republikës së Shqipërisë dhe Qeverisë së Republikës së Kosovës në fushën e arsimit të lartë dhe kërkimit shkencor”. </w:t>
            </w:r>
            <w:r w:rsidRPr="00D3179A">
              <w:rPr>
                <w:rFonts w:ascii="Arial" w:eastAsia="Times New Roman" w:hAnsi="Arial" w:cs="Arial"/>
                <w:color w:val="000000"/>
                <w:sz w:val="12"/>
                <w:szCs w:val="12"/>
                <w:bdr w:val="none" w:sz="0" w:space="0" w:color="auto"/>
              </w:rPr>
              <w:br/>
              <w:t>Marrëveshja ndërmjet Këshillit të Ministrave të Republikës së Shqipërisë dhe Qeverisë së Republikës së Kosovës në fushën e arsimit të lartë dhe kërkimit shkencor, është nënshkruar më 5 Korrik 2023 nga palët.</w:t>
            </w:r>
            <w:r w:rsidRPr="00D3179A">
              <w:rPr>
                <w:rFonts w:ascii="Arial" w:eastAsia="Times New Roman" w:hAnsi="Arial" w:cs="Arial"/>
                <w:color w:val="000000"/>
                <w:sz w:val="12"/>
                <w:szCs w:val="12"/>
                <w:bdr w:val="none" w:sz="0" w:space="0" w:color="auto"/>
              </w:rPr>
              <w:br/>
              <w:t>Me anë të kësaj marrëveshjeje synohet forcimi i marrëvdhënieve ndërmjet dy shteteve përmes bashkëpunimit dypalësh në fushën e arsimit të lartë dhe kërkimit shkencor, si dhe interesi për të zhvilluar bashkëpunimin arsimor dhe shkencor me përfitim reciprok.</w:t>
            </w:r>
          </w:p>
        </w:tc>
        <w:tc>
          <w:tcPr>
            <w:tcW w:w="476" w:type="pct"/>
            <w:tcBorders>
              <w:top w:val="nil"/>
              <w:left w:val="nil"/>
              <w:bottom w:val="single" w:sz="4" w:space="0" w:color="auto"/>
              <w:right w:val="single" w:sz="4" w:space="0" w:color="auto"/>
            </w:tcBorders>
            <w:shd w:val="clear" w:color="auto" w:fill="auto"/>
            <w:vAlign w:val="center"/>
            <w:hideMark/>
          </w:tcPr>
          <w:p w14:paraId="392CCEA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0700B57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413E2CB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0946087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dhe  sociale, por nuk ka efekte mjedisore.</w:t>
            </w:r>
          </w:p>
        </w:tc>
      </w:tr>
      <w:tr w:rsidR="00D3179A" w:rsidRPr="00D3179A" w14:paraId="362187C2"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05CBD5A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3</w:t>
            </w:r>
          </w:p>
        </w:tc>
        <w:tc>
          <w:tcPr>
            <w:tcW w:w="491" w:type="pct"/>
            <w:tcBorders>
              <w:top w:val="single" w:sz="4" w:space="0" w:color="auto"/>
              <w:left w:val="nil"/>
              <w:bottom w:val="single" w:sz="4" w:space="0" w:color="auto"/>
              <w:right w:val="single" w:sz="4" w:space="0" w:color="auto"/>
            </w:tcBorders>
            <w:shd w:val="clear" w:color="auto" w:fill="auto"/>
            <w:vAlign w:val="center"/>
            <w:hideMark/>
          </w:tcPr>
          <w:p w14:paraId="77D0BAA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"Për disa ndryshime në vendimin nr. 789, datë 15.12.2021 të Këshillit të Ministrave,"Për kriteret, mënyrën e shpërblimit dhe trajtimin e sportistëve, që përfitojnë statusin e nivelit të lartë, dhe trajnerëve të tyre""</w:t>
            </w:r>
          </w:p>
        </w:tc>
        <w:tc>
          <w:tcPr>
            <w:tcW w:w="449" w:type="pct"/>
            <w:tcBorders>
              <w:top w:val="nil"/>
              <w:left w:val="nil"/>
              <w:bottom w:val="single" w:sz="4" w:space="0" w:color="auto"/>
              <w:right w:val="single" w:sz="4" w:space="0" w:color="auto"/>
            </w:tcBorders>
            <w:shd w:val="clear" w:color="auto" w:fill="auto"/>
            <w:vAlign w:val="center"/>
            <w:hideMark/>
          </w:tcPr>
          <w:p w14:paraId="1D95F8C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w:t>
            </w:r>
          </w:p>
        </w:tc>
        <w:tc>
          <w:tcPr>
            <w:tcW w:w="368" w:type="pct"/>
            <w:tcBorders>
              <w:top w:val="nil"/>
              <w:left w:val="nil"/>
              <w:bottom w:val="single" w:sz="4" w:space="0" w:color="auto"/>
              <w:right w:val="single" w:sz="4" w:space="0" w:color="auto"/>
            </w:tcBorders>
            <w:shd w:val="clear" w:color="auto" w:fill="auto"/>
            <w:vAlign w:val="center"/>
            <w:hideMark/>
          </w:tcPr>
          <w:p w14:paraId="1D75CF3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4B9B8AE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292BDD64"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Hartimi i projektvendimit, “Për disa ndryshime në vendimin të Këshillit të Ministrave nr. 789, datë 15.12.2021 "Për kriteret, mënyrën e shpërblimit dhe trajtimin e sportistëve, që përfitojnë statusin e nivelit të lartë, dhe trajnerëve të tyre"", propozohet për të mundësuar përcaktimin dhe kategorizimin sa më të qartë të përfituesve të statusit të sportistit elitar.</w:t>
            </w:r>
          </w:p>
        </w:tc>
        <w:tc>
          <w:tcPr>
            <w:tcW w:w="588" w:type="pct"/>
            <w:tcBorders>
              <w:top w:val="nil"/>
              <w:left w:val="nil"/>
              <w:bottom w:val="single" w:sz="4" w:space="0" w:color="auto"/>
              <w:right w:val="single" w:sz="4" w:space="0" w:color="auto"/>
            </w:tcBorders>
            <w:shd w:val="clear" w:color="auto" w:fill="auto"/>
            <w:vAlign w:val="center"/>
            <w:hideMark/>
          </w:tcPr>
          <w:p w14:paraId="12D8FE4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Rishikimi i kritereve dhe kategorizimi i sporteve lidhur me qartësimin e procedurave për dhënien e statusit të sportistit elitar, ku të përcaktohet roli i analizave të dopingut në aktivitete ndërkombëtare dhe kombëtare. </w:t>
            </w:r>
          </w:p>
        </w:tc>
        <w:tc>
          <w:tcPr>
            <w:tcW w:w="476" w:type="pct"/>
            <w:tcBorders>
              <w:top w:val="nil"/>
              <w:left w:val="nil"/>
              <w:bottom w:val="single" w:sz="4" w:space="0" w:color="auto"/>
              <w:right w:val="single" w:sz="4" w:space="0" w:color="auto"/>
            </w:tcBorders>
            <w:shd w:val="clear" w:color="auto" w:fill="auto"/>
            <w:vAlign w:val="center"/>
            <w:hideMark/>
          </w:tcPr>
          <w:p w14:paraId="299F9F1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6BA62EA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Sportit.</w:t>
            </w:r>
          </w:p>
        </w:tc>
        <w:tc>
          <w:tcPr>
            <w:tcW w:w="564" w:type="pct"/>
            <w:tcBorders>
              <w:top w:val="nil"/>
              <w:left w:val="nil"/>
              <w:bottom w:val="single" w:sz="4" w:space="0" w:color="auto"/>
              <w:right w:val="single" w:sz="4" w:space="0" w:color="auto"/>
            </w:tcBorders>
            <w:shd w:val="clear" w:color="auto" w:fill="auto"/>
            <w:vAlign w:val="center"/>
            <w:hideMark/>
          </w:tcPr>
          <w:p w14:paraId="6157E66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042FBAE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dhe  sociale, por nuk ka efekte mjedisore.</w:t>
            </w:r>
          </w:p>
        </w:tc>
      </w:tr>
      <w:tr w:rsidR="00D3179A" w:rsidRPr="00D3179A" w14:paraId="39E17C92"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3F61E98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4</w:t>
            </w:r>
          </w:p>
        </w:tc>
        <w:tc>
          <w:tcPr>
            <w:tcW w:w="491" w:type="pct"/>
            <w:tcBorders>
              <w:top w:val="nil"/>
              <w:left w:val="nil"/>
              <w:bottom w:val="single" w:sz="4" w:space="0" w:color="auto"/>
              <w:right w:val="single" w:sz="4" w:space="0" w:color="auto"/>
            </w:tcBorders>
            <w:shd w:val="clear" w:color="auto" w:fill="auto"/>
            <w:vAlign w:val="center"/>
            <w:hideMark/>
          </w:tcPr>
          <w:p w14:paraId="2A48C7E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"Për disa shtesa dhe ndryshime në vendimin nr. 255, datë 09.05.2018, të Këshillit të Ministrave, "Përcaktimin e përbërjës strukuturore e të shpërblimit të anëtarëve të Këshillin e Lartë të Sportit"</w:t>
            </w:r>
          </w:p>
        </w:tc>
        <w:tc>
          <w:tcPr>
            <w:tcW w:w="449" w:type="pct"/>
            <w:tcBorders>
              <w:top w:val="nil"/>
              <w:left w:val="nil"/>
              <w:bottom w:val="single" w:sz="4" w:space="0" w:color="auto"/>
              <w:right w:val="single" w:sz="4" w:space="0" w:color="auto"/>
            </w:tcBorders>
            <w:shd w:val="clear" w:color="auto" w:fill="auto"/>
            <w:vAlign w:val="center"/>
            <w:hideMark/>
          </w:tcPr>
          <w:p w14:paraId="45296C9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w:t>
            </w:r>
          </w:p>
        </w:tc>
        <w:tc>
          <w:tcPr>
            <w:tcW w:w="368" w:type="pct"/>
            <w:tcBorders>
              <w:top w:val="nil"/>
              <w:left w:val="nil"/>
              <w:bottom w:val="single" w:sz="4" w:space="0" w:color="auto"/>
              <w:right w:val="single" w:sz="4" w:space="0" w:color="auto"/>
            </w:tcBorders>
            <w:shd w:val="clear" w:color="auto" w:fill="auto"/>
            <w:vAlign w:val="center"/>
            <w:hideMark/>
          </w:tcPr>
          <w:p w14:paraId="6137B2D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30D602E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1D3B503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Përditësimi në lidhje me ndryshimin e përbërjes strukturore të Këshillit, me qëllim përcaktimin për përfaqësimin e institucioneve të cilat merren me hartimin dhe zhvillimin e politikave në fushën e sportit.  </w:t>
            </w:r>
          </w:p>
        </w:tc>
        <w:tc>
          <w:tcPr>
            <w:tcW w:w="588" w:type="pct"/>
            <w:tcBorders>
              <w:top w:val="nil"/>
              <w:left w:val="nil"/>
              <w:bottom w:val="single" w:sz="4" w:space="0" w:color="auto"/>
              <w:right w:val="single" w:sz="4" w:space="0" w:color="auto"/>
            </w:tcBorders>
            <w:shd w:val="clear" w:color="auto" w:fill="auto"/>
            <w:vAlign w:val="center"/>
            <w:hideMark/>
          </w:tcPr>
          <w:p w14:paraId="0780E2BD"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Përditësimi në lidhje me ndryshimin e përbërjes strukturore të Këshillit, me qëllim përcaktimin për përfaqësimin e institucioneve të cilat merren me hartimin dhe zhvillimin e politikave në fushën e sportit.  </w:t>
            </w:r>
          </w:p>
        </w:tc>
        <w:tc>
          <w:tcPr>
            <w:tcW w:w="476" w:type="pct"/>
            <w:tcBorders>
              <w:top w:val="nil"/>
              <w:left w:val="nil"/>
              <w:bottom w:val="single" w:sz="4" w:space="0" w:color="auto"/>
              <w:right w:val="single" w:sz="4" w:space="0" w:color="auto"/>
            </w:tcBorders>
            <w:shd w:val="clear" w:color="auto" w:fill="auto"/>
            <w:vAlign w:val="center"/>
            <w:hideMark/>
          </w:tcPr>
          <w:p w14:paraId="76872C3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3AB77B9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Sportit.</w:t>
            </w:r>
          </w:p>
        </w:tc>
        <w:tc>
          <w:tcPr>
            <w:tcW w:w="564" w:type="pct"/>
            <w:tcBorders>
              <w:top w:val="nil"/>
              <w:left w:val="nil"/>
              <w:bottom w:val="single" w:sz="4" w:space="0" w:color="auto"/>
              <w:right w:val="single" w:sz="4" w:space="0" w:color="auto"/>
            </w:tcBorders>
            <w:shd w:val="clear" w:color="auto" w:fill="auto"/>
            <w:vAlign w:val="center"/>
            <w:hideMark/>
          </w:tcPr>
          <w:p w14:paraId="2C0C37D4"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6BC684C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Nuk ka efekte sociale dhe mjedisore.</w:t>
            </w:r>
          </w:p>
        </w:tc>
      </w:tr>
      <w:tr w:rsidR="00D3179A" w:rsidRPr="00D3179A" w14:paraId="334DB551"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1A74CDA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5</w:t>
            </w:r>
          </w:p>
        </w:tc>
        <w:tc>
          <w:tcPr>
            <w:tcW w:w="491" w:type="pct"/>
            <w:tcBorders>
              <w:top w:val="nil"/>
              <w:left w:val="nil"/>
              <w:bottom w:val="single" w:sz="4" w:space="0" w:color="auto"/>
              <w:right w:val="single" w:sz="4" w:space="0" w:color="auto"/>
            </w:tcBorders>
            <w:shd w:val="clear" w:color="auto" w:fill="auto"/>
            <w:vAlign w:val="center"/>
            <w:hideMark/>
          </w:tcPr>
          <w:p w14:paraId="0E012BC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 “Për disa shtesa dhe ndryshime në vendimin nr. 112, datë 23.2.2018, të Këshillit të Ministrave, “Për përcaktimin e kritereve për fitimin e gradës shkencore “Doktor” dhe të standardeve shtetërore për fitimin e titujve akademikë “Profesor i Asociuar” dhe “Profesor””, i ndryshuar </w:t>
            </w:r>
          </w:p>
        </w:tc>
        <w:tc>
          <w:tcPr>
            <w:tcW w:w="449" w:type="pct"/>
            <w:tcBorders>
              <w:top w:val="nil"/>
              <w:left w:val="nil"/>
              <w:bottom w:val="single" w:sz="4" w:space="0" w:color="auto"/>
              <w:right w:val="single" w:sz="4" w:space="0" w:color="auto"/>
            </w:tcBorders>
            <w:shd w:val="clear" w:color="auto" w:fill="auto"/>
            <w:noWrap/>
            <w:vAlign w:val="center"/>
            <w:hideMark/>
          </w:tcPr>
          <w:p w14:paraId="5DF90AB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w:t>
            </w:r>
          </w:p>
        </w:tc>
        <w:tc>
          <w:tcPr>
            <w:tcW w:w="368" w:type="pct"/>
            <w:tcBorders>
              <w:top w:val="nil"/>
              <w:left w:val="nil"/>
              <w:bottom w:val="single" w:sz="4" w:space="0" w:color="auto"/>
              <w:right w:val="single" w:sz="4" w:space="0" w:color="auto"/>
            </w:tcBorders>
            <w:shd w:val="clear" w:color="auto" w:fill="auto"/>
            <w:vAlign w:val="center"/>
            <w:hideMark/>
          </w:tcPr>
          <w:p w14:paraId="361C183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6EDAEA9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5F66D4E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Hartimi i këtij projektvendimi ka si qëllim t’u vijë në ndihmë</w:t>
            </w:r>
            <w:r w:rsidRPr="00D3179A">
              <w:rPr>
                <w:rFonts w:ascii="Arial" w:eastAsia="Times New Roman" w:hAnsi="Arial" w:cs="Arial"/>
                <w:sz w:val="12"/>
                <w:szCs w:val="12"/>
                <w:bdr w:val="none" w:sz="0" w:space="0" w:color="auto"/>
              </w:rPr>
              <w:t xml:space="preserve"> personelit akademik dhe institucioneve të arsimit të lartë,</w:t>
            </w:r>
            <w:r w:rsidRPr="00D3179A">
              <w:rPr>
                <w:rFonts w:ascii="Arial" w:eastAsia="Times New Roman" w:hAnsi="Arial" w:cs="Arial"/>
                <w:color w:val="000000"/>
                <w:sz w:val="12"/>
                <w:szCs w:val="12"/>
                <w:bdr w:val="none" w:sz="0" w:space="0" w:color="auto"/>
              </w:rPr>
              <w:t xml:space="preserve"> për përcaktimin e kritereve dhe procedurave dhe standardeve shtetërore për fitimin e gradave shkencore dhe titujve akademikë, me synim përmirësimin e cilësisë së arsimit që ofrojnë IAL-të publike dhe jopublike për studentët dhe shoqërinë në tërësi.</w:t>
            </w:r>
          </w:p>
        </w:tc>
        <w:tc>
          <w:tcPr>
            <w:tcW w:w="588" w:type="pct"/>
            <w:tcBorders>
              <w:top w:val="nil"/>
              <w:left w:val="nil"/>
              <w:bottom w:val="single" w:sz="4" w:space="0" w:color="auto"/>
              <w:right w:val="single" w:sz="4" w:space="0" w:color="auto"/>
            </w:tcBorders>
            <w:shd w:val="clear" w:color="auto" w:fill="auto"/>
            <w:vAlign w:val="center"/>
            <w:hideMark/>
          </w:tcPr>
          <w:p w14:paraId="0701D22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Hartimi i këtij projektvendimi ka si qëllim t’u vijë në ndihmë personelit akademik dhe institucioneve të arsimit të lartë, për përcaktimin e kritereve dhe procedurave dhe standardeve shtetërore për fitimin e gradave shkencore dhe titujve akademikë, me synim përmirësimin e cilësisë së arsimit që ofrojnë IAL-të publike dhe jopublike për studentët dhe shoqërinë në tërësi.</w:t>
            </w:r>
          </w:p>
        </w:tc>
        <w:tc>
          <w:tcPr>
            <w:tcW w:w="476" w:type="pct"/>
            <w:tcBorders>
              <w:top w:val="nil"/>
              <w:left w:val="nil"/>
              <w:bottom w:val="single" w:sz="4" w:space="0" w:color="auto"/>
              <w:right w:val="single" w:sz="4" w:space="0" w:color="auto"/>
            </w:tcBorders>
            <w:shd w:val="clear" w:color="auto" w:fill="auto"/>
            <w:vAlign w:val="center"/>
            <w:hideMark/>
          </w:tcPr>
          <w:p w14:paraId="6BE6B7F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0D2B79B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57E9EB6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43F89A8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Mund të ketë efekte financiare dhe sociale, por nuk ka efekte mjedisore.</w:t>
            </w:r>
          </w:p>
        </w:tc>
      </w:tr>
      <w:tr w:rsidR="00D3179A" w:rsidRPr="00D3179A" w14:paraId="76133488"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731B0B4"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6</w:t>
            </w:r>
          </w:p>
        </w:tc>
        <w:tc>
          <w:tcPr>
            <w:tcW w:w="491" w:type="pct"/>
            <w:tcBorders>
              <w:top w:val="nil"/>
              <w:left w:val="nil"/>
              <w:bottom w:val="single" w:sz="4" w:space="0" w:color="auto"/>
              <w:right w:val="single" w:sz="4" w:space="0" w:color="auto"/>
            </w:tcBorders>
            <w:shd w:val="clear" w:color="auto" w:fill="auto"/>
            <w:vAlign w:val="center"/>
            <w:hideMark/>
          </w:tcPr>
          <w:p w14:paraId="5854BFC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"Për organizimin dhe funksionimin e Qendrës së Botimeve për Diasporën"</w:t>
            </w:r>
          </w:p>
        </w:tc>
        <w:tc>
          <w:tcPr>
            <w:tcW w:w="449" w:type="pct"/>
            <w:tcBorders>
              <w:top w:val="nil"/>
              <w:left w:val="nil"/>
              <w:bottom w:val="single" w:sz="4" w:space="0" w:color="auto"/>
              <w:right w:val="single" w:sz="4" w:space="0" w:color="auto"/>
            </w:tcBorders>
            <w:shd w:val="clear" w:color="auto" w:fill="auto"/>
            <w:noWrap/>
            <w:vAlign w:val="center"/>
            <w:hideMark/>
          </w:tcPr>
          <w:p w14:paraId="464E460E"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w:t>
            </w:r>
          </w:p>
        </w:tc>
        <w:tc>
          <w:tcPr>
            <w:tcW w:w="368" w:type="pct"/>
            <w:tcBorders>
              <w:top w:val="nil"/>
              <w:left w:val="nil"/>
              <w:bottom w:val="single" w:sz="4" w:space="0" w:color="auto"/>
              <w:right w:val="single" w:sz="4" w:space="0" w:color="auto"/>
            </w:tcBorders>
            <w:shd w:val="clear" w:color="auto" w:fill="auto"/>
            <w:vAlign w:val="center"/>
            <w:hideMark/>
          </w:tcPr>
          <w:p w14:paraId="43E25E3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5E45BA6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340DBBE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Ky projektvendim ka për qëllim realizimin e një funksionimi sa më të mirë të Qendrës së Botimeve për Diasporën (QBD), si institucion në varësi të Ministrisë së Arsimit dhe Sportit, për mundësimin e ruajtjes, zhvillimit dhe mësimit të gjuhës shqipe dhe kulturës shqiptare në diasporë, përmes botimit, sigurimit të teksteve mësimore dhe materialeve plotësuese, si dhe mbështetjen e aktiviteteve për zhvillimin profesional të mësuesve të gjuhës shqipe dhe kulturës shqiptare në diasporë.</w:t>
            </w:r>
          </w:p>
        </w:tc>
        <w:tc>
          <w:tcPr>
            <w:tcW w:w="588" w:type="pct"/>
            <w:tcBorders>
              <w:top w:val="nil"/>
              <w:left w:val="nil"/>
              <w:bottom w:val="single" w:sz="4" w:space="0" w:color="auto"/>
              <w:right w:val="single" w:sz="4" w:space="0" w:color="auto"/>
            </w:tcBorders>
            <w:shd w:val="clear" w:color="auto" w:fill="auto"/>
            <w:vAlign w:val="center"/>
            <w:hideMark/>
          </w:tcPr>
          <w:p w14:paraId="0DEE00E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Ky projektvendim ka për qëllim realizimin e një funksionimi sa më të mirë të Qendrës së Botimeve për Diasporën (QBD), si institucion në varësi të Ministrisë së Arsimit dhe Sportit, për mundësimin e ruajtjes, zhvillimit dhe mësimit të gjuhës shqipe dhe kulturës shqiptare në diasporë, përmes botimit, sigurimit të teksteve mësimore dhe materialeve plotësuese, si dhe mbështetjen e aktiviteteve për zhvillimin profesional të mësuesve të gjuhës shqipe dhe kulturës shqiptare në diasporë.</w:t>
            </w:r>
          </w:p>
        </w:tc>
        <w:tc>
          <w:tcPr>
            <w:tcW w:w="476" w:type="pct"/>
            <w:tcBorders>
              <w:top w:val="nil"/>
              <w:left w:val="nil"/>
              <w:bottom w:val="single" w:sz="4" w:space="0" w:color="auto"/>
              <w:right w:val="single" w:sz="4" w:space="0" w:color="auto"/>
            </w:tcBorders>
            <w:shd w:val="clear" w:color="auto" w:fill="auto"/>
            <w:vAlign w:val="center"/>
            <w:hideMark/>
          </w:tcPr>
          <w:p w14:paraId="7EA681E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54D253C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23E509F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Është në përputhje me Strategjinë Kombëtare të Diasporës (2021-2025), miratuar me vendimin e Këshillit të Ministrave nr. 585, datë 22.7.2020, “Për miratimin e Strategjisë Kombëtare për Diasporën dhe të planit të veprimit 2021–2025”.  Trajtohet zhvillimi profesional i mësuesve të diasporës dhe miratimi i teksteve të përbashkëta për diasporën.</w:t>
            </w:r>
          </w:p>
        </w:tc>
        <w:tc>
          <w:tcPr>
            <w:tcW w:w="398" w:type="pct"/>
            <w:tcBorders>
              <w:top w:val="nil"/>
              <w:left w:val="nil"/>
              <w:bottom w:val="single" w:sz="4" w:space="0" w:color="auto"/>
              <w:right w:val="single" w:sz="4" w:space="0" w:color="auto"/>
            </w:tcBorders>
            <w:shd w:val="clear" w:color="auto" w:fill="auto"/>
            <w:vAlign w:val="center"/>
            <w:hideMark/>
          </w:tcPr>
          <w:p w14:paraId="24BCB25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dhe  sociale, por nuk ka efekte mjedisore.</w:t>
            </w:r>
          </w:p>
        </w:tc>
      </w:tr>
      <w:tr w:rsidR="00D3179A" w:rsidRPr="00D3179A" w14:paraId="5AECDED5"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59D33FB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7</w:t>
            </w:r>
          </w:p>
        </w:tc>
        <w:tc>
          <w:tcPr>
            <w:tcW w:w="491" w:type="pct"/>
            <w:tcBorders>
              <w:top w:val="nil"/>
              <w:left w:val="nil"/>
              <w:bottom w:val="single" w:sz="4" w:space="0" w:color="auto"/>
              <w:right w:val="single" w:sz="4" w:space="0" w:color="auto"/>
            </w:tcBorders>
            <w:shd w:val="clear" w:color="auto" w:fill="auto"/>
            <w:vAlign w:val="center"/>
            <w:hideMark/>
          </w:tcPr>
          <w:p w14:paraId="183F2D9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"Për caktimin e kritereve të posaçme dhe procedurave për fitimin e statusit “shkollë me status të veçantë”"</w:t>
            </w:r>
          </w:p>
        </w:tc>
        <w:tc>
          <w:tcPr>
            <w:tcW w:w="449" w:type="pct"/>
            <w:tcBorders>
              <w:top w:val="nil"/>
              <w:left w:val="nil"/>
              <w:bottom w:val="single" w:sz="4" w:space="0" w:color="auto"/>
              <w:right w:val="single" w:sz="4" w:space="0" w:color="auto"/>
            </w:tcBorders>
            <w:shd w:val="clear" w:color="auto" w:fill="auto"/>
            <w:noWrap/>
            <w:vAlign w:val="center"/>
            <w:hideMark/>
          </w:tcPr>
          <w:p w14:paraId="4AC3B2F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w:t>
            </w:r>
          </w:p>
        </w:tc>
        <w:tc>
          <w:tcPr>
            <w:tcW w:w="368" w:type="pct"/>
            <w:tcBorders>
              <w:top w:val="nil"/>
              <w:left w:val="nil"/>
              <w:bottom w:val="single" w:sz="4" w:space="0" w:color="auto"/>
              <w:right w:val="single" w:sz="4" w:space="0" w:color="auto"/>
            </w:tcBorders>
            <w:shd w:val="clear" w:color="auto" w:fill="auto"/>
            <w:vAlign w:val="center"/>
            <w:hideMark/>
          </w:tcPr>
          <w:p w14:paraId="50B6B7A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0CAF70E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418B50D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Projektvendimi ka për qëllim caktimin e kritereve për përfitimin e statusit “shkollë me status të veçantë’’ nga  institucionet arsimore parauniversitare publike të arsimit të orientuar të cilat do të gëzojnë strukturë organizimi, kurrikul dhe mënyrë financimi të ndryshme nga institucionet arsimore parauniversitare publike.</w:t>
            </w:r>
          </w:p>
        </w:tc>
        <w:tc>
          <w:tcPr>
            <w:tcW w:w="588" w:type="pct"/>
            <w:tcBorders>
              <w:top w:val="nil"/>
              <w:left w:val="nil"/>
              <w:bottom w:val="single" w:sz="4" w:space="0" w:color="auto"/>
              <w:right w:val="single" w:sz="4" w:space="0" w:color="auto"/>
            </w:tcBorders>
            <w:shd w:val="clear" w:color="auto" w:fill="auto"/>
            <w:vAlign w:val="center"/>
            <w:hideMark/>
          </w:tcPr>
          <w:p w14:paraId="18A8484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Nëpërmjet këtij projektvendimi, synohet gjithëpërfshirje dhe barazi për të gjithë nxënësit që ndjekin  arsimit parauniversitar, duke krijuar kushte, pa asnjë dallim, të zhvillojnë njohuri, shkathtësi, aftësi, talente të veçanta, qëndrime dhe vlera në pajtim me kërkesat e shoqërisë demokratike, të përballen në mënyrë konstruktive me sfidat e jetës, si dhe të kontribuojnë në ndërtimin e mirëqenies vetjake dhe të shoqërisë.</w:t>
            </w:r>
          </w:p>
        </w:tc>
        <w:tc>
          <w:tcPr>
            <w:tcW w:w="476" w:type="pct"/>
            <w:tcBorders>
              <w:top w:val="nil"/>
              <w:left w:val="nil"/>
              <w:bottom w:val="single" w:sz="4" w:space="0" w:color="auto"/>
              <w:right w:val="single" w:sz="4" w:space="0" w:color="auto"/>
            </w:tcBorders>
            <w:shd w:val="clear" w:color="auto" w:fill="auto"/>
            <w:vAlign w:val="center"/>
            <w:hideMark/>
          </w:tcPr>
          <w:p w14:paraId="0AE9AA4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4136418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597BD84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Ky projektvendim është në përputhje me Strategjinë Kombëtare të Arsimit, 2021-2026, të miratuar me vendimin nr. 621, datë 22.10.2021 të Këshillit të Ministrave “Për miratimin e Strategjisë Kombëtare të Arsimit, 2021-2026 dhe  të  planit  të veprimit për zbatimin e saj” (SKA 2021-2026)</w:t>
            </w:r>
          </w:p>
        </w:tc>
        <w:tc>
          <w:tcPr>
            <w:tcW w:w="398" w:type="pct"/>
            <w:tcBorders>
              <w:top w:val="nil"/>
              <w:left w:val="nil"/>
              <w:bottom w:val="single" w:sz="4" w:space="0" w:color="auto"/>
              <w:right w:val="single" w:sz="4" w:space="0" w:color="auto"/>
            </w:tcBorders>
            <w:shd w:val="clear" w:color="auto" w:fill="auto"/>
            <w:vAlign w:val="center"/>
            <w:hideMark/>
          </w:tcPr>
          <w:p w14:paraId="7F25745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Po, mund te kete efekte financiare dhe sociale, por jo efekte  mjedisore.</w:t>
            </w:r>
          </w:p>
        </w:tc>
      </w:tr>
      <w:tr w:rsidR="00D3179A" w:rsidRPr="00D3179A" w14:paraId="0C6E600F"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C2D784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8</w:t>
            </w:r>
          </w:p>
        </w:tc>
        <w:tc>
          <w:tcPr>
            <w:tcW w:w="491" w:type="pct"/>
            <w:tcBorders>
              <w:top w:val="nil"/>
              <w:left w:val="nil"/>
              <w:bottom w:val="single" w:sz="4" w:space="0" w:color="auto"/>
              <w:right w:val="single" w:sz="4" w:space="0" w:color="auto"/>
            </w:tcBorders>
            <w:shd w:val="clear" w:color="auto" w:fill="auto"/>
            <w:vAlign w:val="center"/>
            <w:hideMark/>
          </w:tcPr>
          <w:p w14:paraId="076B3E84"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“Për kriteret dhe procedurat për hapjen, mbylljen dhe  riorganizimin e institucioneve të arsimit special në qendra burimore, si dhe mënyrës së organizimit dhe funksionimit të tyre” </w:t>
            </w:r>
          </w:p>
        </w:tc>
        <w:tc>
          <w:tcPr>
            <w:tcW w:w="449" w:type="pct"/>
            <w:tcBorders>
              <w:top w:val="nil"/>
              <w:left w:val="nil"/>
              <w:bottom w:val="single" w:sz="4" w:space="0" w:color="auto"/>
              <w:right w:val="single" w:sz="4" w:space="0" w:color="auto"/>
            </w:tcBorders>
            <w:shd w:val="clear" w:color="auto" w:fill="auto"/>
            <w:noWrap/>
            <w:vAlign w:val="center"/>
            <w:hideMark/>
          </w:tcPr>
          <w:p w14:paraId="384A0CD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w:t>
            </w:r>
          </w:p>
        </w:tc>
        <w:tc>
          <w:tcPr>
            <w:tcW w:w="368" w:type="pct"/>
            <w:tcBorders>
              <w:top w:val="nil"/>
              <w:left w:val="nil"/>
              <w:bottom w:val="single" w:sz="4" w:space="0" w:color="auto"/>
              <w:right w:val="single" w:sz="4" w:space="0" w:color="auto"/>
            </w:tcBorders>
            <w:shd w:val="clear" w:color="auto" w:fill="auto"/>
            <w:vAlign w:val="center"/>
            <w:hideMark/>
          </w:tcPr>
          <w:p w14:paraId="0BDA96F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5BDEC19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0BB6D193"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Projektvendimi ka për qëllim përcaktimin e kritereve dhe procedurave për hapjen, mbylljen dhe riorganizimin e institucioneve arsimore publike parauniversitare të arsimit special në qendra burimore, si institucione që ofrojnë arsim special dhe shërbime të veçanta mbështetëse dhe rehabilituese për nxënësit me aftësi të kufizuara (AK), si dhe të përcaktojë mënyrën e organizimit dhe funksionimit të tyre.</w:t>
            </w:r>
          </w:p>
        </w:tc>
        <w:tc>
          <w:tcPr>
            <w:tcW w:w="588" w:type="pct"/>
            <w:tcBorders>
              <w:top w:val="nil"/>
              <w:left w:val="nil"/>
              <w:bottom w:val="single" w:sz="4" w:space="0" w:color="auto"/>
              <w:right w:val="single" w:sz="4" w:space="0" w:color="auto"/>
            </w:tcBorders>
            <w:shd w:val="clear" w:color="auto" w:fill="auto"/>
            <w:vAlign w:val="center"/>
            <w:hideMark/>
          </w:tcPr>
          <w:p w14:paraId="7F929B9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Nëpërmjet këtij projektvendimi synohet gjithpërfshirja dhe arsimimi sa më cilësor i nxënësve me aftësi të kufizuar, duke u mbështetur edhe me shërbime të specializuara rehabilituese nga qendrat burimore.</w:t>
            </w:r>
          </w:p>
        </w:tc>
        <w:tc>
          <w:tcPr>
            <w:tcW w:w="476" w:type="pct"/>
            <w:tcBorders>
              <w:top w:val="nil"/>
              <w:left w:val="nil"/>
              <w:bottom w:val="single" w:sz="4" w:space="0" w:color="auto"/>
              <w:right w:val="single" w:sz="4" w:space="0" w:color="auto"/>
            </w:tcBorders>
            <w:shd w:val="clear" w:color="auto" w:fill="auto"/>
            <w:vAlign w:val="center"/>
            <w:hideMark/>
          </w:tcPr>
          <w:p w14:paraId="3667C99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46AEA39D"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Po. Fusha e arsimit. </w:t>
            </w:r>
          </w:p>
        </w:tc>
        <w:tc>
          <w:tcPr>
            <w:tcW w:w="564" w:type="pct"/>
            <w:tcBorders>
              <w:top w:val="nil"/>
              <w:left w:val="nil"/>
              <w:bottom w:val="single" w:sz="4" w:space="0" w:color="auto"/>
              <w:right w:val="single" w:sz="4" w:space="0" w:color="auto"/>
            </w:tcBorders>
            <w:shd w:val="clear" w:color="auto" w:fill="auto"/>
            <w:vAlign w:val="center"/>
            <w:hideMark/>
          </w:tcPr>
          <w:p w14:paraId="34C7A97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Ky projektvendim është në përputhje me Strategjinë Kombëtare të Arsimit, 2021-2026, të miratuar me vendimin nr. 621, datë 22.10.2021 të Këshillit të Ministrave “</w:t>
            </w:r>
            <w:r w:rsidRPr="00D3179A">
              <w:rPr>
                <w:rFonts w:ascii="Arial" w:eastAsia="Times New Roman" w:hAnsi="Arial" w:cs="Arial"/>
                <w:i/>
                <w:iCs/>
                <w:color w:val="000000"/>
                <w:sz w:val="12"/>
                <w:szCs w:val="12"/>
                <w:bdr w:val="none" w:sz="0" w:space="0" w:color="auto"/>
              </w:rPr>
              <w:t>Për miratimin e Strategjisë Kombëtare të Arsimit, 2021-2026 dhe  të  planit  të veprimit për zbatimin e saj</w:t>
            </w:r>
            <w:r w:rsidRPr="00D3179A">
              <w:rPr>
                <w:rFonts w:ascii="Arial" w:eastAsia="Times New Roman" w:hAnsi="Arial" w:cs="Arial"/>
                <w:color w:val="000000"/>
                <w:sz w:val="12"/>
                <w:szCs w:val="12"/>
                <w:bdr w:val="none" w:sz="0" w:space="0" w:color="auto"/>
              </w:rPr>
              <w:t>” (SKA 2021-2026)</w:t>
            </w:r>
          </w:p>
        </w:tc>
        <w:tc>
          <w:tcPr>
            <w:tcW w:w="398" w:type="pct"/>
            <w:tcBorders>
              <w:top w:val="nil"/>
              <w:left w:val="nil"/>
              <w:bottom w:val="single" w:sz="4" w:space="0" w:color="auto"/>
              <w:right w:val="single" w:sz="4" w:space="0" w:color="auto"/>
            </w:tcBorders>
            <w:shd w:val="clear" w:color="auto" w:fill="auto"/>
            <w:vAlign w:val="center"/>
            <w:hideMark/>
          </w:tcPr>
          <w:p w14:paraId="6ABDBFA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dhe sociale, mund te ketë efeke mjedisore.</w:t>
            </w:r>
          </w:p>
        </w:tc>
      </w:tr>
      <w:tr w:rsidR="00D3179A" w:rsidRPr="00D3179A" w14:paraId="137BDF1F"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0167D2A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9</w:t>
            </w:r>
          </w:p>
        </w:tc>
        <w:tc>
          <w:tcPr>
            <w:tcW w:w="491" w:type="pct"/>
            <w:tcBorders>
              <w:top w:val="nil"/>
              <w:left w:val="nil"/>
              <w:bottom w:val="single" w:sz="4" w:space="0" w:color="auto"/>
              <w:right w:val="single" w:sz="4" w:space="0" w:color="auto"/>
            </w:tcBorders>
            <w:shd w:val="clear" w:color="auto" w:fill="auto"/>
            <w:vAlign w:val="center"/>
            <w:hideMark/>
          </w:tcPr>
          <w:p w14:paraId="0708204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Rishikimi i vendimit</w:t>
            </w:r>
            <w:r w:rsidRPr="00D3179A">
              <w:rPr>
                <w:rFonts w:ascii="Arial" w:eastAsia="Times New Roman" w:hAnsi="Arial" w:cs="Arial"/>
                <w:color w:val="000000"/>
                <w:sz w:val="12"/>
                <w:szCs w:val="12"/>
                <w:bdr w:val="none" w:sz="0" w:space="0" w:color="auto"/>
              </w:rPr>
              <w:br/>
              <w:t>nr. 99, datë 27.02.2019</w:t>
            </w:r>
            <w:r w:rsidRPr="00D3179A">
              <w:rPr>
                <w:rFonts w:ascii="Arial" w:eastAsia="Times New Roman" w:hAnsi="Arial" w:cs="Arial"/>
                <w:color w:val="000000"/>
                <w:sz w:val="12"/>
                <w:szCs w:val="12"/>
                <w:bdr w:val="none" w:sz="0" w:space="0" w:color="auto"/>
              </w:rPr>
              <w:br/>
              <w:t>të Këshillit të Ministrave "Për krijimin, mënyrën e organizimit e të funksionimit të</w:t>
            </w:r>
            <w:r w:rsidRPr="00D3179A">
              <w:rPr>
                <w:rFonts w:ascii="Arial" w:eastAsia="Times New Roman" w:hAnsi="Arial" w:cs="Arial"/>
                <w:color w:val="000000"/>
                <w:sz w:val="12"/>
                <w:szCs w:val="12"/>
                <w:bdr w:val="none" w:sz="0" w:space="0" w:color="auto"/>
              </w:rPr>
              <w:br/>
              <w:t xml:space="preserve">Drejtorisë së Përgjithshme të Arsimit Parauniversitar" </w:t>
            </w:r>
          </w:p>
        </w:tc>
        <w:tc>
          <w:tcPr>
            <w:tcW w:w="449" w:type="pct"/>
            <w:tcBorders>
              <w:top w:val="nil"/>
              <w:left w:val="nil"/>
              <w:bottom w:val="single" w:sz="4" w:space="0" w:color="auto"/>
              <w:right w:val="single" w:sz="4" w:space="0" w:color="auto"/>
            </w:tcBorders>
            <w:shd w:val="clear" w:color="auto" w:fill="auto"/>
            <w:vAlign w:val="center"/>
            <w:hideMark/>
          </w:tcPr>
          <w:p w14:paraId="5DCB7A6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Projektvendim</w:t>
            </w:r>
          </w:p>
        </w:tc>
        <w:tc>
          <w:tcPr>
            <w:tcW w:w="368" w:type="pct"/>
            <w:tcBorders>
              <w:top w:val="nil"/>
              <w:left w:val="nil"/>
              <w:bottom w:val="single" w:sz="4" w:space="0" w:color="auto"/>
              <w:right w:val="single" w:sz="4" w:space="0" w:color="auto"/>
            </w:tcBorders>
            <w:shd w:val="clear" w:color="auto" w:fill="auto"/>
            <w:vAlign w:val="center"/>
            <w:hideMark/>
          </w:tcPr>
          <w:p w14:paraId="62234CE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7F4ABBD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w:t>
            </w:r>
          </w:p>
        </w:tc>
        <w:tc>
          <w:tcPr>
            <w:tcW w:w="588" w:type="pct"/>
            <w:tcBorders>
              <w:top w:val="nil"/>
              <w:left w:val="nil"/>
              <w:bottom w:val="single" w:sz="4" w:space="0" w:color="auto"/>
              <w:right w:val="single" w:sz="4" w:space="0" w:color="auto"/>
            </w:tcBorders>
            <w:shd w:val="clear" w:color="auto" w:fill="auto"/>
            <w:vAlign w:val="center"/>
            <w:hideMark/>
          </w:tcPr>
          <w:p w14:paraId="7114491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Rishikimi i mënyrës së organizimit dhe funskionimit të Drejtorisë së Përgjithshme të Arsimit Parauniversitar dhe Drejtorive Rajonale të Arsimit Parauniversitar për përmirësimin e cilësisë në sistemin arsimor parauniversitar nëpërmjet monitorimit, vlerësimit dhe inspektimit.</w:t>
            </w:r>
          </w:p>
        </w:tc>
        <w:tc>
          <w:tcPr>
            <w:tcW w:w="588" w:type="pct"/>
            <w:tcBorders>
              <w:top w:val="nil"/>
              <w:left w:val="nil"/>
              <w:bottom w:val="single" w:sz="4" w:space="0" w:color="auto"/>
              <w:right w:val="single" w:sz="4" w:space="0" w:color="auto"/>
            </w:tcBorders>
            <w:shd w:val="clear" w:color="auto" w:fill="auto"/>
            <w:vAlign w:val="center"/>
            <w:hideMark/>
          </w:tcPr>
          <w:p w14:paraId="3244130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Rishikimi i mënyrës së organizimit dhe funskionimit të Drejtorisë së Përgjithshme të Arsimit Parauniversitar dhe Drejtorive Rajonale të Arsimit Parauniversitar për përmirësimin e cilësisë në sistemin arsimor parauniversitar nëpërmjet monitorimit, vlerësimit dhe inspektimit.</w:t>
            </w:r>
          </w:p>
        </w:tc>
        <w:tc>
          <w:tcPr>
            <w:tcW w:w="476" w:type="pct"/>
            <w:tcBorders>
              <w:top w:val="nil"/>
              <w:left w:val="nil"/>
              <w:bottom w:val="single" w:sz="4" w:space="0" w:color="auto"/>
              <w:right w:val="single" w:sz="4" w:space="0" w:color="auto"/>
            </w:tcBorders>
            <w:shd w:val="clear" w:color="auto" w:fill="auto"/>
            <w:vAlign w:val="center"/>
            <w:hideMark/>
          </w:tcPr>
          <w:p w14:paraId="789AC523"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6489C87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14DDA8D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Po, lidhet me Strategjinë Kombëtare për Arsimin, miratuar me vendimin  nr. 621, datë 22.10.2021 "Për miratimin e Strategjisë Kombëtare për Arsimin 2021–2026 dhe të planit të veprimit për zbatimin e saj". </w:t>
            </w:r>
          </w:p>
        </w:tc>
        <w:tc>
          <w:tcPr>
            <w:tcW w:w="398" w:type="pct"/>
            <w:tcBorders>
              <w:top w:val="nil"/>
              <w:left w:val="nil"/>
              <w:bottom w:val="single" w:sz="4" w:space="0" w:color="auto"/>
              <w:right w:val="single" w:sz="4" w:space="0" w:color="auto"/>
            </w:tcBorders>
            <w:shd w:val="clear" w:color="auto" w:fill="auto"/>
            <w:vAlign w:val="center"/>
            <w:hideMark/>
          </w:tcPr>
          <w:p w14:paraId="16A3583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dhe  sociale, por nuk ka efekte mjedisore.</w:t>
            </w:r>
          </w:p>
        </w:tc>
      </w:tr>
      <w:tr w:rsidR="00D3179A" w:rsidRPr="00D3179A" w14:paraId="4346A2F8"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122B510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10</w:t>
            </w:r>
          </w:p>
        </w:tc>
        <w:tc>
          <w:tcPr>
            <w:tcW w:w="491" w:type="pct"/>
            <w:tcBorders>
              <w:top w:val="nil"/>
              <w:left w:val="nil"/>
              <w:bottom w:val="single" w:sz="4" w:space="0" w:color="auto"/>
              <w:right w:val="single" w:sz="4" w:space="0" w:color="auto"/>
            </w:tcBorders>
            <w:shd w:val="clear" w:color="auto" w:fill="auto"/>
            <w:vAlign w:val="center"/>
            <w:hideMark/>
          </w:tcPr>
          <w:p w14:paraId="22D025D4"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"Për Shkencën në Republikën e Shqipërisë"</w:t>
            </w:r>
          </w:p>
        </w:tc>
        <w:tc>
          <w:tcPr>
            <w:tcW w:w="449" w:type="pct"/>
            <w:tcBorders>
              <w:top w:val="nil"/>
              <w:left w:val="nil"/>
              <w:bottom w:val="single" w:sz="4" w:space="0" w:color="auto"/>
              <w:right w:val="single" w:sz="4" w:space="0" w:color="auto"/>
            </w:tcBorders>
            <w:shd w:val="clear" w:color="auto" w:fill="auto"/>
            <w:vAlign w:val="center"/>
            <w:hideMark/>
          </w:tcPr>
          <w:p w14:paraId="2647F6E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Projektligj</w:t>
            </w:r>
          </w:p>
        </w:tc>
        <w:tc>
          <w:tcPr>
            <w:tcW w:w="368" w:type="pct"/>
            <w:tcBorders>
              <w:top w:val="nil"/>
              <w:left w:val="nil"/>
              <w:bottom w:val="single" w:sz="4" w:space="0" w:color="auto"/>
              <w:right w:val="single" w:sz="4" w:space="0" w:color="auto"/>
            </w:tcBorders>
            <w:shd w:val="clear" w:color="auto" w:fill="auto"/>
            <w:vAlign w:val="center"/>
            <w:hideMark/>
          </w:tcPr>
          <w:p w14:paraId="31D7E14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41EAF13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Katërmujori II</w:t>
            </w:r>
          </w:p>
        </w:tc>
        <w:tc>
          <w:tcPr>
            <w:tcW w:w="588" w:type="pct"/>
            <w:tcBorders>
              <w:top w:val="nil"/>
              <w:left w:val="nil"/>
              <w:bottom w:val="single" w:sz="4" w:space="0" w:color="auto"/>
              <w:right w:val="single" w:sz="4" w:space="0" w:color="auto"/>
            </w:tcBorders>
            <w:shd w:val="clear" w:color="auto" w:fill="auto"/>
            <w:vAlign w:val="center"/>
            <w:hideMark/>
          </w:tcPr>
          <w:p w14:paraId="6D354F5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Ky projektligj ka për qëllim të krijojë kushte për zhvillimin dhe funksionimin e një sistemi bashkëkohor të shkencës dhe të garantojë mundësimin e financimit të këtij sistemi nga burime të ligjshme.</w:t>
            </w:r>
            <w:r w:rsidRPr="00D3179A">
              <w:rPr>
                <w:rFonts w:ascii="Arial" w:eastAsia="Times New Roman" w:hAnsi="Arial" w:cs="Arial"/>
                <w:sz w:val="12"/>
                <w:szCs w:val="12"/>
                <w:bdr w:val="none" w:sz="0" w:space="0" w:color="auto"/>
              </w:rPr>
              <w:br/>
              <w:t>Projektligji synon arritjen e objektivave si më poshtë:</w:t>
            </w:r>
            <w:r w:rsidRPr="00D3179A">
              <w:rPr>
                <w:rFonts w:ascii="Arial" w:eastAsia="Times New Roman" w:hAnsi="Arial" w:cs="Arial"/>
                <w:sz w:val="12"/>
                <w:szCs w:val="12"/>
                <w:bdr w:val="none" w:sz="0" w:space="0" w:color="auto"/>
              </w:rPr>
              <w:br/>
              <w:t>Sigurimin e produkteve të kërkimit shkencor që mbështesin zhvillimin e qëndrueshëm të vendit, mbrojtjen e mjedisit dhe shëndetit publik, si dhe konsolidimin e identitetit dhe mbrojtjen e interesave kombëtare;</w:t>
            </w:r>
            <w:r w:rsidRPr="00D3179A">
              <w:rPr>
                <w:rFonts w:ascii="Arial" w:eastAsia="Times New Roman" w:hAnsi="Arial" w:cs="Arial"/>
                <w:sz w:val="12"/>
                <w:szCs w:val="12"/>
                <w:bdr w:val="none" w:sz="0" w:space="0" w:color="auto"/>
              </w:rPr>
              <w:br/>
              <w:t>përvetësimin e aftësive dhe njohurive të reja, transferimin e tyre për përfitimin e përgjithshëm publik, me synim rritjen e mirëqenies sociale;</w:t>
            </w:r>
            <w:r w:rsidRPr="00D3179A">
              <w:rPr>
                <w:rFonts w:ascii="Arial" w:eastAsia="Times New Roman" w:hAnsi="Arial" w:cs="Arial"/>
                <w:sz w:val="12"/>
                <w:szCs w:val="12"/>
                <w:bdr w:val="none" w:sz="0" w:space="0" w:color="auto"/>
              </w:rPr>
              <w:br/>
              <w:t>fuqizimin e aftësive për të menaxhuar progresin teknologjik dhe të përgjithshëm shoqëror, si burimi kryesor i zhvillimit të qëndrueshëm, duke rritur vlerën e punës dhe konkurrueshmërinë;</w:t>
            </w:r>
            <w:r w:rsidRPr="00D3179A">
              <w:rPr>
                <w:rFonts w:ascii="Arial" w:eastAsia="Times New Roman" w:hAnsi="Arial" w:cs="Arial"/>
                <w:sz w:val="12"/>
                <w:szCs w:val="12"/>
                <w:bdr w:val="none" w:sz="0" w:space="0" w:color="auto"/>
              </w:rPr>
              <w:br/>
              <w:t>fuqizimin e lidhjeve ndërkombëtare të komunitetit të studiuesëve shqiptarë me ato të zonës europiane të kërkimit, si dhe me kërkuesit e diasporës, duke promovuar lëvizshmërinë dhe përfshirjen në proceset e integrimit evropian dhe në rrjetet ndërkombëtare të vlerave; ngritjen e kapaciteteve të personelit shkencor dhe nxitjen e zhvillimit të karrierës shkencore duke siguruar mundësi të barabarta; rritjen e përdorimit të infrastukturës kërkimore shkencore duke garantuar akses për të gjithë;</w:t>
            </w:r>
            <w:r w:rsidRPr="00D3179A">
              <w:rPr>
                <w:rFonts w:ascii="Arial" w:eastAsia="Times New Roman" w:hAnsi="Arial" w:cs="Arial"/>
                <w:sz w:val="12"/>
                <w:szCs w:val="12"/>
                <w:bdr w:val="none" w:sz="0" w:space="0" w:color="auto"/>
              </w:rPr>
              <w:br/>
              <w:t>fuqizimin e bashkëpunimit ndërinstitucional në fushën e kërkimit shkencor, me qëllim zhvillimin dhe shfrytëzimin e potencialeve kërkimore-shkencore;</w:t>
            </w:r>
            <w:r w:rsidRPr="00D3179A">
              <w:rPr>
                <w:rFonts w:ascii="Arial" w:eastAsia="Times New Roman" w:hAnsi="Arial" w:cs="Arial"/>
                <w:sz w:val="12"/>
                <w:szCs w:val="12"/>
                <w:bdr w:val="none" w:sz="0" w:space="0" w:color="auto"/>
              </w:rPr>
              <w:br/>
              <w:t>nxitjen e bashkëpunimit midis institucioneve të kërkimit - shkencor dhe biznesit, institucioneve publike, shoqërisë civile, si dhe palëve të tjera të interesuara në veprimtari kërkimore shkencore dhe inovacion</w:t>
            </w:r>
            <w:r w:rsidRPr="00D3179A">
              <w:rPr>
                <w:rFonts w:ascii="Arial" w:eastAsia="Times New Roman" w:hAnsi="Arial" w:cs="Arial"/>
                <w:sz w:val="12"/>
                <w:szCs w:val="12"/>
                <w:bdr w:val="none" w:sz="0" w:space="0" w:color="auto"/>
              </w:rPr>
              <w:br/>
              <w:t>promovimin, zgjerimin e rolit të shkencës dhe krijimin e një mjedisi favorizues dhe mbështetës për kërkimin shkencor në shoqëri.</w:t>
            </w:r>
          </w:p>
        </w:tc>
        <w:tc>
          <w:tcPr>
            <w:tcW w:w="588" w:type="pct"/>
            <w:tcBorders>
              <w:top w:val="nil"/>
              <w:left w:val="nil"/>
              <w:bottom w:val="nil"/>
              <w:right w:val="nil"/>
            </w:tcBorders>
            <w:shd w:val="clear" w:color="auto" w:fill="auto"/>
            <w:vAlign w:val="center"/>
            <w:hideMark/>
          </w:tcPr>
          <w:p w14:paraId="3132379E"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Projektligji synon arritjen e objektivave si më poshtë:</w:t>
            </w:r>
            <w:r w:rsidRPr="00D3179A">
              <w:rPr>
                <w:rFonts w:ascii="Arial" w:eastAsia="Times New Roman" w:hAnsi="Arial" w:cs="Arial"/>
                <w:color w:val="000000"/>
                <w:sz w:val="12"/>
                <w:szCs w:val="12"/>
                <w:bdr w:val="none" w:sz="0" w:space="0" w:color="auto"/>
              </w:rPr>
              <w:br/>
              <w:t>Sigurimin e produkteve të kërkimit shkencor që mbështesin zhvillimin e qëndrueshëm të vendit, mbrojtjen e mjedisit dhe shëndetit publik, si dhe konsolidimin e identitetit dhe mbrojtjen e interesave kombëtare; përvetësimin e aftësive dhe njohurive të reja, transferimin e tyre për përfitimin e përgjithshëm publik, me synim rritjen e mirëqenies sociale; fuqizimin e aftësive për të menaxhuar progresin teknologjik dhe të përgjithshëm shoqëror, si burimi kryesor i zhvillimit të qëndrueshëm, duke rritur vlerën e punës dhe konkurrueshmërinë; fuqizimin e lidhjeve ndërkombëtare të komunitetit të studiuesëve shqiptarë me ato të zonës</w:t>
            </w:r>
            <w:r w:rsidRPr="00D3179A">
              <w:rPr>
                <w:rFonts w:ascii="Arial" w:eastAsia="Times New Roman" w:hAnsi="Arial" w:cs="Arial"/>
                <w:color w:val="000000"/>
                <w:sz w:val="12"/>
                <w:szCs w:val="12"/>
                <w:bdr w:val="none" w:sz="0" w:space="0" w:color="auto"/>
              </w:rPr>
              <w:br/>
              <w:t>europiane të kërkimit, si dhe me kërkuesit e diasporës, duke promovuar lëvizshmërinë dhe përfshirjen në proceset e integrimit evropian dhe në rrjetet ndërkombëtare të vlerave;</w:t>
            </w:r>
            <w:r w:rsidRPr="00D3179A">
              <w:rPr>
                <w:rFonts w:ascii="Arial" w:eastAsia="Times New Roman" w:hAnsi="Arial" w:cs="Arial"/>
                <w:color w:val="000000"/>
                <w:sz w:val="12"/>
                <w:szCs w:val="12"/>
                <w:bdr w:val="none" w:sz="0" w:space="0" w:color="auto"/>
              </w:rPr>
              <w:br/>
              <w:t>ngritjen e kapaciteteve të personelit shkencor dhe nxitjen e zhvillimit të karrierës shkencore duke siguruar mundësi të barabarta; rritjen e përdorimit të infrastukturës kërkimore shkencore duke garantuar akses për të gjithë; fuqizimin e bashkëpunimit ndërinstitucional në fushën e kërkimit shkencor, me qëllim zhvillimin dhe shfrytëzimin e potencialeve kërkimore-shkencore;</w:t>
            </w:r>
            <w:r w:rsidRPr="00D3179A">
              <w:rPr>
                <w:rFonts w:ascii="Arial" w:eastAsia="Times New Roman" w:hAnsi="Arial" w:cs="Arial"/>
                <w:color w:val="000000"/>
                <w:sz w:val="12"/>
                <w:szCs w:val="12"/>
                <w:bdr w:val="none" w:sz="0" w:space="0" w:color="auto"/>
              </w:rPr>
              <w:br/>
              <w:t>nxitjen e bashkëpunimit midis institucioneve të kërkimit - shkencor dhe biznesit, institucioneve publike, shoqërisë civile, si dhe palëve të tjera të interesuara në veprimtari kërkimore shkencore dhe inovacion promovimin, zgjerimin e rolit të shkencës dhe krijimin e një mjedisi favorizues dhe mbështetës për kërkimin shkencor në shoqëri.</w:t>
            </w:r>
          </w:p>
        </w:tc>
        <w:tc>
          <w:tcPr>
            <w:tcW w:w="476" w:type="pct"/>
            <w:tcBorders>
              <w:top w:val="nil"/>
              <w:left w:val="single" w:sz="4" w:space="0" w:color="auto"/>
              <w:bottom w:val="nil"/>
              <w:right w:val="nil"/>
            </w:tcBorders>
            <w:shd w:val="clear" w:color="auto" w:fill="auto"/>
            <w:vAlign w:val="center"/>
            <w:hideMark/>
          </w:tcPr>
          <w:p w14:paraId="6E8C6F0E"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Po- Në aspektin e integrimit në BE, projektligji është në koherencë të plotë me parimet e përcaktuara në Dispozitat e Traktatit mbi Funksionimin e BE (TFBE), kapitulli XIX, mbi kërkimin shkencor. Gjithashtu, projektligji ka për qëllim plotësimin e detyrimeve që burojnë nga procesi i asociimit të BE lidhur me kapitullin 25 “Shkenca dhe kërkimi shkencor”. </w:t>
            </w:r>
          </w:p>
        </w:tc>
        <w:tc>
          <w:tcPr>
            <w:tcW w:w="516" w:type="pct"/>
            <w:tcBorders>
              <w:top w:val="nil"/>
              <w:left w:val="single" w:sz="4" w:space="0" w:color="auto"/>
              <w:bottom w:val="single" w:sz="4" w:space="0" w:color="auto"/>
              <w:right w:val="single" w:sz="4" w:space="0" w:color="auto"/>
            </w:tcBorders>
            <w:shd w:val="clear" w:color="auto" w:fill="auto"/>
            <w:vAlign w:val="center"/>
            <w:hideMark/>
          </w:tcPr>
          <w:p w14:paraId="1C8D50F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7466F3E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Po, lidhet me Strategjisë Kombëtare për Kërkimin Shkencor, Teknologjinë dhe Inovacionin, miratuar me vendimin nr. 542, datë 20.9.2023 të Këshillit të Ministrave “Për miratimin e Strategjisë Kombëtare për Kërkimin Shkencor, Teknologjinë dhe Inovacionin 2023–2030 dhe të planit të veprimit për zbatimin e saj”. </w:t>
            </w:r>
          </w:p>
        </w:tc>
        <w:tc>
          <w:tcPr>
            <w:tcW w:w="398" w:type="pct"/>
            <w:tcBorders>
              <w:top w:val="nil"/>
              <w:left w:val="nil"/>
              <w:bottom w:val="single" w:sz="4" w:space="0" w:color="auto"/>
              <w:right w:val="single" w:sz="4" w:space="0" w:color="auto"/>
            </w:tcBorders>
            <w:shd w:val="clear" w:color="auto" w:fill="auto"/>
            <w:vAlign w:val="center"/>
            <w:hideMark/>
          </w:tcPr>
          <w:p w14:paraId="2CA7FAA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Po, ka efekte financiare dhe  sociale, por nuk ka efekte mjedisore.</w:t>
            </w:r>
          </w:p>
        </w:tc>
      </w:tr>
      <w:tr w:rsidR="00D3179A" w:rsidRPr="00D3179A" w14:paraId="05E6B130"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07E6CB94"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11</w:t>
            </w:r>
          </w:p>
        </w:tc>
        <w:tc>
          <w:tcPr>
            <w:tcW w:w="491" w:type="pct"/>
            <w:tcBorders>
              <w:top w:val="nil"/>
              <w:left w:val="nil"/>
              <w:bottom w:val="single" w:sz="4" w:space="0" w:color="auto"/>
              <w:right w:val="single" w:sz="4" w:space="0" w:color="auto"/>
            </w:tcBorders>
            <w:shd w:val="clear" w:color="auto" w:fill="auto"/>
            <w:vAlign w:val="center"/>
            <w:hideMark/>
          </w:tcPr>
          <w:p w14:paraId="3C1CAB2E"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Marrëveshje ndërmjet Këshillit të Ministrave të Republikës së Shqipërisë dhe Kolegjit të Evropës “Për hapjen e Filialit të Kolegjit të Evropës në Tiranë”</w:t>
            </w:r>
          </w:p>
        </w:tc>
        <w:tc>
          <w:tcPr>
            <w:tcW w:w="449" w:type="pct"/>
            <w:tcBorders>
              <w:top w:val="nil"/>
              <w:left w:val="nil"/>
              <w:bottom w:val="single" w:sz="4" w:space="0" w:color="auto"/>
              <w:right w:val="single" w:sz="4" w:space="0" w:color="auto"/>
            </w:tcBorders>
            <w:shd w:val="clear" w:color="auto" w:fill="auto"/>
            <w:vAlign w:val="center"/>
            <w:hideMark/>
          </w:tcPr>
          <w:p w14:paraId="32DFE951"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Projektligj</w:t>
            </w:r>
          </w:p>
        </w:tc>
        <w:tc>
          <w:tcPr>
            <w:tcW w:w="368" w:type="pct"/>
            <w:tcBorders>
              <w:top w:val="nil"/>
              <w:left w:val="nil"/>
              <w:bottom w:val="single" w:sz="4" w:space="0" w:color="auto"/>
              <w:right w:val="single" w:sz="4" w:space="0" w:color="auto"/>
            </w:tcBorders>
            <w:shd w:val="clear" w:color="auto" w:fill="auto"/>
            <w:vAlign w:val="center"/>
            <w:hideMark/>
          </w:tcPr>
          <w:p w14:paraId="5306879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3C8C8A6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Katërmujori II</w:t>
            </w:r>
          </w:p>
        </w:tc>
        <w:tc>
          <w:tcPr>
            <w:tcW w:w="588" w:type="pct"/>
            <w:tcBorders>
              <w:top w:val="nil"/>
              <w:left w:val="nil"/>
              <w:bottom w:val="single" w:sz="4" w:space="0" w:color="auto"/>
              <w:right w:val="single" w:sz="4" w:space="0" w:color="auto"/>
            </w:tcBorders>
            <w:shd w:val="clear" w:color="auto" w:fill="auto"/>
            <w:vAlign w:val="center"/>
            <w:hideMark/>
          </w:tcPr>
          <w:p w14:paraId="76A6E72F"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Hapjen e Filialit të Kolegjit të Evropës në Tiranë.</w:t>
            </w:r>
          </w:p>
        </w:tc>
        <w:tc>
          <w:tcPr>
            <w:tcW w:w="588" w:type="pct"/>
            <w:tcBorders>
              <w:top w:val="single" w:sz="4" w:space="0" w:color="auto"/>
              <w:left w:val="nil"/>
              <w:bottom w:val="single" w:sz="4" w:space="0" w:color="auto"/>
              <w:right w:val="single" w:sz="4" w:space="0" w:color="auto"/>
            </w:tcBorders>
            <w:shd w:val="clear" w:color="auto" w:fill="auto"/>
            <w:vAlign w:val="center"/>
            <w:hideMark/>
          </w:tcPr>
          <w:p w14:paraId="7BFFFEBD"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Kolegji, një institut i studimeve evropiane i njohur për përsosmërinë e tij akademike dhe përkushtimin në promovimin e integrimit evropian, aspiron të shtrijë aktivitetet e tij akademike në Republikën e Shqipërisë dhe rajonin e Ballkanit Perëndimor.</w:t>
            </w:r>
            <w:r w:rsidRPr="00D3179A">
              <w:rPr>
                <w:rFonts w:ascii="Arial" w:eastAsia="Times New Roman" w:hAnsi="Arial" w:cs="Arial"/>
                <w:color w:val="000000"/>
                <w:sz w:val="12"/>
                <w:szCs w:val="12"/>
                <w:bdr w:val="none" w:sz="0" w:space="0" w:color="auto"/>
              </w:rPr>
              <w:br/>
              <w:t>Duke marrë në konsideratë se më datë 6 tetor 2023 është nënshkruar Memorandumi i Mirëkuptimit, ndërmjet Kolegjit të Evropës, Ministrisë së Arsimit dhe Sportit të Republikës së Shqipërisë dhe Bashkisë së Tiranës, me qëllim rritjen e eficencës së ndërveprimit ndërmjet Palëve për funksionimin sa më efektiv të bashkëpunimit dhe përmirësimit të veprimtarisë së tyre në kuadër të hapjes dhe funksionimit të Filialit të Kolegjit të Evropës në Tiranë, Këshilli i Ministrave i Republikës së Shqipërisë dhe Kolegji i Evropës, duke njohur vlerën për progresin e arsimit të lartë në integrimin e Ballkanit Perëndimor në Bashkimin Evropian (BE),  shprehin vullnetin e përbashkët për hapjen e Filialit të Kolegjit të Evropës në Tiranë</w:t>
            </w:r>
          </w:p>
        </w:tc>
        <w:tc>
          <w:tcPr>
            <w:tcW w:w="476" w:type="pct"/>
            <w:tcBorders>
              <w:top w:val="single" w:sz="4" w:space="0" w:color="auto"/>
              <w:left w:val="nil"/>
              <w:bottom w:val="single" w:sz="4" w:space="0" w:color="auto"/>
              <w:right w:val="single" w:sz="4" w:space="0" w:color="auto"/>
            </w:tcBorders>
            <w:shd w:val="clear" w:color="auto" w:fill="auto"/>
            <w:vAlign w:val="center"/>
            <w:hideMark/>
          </w:tcPr>
          <w:p w14:paraId="26DCA4D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79AD135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7FCBC9C4"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lidhet me Strategjinë Kombëtare për Arsimin, miratuar me vendimin  nr. 621, datë 22.10.2021 "Për miratimin e Strategjisë Kombëtare për Arsimin 2021–2026 dhe të planit të veprimit për zbatimin e saj". Objektivi specifik C.6: Ndërkombëtarizimi i Arsimit të Lartë.</w:t>
            </w:r>
          </w:p>
        </w:tc>
        <w:tc>
          <w:tcPr>
            <w:tcW w:w="398" w:type="pct"/>
            <w:tcBorders>
              <w:top w:val="nil"/>
              <w:left w:val="nil"/>
              <w:bottom w:val="single" w:sz="4" w:space="0" w:color="auto"/>
              <w:right w:val="single" w:sz="4" w:space="0" w:color="auto"/>
            </w:tcBorders>
            <w:shd w:val="clear" w:color="auto" w:fill="auto"/>
            <w:vAlign w:val="center"/>
            <w:hideMark/>
          </w:tcPr>
          <w:p w14:paraId="48086A6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dhe  sociale por nuk ka efekte mjedisore.</w:t>
            </w:r>
          </w:p>
        </w:tc>
      </w:tr>
      <w:tr w:rsidR="00D3179A" w:rsidRPr="00D3179A" w14:paraId="109F66CD"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7E2821A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12</w:t>
            </w:r>
          </w:p>
        </w:tc>
        <w:tc>
          <w:tcPr>
            <w:tcW w:w="491" w:type="pct"/>
            <w:tcBorders>
              <w:top w:val="nil"/>
              <w:left w:val="nil"/>
              <w:bottom w:val="single" w:sz="4" w:space="0" w:color="auto"/>
              <w:right w:val="single" w:sz="4" w:space="0" w:color="auto"/>
            </w:tcBorders>
            <w:shd w:val="clear" w:color="auto" w:fill="auto"/>
            <w:vAlign w:val="center"/>
            <w:hideMark/>
          </w:tcPr>
          <w:p w14:paraId="649FEBBE"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br/>
              <w:t>"Për disa shtesa dhe ndryshime me Ligjin nr.79/2017 "Për sportin", i ndryshuar"</w:t>
            </w:r>
          </w:p>
        </w:tc>
        <w:tc>
          <w:tcPr>
            <w:tcW w:w="449" w:type="pct"/>
            <w:tcBorders>
              <w:top w:val="nil"/>
              <w:left w:val="nil"/>
              <w:bottom w:val="single" w:sz="4" w:space="0" w:color="auto"/>
              <w:right w:val="single" w:sz="4" w:space="0" w:color="auto"/>
            </w:tcBorders>
            <w:shd w:val="clear" w:color="auto" w:fill="auto"/>
            <w:vAlign w:val="center"/>
            <w:hideMark/>
          </w:tcPr>
          <w:p w14:paraId="6623BD66"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Projektligj</w:t>
            </w:r>
          </w:p>
        </w:tc>
        <w:tc>
          <w:tcPr>
            <w:tcW w:w="368" w:type="pct"/>
            <w:tcBorders>
              <w:top w:val="nil"/>
              <w:left w:val="nil"/>
              <w:bottom w:val="single" w:sz="4" w:space="0" w:color="auto"/>
              <w:right w:val="single" w:sz="4" w:space="0" w:color="auto"/>
            </w:tcBorders>
            <w:shd w:val="clear" w:color="auto" w:fill="auto"/>
            <w:vAlign w:val="center"/>
            <w:hideMark/>
          </w:tcPr>
          <w:p w14:paraId="0425E90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Ministri i Arsimit dhe Sportit</w:t>
            </w:r>
          </w:p>
        </w:tc>
        <w:tc>
          <w:tcPr>
            <w:tcW w:w="388" w:type="pct"/>
            <w:tcBorders>
              <w:top w:val="nil"/>
              <w:left w:val="nil"/>
              <w:bottom w:val="single" w:sz="4" w:space="0" w:color="auto"/>
              <w:right w:val="single" w:sz="4" w:space="0" w:color="auto"/>
            </w:tcBorders>
            <w:shd w:val="clear" w:color="auto" w:fill="auto"/>
            <w:vAlign w:val="center"/>
            <w:hideMark/>
          </w:tcPr>
          <w:p w14:paraId="3D6A0F8E"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III</w:t>
            </w:r>
          </w:p>
        </w:tc>
        <w:tc>
          <w:tcPr>
            <w:tcW w:w="588" w:type="pct"/>
            <w:tcBorders>
              <w:top w:val="nil"/>
              <w:left w:val="nil"/>
              <w:bottom w:val="single" w:sz="4" w:space="0" w:color="auto"/>
              <w:right w:val="single" w:sz="4" w:space="0" w:color="auto"/>
            </w:tcBorders>
            <w:shd w:val="clear" w:color="auto" w:fill="auto"/>
            <w:vAlign w:val="center"/>
            <w:hideMark/>
          </w:tcPr>
          <w:p w14:paraId="28E39C2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Hartimi i projektligjit, “Për disa shtesa dhe ndryshime me Ligjin nr.79/2017 "Për sportin", i ndryshuar,"" vjen si nevojë e rishikimit të politikave në fushën e sportit dhe si kërkesë e vazhdueshme e komunitetit të sportit për rishikimin e tij.</w:t>
            </w:r>
          </w:p>
        </w:tc>
        <w:tc>
          <w:tcPr>
            <w:tcW w:w="588" w:type="pct"/>
            <w:tcBorders>
              <w:top w:val="nil"/>
              <w:left w:val="nil"/>
              <w:bottom w:val="single" w:sz="4" w:space="0" w:color="auto"/>
              <w:right w:val="single" w:sz="4" w:space="0" w:color="auto"/>
            </w:tcBorders>
            <w:shd w:val="clear" w:color="auto" w:fill="auto"/>
            <w:vAlign w:val="center"/>
            <w:hideMark/>
          </w:tcPr>
          <w:p w14:paraId="3EE9FDF3"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Rishikimi i kompetencave të sportit shkollor dhe universitar, rishikimi i mënyrës së financimit të organizatave sportive, përfshirja e Komitetit Paraolimpik në ligj, përfshirja e programit olimpik special etj.</w:t>
            </w:r>
          </w:p>
        </w:tc>
        <w:tc>
          <w:tcPr>
            <w:tcW w:w="476" w:type="pct"/>
            <w:tcBorders>
              <w:top w:val="nil"/>
              <w:left w:val="nil"/>
              <w:bottom w:val="single" w:sz="4" w:space="0" w:color="auto"/>
              <w:right w:val="single" w:sz="4" w:space="0" w:color="auto"/>
            </w:tcBorders>
            <w:shd w:val="clear" w:color="auto" w:fill="auto"/>
            <w:vAlign w:val="center"/>
            <w:hideMark/>
          </w:tcPr>
          <w:p w14:paraId="31C02A3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341F8E9D"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Fusha e Sportit.</w:t>
            </w:r>
          </w:p>
        </w:tc>
        <w:tc>
          <w:tcPr>
            <w:tcW w:w="564" w:type="pct"/>
            <w:tcBorders>
              <w:top w:val="nil"/>
              <w:left w:val="nil"/>
              <w:bottom w:val="single" w:sz="4" w:space="0" w:color="auto"/>
              <w:right w:val="single" w:sz="4" w:space="0" w:color="auto"/>
            </w:tcBorders>
            <w:shd w:val="clear" w:color="auto" w:fill="auto"/>
            <w:vAlign w:val="center"/>
            <w:hideMark/>
          </w:tcPr>
          <w:p w14:paraId="39AEFDB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0947554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Po, ka efekte financiare, mund te ketë efekte sociale, por nuk ka efekte mjedisore</w:t>
            </w:r>
          </w:p>
        </w:tc>
      </w:tr>
      <w:tr w:rsidR="00D3179A" w:rsidRPr="00D3179A" w14:paraId="6CE0068B"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4E37906D"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13</w:t>
            </w:r>
          </w:p>
        </w:tc>
        <w:tc>
          <w:tcPr>
            <w:tcW w:w="491" w:type="pct"/>
            <w:tcBorders>
              <w:top w:val="nil"/>
              <w:left w:val="nil"/>
              <w:bottom w:val="single" w:sz="4" w:space="0" w:color="auto"/>
              <w:right w:val="single" w:sz="4" w:space="0" w:color="auto"/>
            </w:tcBorders>
            <w:shd w:val="clear" w:color="auto" w:fill="auto"/>
            <w:vAlign w:val="center"/>
            <w:hideMark/>
          </w:tcPr>
          <w:p w14:paraId="44AC8A2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"Për ratifikimin e marrëveshjes në lidhje me programin e shkëmbimit të studimeve universitare në Evropën Qendrore (CEEPUS IV)"</w:t>
            </w:r>
          </w:p>
        </w:tc>
        <w:tc>
          <w:tcPr>
            <w:tcW w:w="449" w:type="pct"/>
            <w:tcBorders>
              <w:top w:val="nil"/>
              <w:left w:val="nil"/>
              <w:bottom w:val="single" w:sz="4" w:space="0" w:color="auto"/>
              <w:right w:val="single" w:sz="4" w:space="0" w:color="auto"/>
            </w:tcBorders>
            <w:shd w:val="clear" w:color="auto" w:fill="auto"/>
            <w:vAlign w:val="center"/>
            <w:hideMark/>
          </w:tcPr>
          <w:p w14:paraId="2A3CCADE"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Projektligj</w:t>
            </w:r>
          </w:p>
        </w:tc>
        <w:tc>
          <w:tcPr>
            <w:tcW w:w="368" w:type="pct"/>
            <w:tcBorders>
              <w:top w:val="nil"/>
              <w:left w:val="nil"/>
              <w:bottom w:val="single" w:sz="4" w:space="0" w:color="auto"/>
              <w:right w:val="single" w:sz="4" w:space="0" w:color="auto"/>
            </w:tcBorders>
            <w:shd w:val="clear" w:color="auto" w:fill="auto"/>
            <w:vAlign w:val="center"/>
            <w:hideMark/>
          </w:tcPr>
          <w:p w14:paraId="793F722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120C05C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III</w:t>
            </w:r>
          </w:p>
        </w:tc>
        <w:tc>
          <w:tcPr>
            <w:tcW w:w="588" w:type="pct"/>
            <w:tcBorders>
              <w:top w:val="nil"/>
              <w:left w:val="nil"/>
              <w:bottom w:val="single" w:sz="4" w:space="0" w:color="auto"/>
              <w:right w:val="single" w:sz="4" w:space="0" w:color="auto"/>
            </w:tcBorders>
            <w:shd w:val="clear" w:color="auto" w:fill="auto"/>
            <w:vAlign w:val="center"/>
            <w:hideMark/>
          </w:tcPr>
          <w:p w14:paraId="7246B6F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Ratifikimi i marrëveshjes ndërkombëtare që përcakton detyrime financiare vjen në zbatim të nenit 121 të Kushtetutës së Republikës së Shqipërisë, si dhe është një detyrim ligjor i përcaktuar në nenin 17 të ligjit nr. 43/2016, “Për marrëveshjet  ndërkombëtare në Republikën e Shqipërisë”. Me përfundimin e procedurave për miratimin në parim të marrëveshjes ndërkombëtare dhe pas nënshkrimit të marrëveshjes vijon procedura ratifikuese e saj me ligj </w:t>
            </w:r>
          </w:p>
        </w:tc>
        <w:tc>
          <w:tcPr>
            <w:tcW w:w="588" w:type="pct"/>
            <w:tcBorders>
              <w:top w:val="nil"/>
              <w:left w:val="nil"/>
              <w:bottom w:val="single" w:sz="4" w:space="0" w:color="auto"/>
              <w:right w:val="single" w:sz="4" w:space="0" w:color="auto"/>
            </w:tcBorders>
            <w:shd w:val="clear" w:color="auto" w:fill="auto"/>
            <w:vAlign w:val="center"/>
            <w:hideMark/>
          </w:tcPr>
          <w:p w14:paraId="1DE66F3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Nëpërmjet kësaj marrëveshje synohet të nxitet programi i shkëmbimit të studentëve, personelit akademik, kërkuesvë shkencor duke garantuar bursa për të promovuar lëvizjen dhe bashkëpunimin ndërmjet universiteteve në Evropën Qendrore.</w:t>
            </w:r>
          </w:p>
        </w:tc>
        <w:tc>
          <w:tcPr>
            <w:tcW w:w="476" w:type="pct"/>
            <w:tcBorders>
              <w:top w:val="nil"/>
              <w:left w:val="nil"/>
              <w:bottom w:val="single" w:sz="4" w:space="0" w:color="auto"/>
              <w:right w:val="single" w:sz="4" w:space="0" w:color="auto"/>
            </w:tcBorders>
            <w:shd w:val="clear" w:color="auto" w:fill="auto"/>
            <w:vAlign w:val="center"/>
            <w:hideMark/>
          </w:tcPr>
          <w:p w14:paraId="2C443A50"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Jo</w:t>
            </w:r>
          </w:p>
        </w:tc>
        <w:tc>
          <w:tcPr>
            <w:tcW w:w="516" w:type="pct"/>
            <w:tcBorders>
              <w:top w:val="nil"/>
              <w:left w:val="nil"/>
              <w:bottom w:val="single" w:sz="4" w:space="0" w:color="auto"/>
              <w:right w:val="single" w:sz="4" w:space="0" w:color="auto"/>
            </w:tcBorders>
            <w:shd w:val="clear" w:color="auto" w:fill="auto"/>
            <w:vAlign w:val="center"/>
            <w:hideMark/>
          </w:tcPr>
          <w:p w14:paraId="507DD98A"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070F721B"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769929A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Po ka efekte financiare dhe  sociale por nuk ka efekte mjedisore.</w:t>
            </w:r>
          </w:p>
        </w:tc>
      </w:tr>
      <w:tr w:rsidR="00D3179A" w:rsidRPr="00D3179A" w14:paraId="24AC3AEA" w14:textId="77777777" w:rsidTr="00D3179A">
        <w:trPr>
          <w:trHeight w:val="180"/>
          <w:jc w:val="center"/>
        </w:trPr>
        <w:tc>
          <w:tcPr>
            <w:tcW w:w="175" w:type="pct"/>
            <w:tcBorders>
              <w:top w:val="nil"/>
              <w:left w:val="single" w:sz="4" w:space="0" w:color="auto"/>
              <w:bottom w:val="single" w:sz="4" w:space="0" w:color="auto"/>
              <w:right w:val="single" w:sz="4" w:space="0" w:color="auto"/>
            </w:tcBorders>
            <w:shd w:val="clear" w:color="auto" w:fill="auto"/>
            <w:vAlign w:val="center"/>
            <w:hideMark/>
          </w:tcPr>
          <w:p w14:paraId="6967EDB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14</w:t>
            </w:r>
          </w:p>
        </w:tc>
        <w:tc>
          <w:tcPr>
            <w:tcW w:w="491" w:type="pct"/>
            <w:tcBorders>
              <w:top w:val="nil"/>
              <w:left w:val="nil"/>
              <w:bottom w:val="single" w:sz="4" w:space="0" w:color="auto"/>
              <w:right w:val="single" w:sz="4" w:space="0" w:color="auto"/>
            </w:tcBorders>
            <w:shd w:val="clear" w:color="auto" w:fill="auto"/>
            <w:vAlign w:val="center"/>
            <w:hideMark/>
          </w:tcPr>
          <w:p w14:paraId="531782F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"Për ratifikimin e marrëveshjes "Për njohjen e kualifikimeve profesionale të infermierëve, veterinerëve, farmacistëve dhe mamive në kontekstin e marreveshjes së Tregëtisë së Lirë të Evropës Qendrore". </w:t>
            </w:r>
          </w:p>
        </w:tc>
        <w:tc>
          <w:tcPr>
            <w:tcW w:w="449" w:type="pct"/>
            <w:tcBorders>
              <w:top w:val="nil"/>
              <w:left w:val="nil"/>
              <w:bottom w:val="single" w:sz="4" w:space="0" w:color="auto"/>
              <w:right w:val="single" w:sz="4" w:space="0" w:color="auto"/>
            </w:tcBorders>
            <w:shd w:val="clear" w:color="auto" w:fill="auto"/>
            <w:vAlign w:val="center"/>
            <w:hideMark/>
          </w:tcPr>
          <w:p w14:paraId="4808E0E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Projektligj</w:t>
            </w:r>
          </w:p>
        </w:tc>
        <w:tc>
          <w:tcPr>
            <w:tcW w:w="368" w:type="pct"/>
            <w:tcBorders>
              <w:top w:val="nil"/>
              <w:left w:val="nil"/>
              <w:bottom w:val="single" w:sz="4" w:space="0" w:color="auto"/>
              <w:right w:val="single" w:sz="4" w:space="0" w:color="auto"/>
            </w:tcBorders>
            <w:shd w:val="clear" w:color="auto" w:fill="auto"/>
            <w:vAlign w:val="center"/>
            <w:hideMark/>
          </w:tcPr>
          <w:p w14:paraId="17A8D237"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Ministri i Arsimit dhe Sportit </w:t>
            </w:r>
          </w:p>
        </w:tc>
        <w:tc>
          <w:tcPr>
            <w:tcW w:w="388" w:type="pct"/>
            <w:tcBorders>
              <w:top w:val="nil"/>
              <w:left w:val="nil"/>
              <w:bottom w:val="single" w:sz="4" w:space="0" w:color="auto"/>
              <w:right w:val="single" w:sz="4" w:space="0" w:color="auto"/>
            </w:tcBorders>
            <w:shd w:val="clear" w:color="auto" w:fill="auto"/>
            <w:vAlign w:val="center"/>
            <w:hideMark/>
          </w:tcPr>
          <w:p w14:paraId="429548B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D3179A">
              <w:rPr>
                <w:rFonts w:ascii="Arial" w:eastAsia="Times New Roman" w:hAnsi="Arial" w:cs="Arial"/>
                <w:color w:val="000000"/>
                <w:sz w:val="12"/>
                <w:szCs w:val="12"/>
                <w:bdr w:val="none" w:sz="0" w:space="0" w:color="auto"/>
              </w:rPr>
              <w:t>Katërmujori III</w:t>
            </w:r>
          </w:p>
        </w:tc>
        <w:tc>
          <w:tcPr>
            <w:tcW w:w="588" w:type="pct"/>
            <w:tcBorders>
              <w:top w:val="nil"/>
              <w:left w:val="nil"/>
              <w:bottom w:val="single" w:sz="4" w:space="0" w:color="auto"/>
              <w:right w:val="single" w:sz="4" w:space="0" w:color="auto"/>
            </w:tcBorders>
            <w:shd w:val="clear" w:color="auto" w:fill="auto"/>
            <w:vAlign w:val="center"/>
            <w:hideMark/>
          </w:tcPr>
          <w:p w14:paraId="74139248"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Qëllimi i këtij projektligjit është ndjekja e procedurave të miratimit të marrëveshjes, “Për </w:t>
            </w:r>
            <w:r w:rsidRPr="00D3179A">
              <w:rPr>
                <w:rFonts w:ascii="Arial" w:eastAsia="Times New Roman" w:hAnsi="Arial" w:cs="Arial"/>
                <w:sz w:val="12"/>
                <w:szCs w:val="12"/>
                <w:bdr w:val="none" w:sz="0" w:space="0" w:color="auto"/>
              </w:rPr>
              <w:br/>
              <w:t xml:space="preserve">njohjen e kualifikimeve profesionale të infermierëve, veterinerëve, farmacistëve </w:t>
            </w:r>
            <w:r w:rsidRPr="00D3179A">
              <w:rPr>
                <w:rFonts w:ascii="Arial" w:eastAsia="Times New Roman" w:hAnsi="Arial" w:cs="Arial"/>
                <w:sz w:val="12"/>
                <w:szCs w:val="12"/>
                <w:bdr w:val="none" w:sz="0" w:space="0" w:color="auto"/>
              </w:rPr>
              <w:br/>
              <w:t xml:space="preserve">dhe mamive në kontekstin e Marrëveshjes së Tregtisë së Lirë të Evropës </w:t>
            </w:r>
            <w:r w:rsidRPr="00D3179A">
              <w:rPr>
                <w:rFonts w:ascii="Arial" w:eastAsia="Times New Roman" w:hAnsi="Arial" w:cs="Arial"/>
                <w:sz w:val="12"/>
                <w:szCs w:val="12"/>
                <w:bdr w:val="none" w:sz="0" w:space="0" w:color="auto"/>
              </w:rPr>
              <w:br/>
              <w:t>Qendrore”.</w:t>
            </w:r>
            <w:r w:rsidRPr="00D3179A">
              <w:rPr>
                <w:rFonts w:ascii="Arial" w:eastAsia="Times New Roman" w:hAnsi="Arial" w:cs="Arial"/>
                <w:sz w:val="12"/>
                <w:szCs w:val="12"/>
                <w:bdr w:val="none" w:sz="0" w:space="0" w:color="auto"/>
              </w:rPr>
              <w:br/>
              <w:t xml:space="preserve">Nëpërmjet miratimit të kësaj marrëveshjeje synohet përcaktimi i rregullave për </w:t>
            </w:r>
            <w:r w:rsidRPr="00D3179A">
              <w:rPr>
                <w:rFonts w:ascii="Arial" w:eastAsia="Times New Roman" w:hAnsi="Arial" w:cs="Arial"/>
                <w:sz w:val="12"/>
                <w:szCs w:val="12"/>
                <w:bdr w:val="none" w:sz="0" w:space="0" w:color="auto"/>
              </w:rPr>
              <w:br/>
              <w:t>njohjen automatike të dëshmive të kualifikimeve formale bazuar në kushtet minimale të trajnimit brenda Palëve për akses dhe ushtrim të profesionit të rregulluar, si dhe kushtet minimale të harmonizuara të trajnimit në një ose më shumë palë të tjera dhe që lejojnë mbajtësit e kualifikimit të ndjekin të njëjtin profesion në një palë të ndryshme nga pala ku ata kanë marrë kualifikimet e tyre profesionale.</w:t>
            </w:r>
          </w:p>
        </w:tc>
        <w:tc>
          <w:tcPr>
            <w:tcW w:w="588" w:type="pct"/>
            <w:tcBorders>
              <w:top w:val="nil"/>
              <w:left w:val="nil"/>
              <w:bottom w:val="single" w:sz="4" w:space="0" w:color="auto"/>
              <w:right w:val="single" w:sz="4" w:space="0" w:color="auto"/>
            </w:tcBorders>
            <w:shd w:val="clear" w:color="auto" w:fill="auto"/>
            <w:vAlign w:val="center"/>
            <w:hideMark/>
          </w:tcPr>
          <w:p w14:paraId="2DDFD363"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Nëpërmjet miratimit të kësaj marrëveshjeje synohet përcaktimi i rregullave për njohjen automatike të dëshmive të kualifikimeve formale bazuar në kushtet minimale të trajnimit brenda Palëve për akses dhe ushtrim të profesionit të rregulluar, si dhe kushtet minimale të harmonizuara të trajnimit në një ose më </w:t>
            </w:r>
            <w:r w:rsidRPr="00D3179A">
              <w:rPr>
                <w:rFonts w:ascii="Arial" w:eastAsia="Times New Roman" w:hAnsi="Arial" w:cs="Arial"/>
                <w:sz w:val="12"/>
                <w:szCs w:val="12"/>
                <w:bdr w:val="none" w:sz="0" w:space="0" w:color="auto"/>
              </w:rPr>
              <w:br/>
              <w:t>shumë Palë të tjera, dhe që lejojnë mbajtësit e kualifikimit në fjalë të ndjekin të njëjtin profesion në një Palë të ndryshme nga Pala ku ata kanë marrë kualifikimet e tyre profesionale.</w:t>
            </w:r>
          </w:p>
        </w:tc>
        <w:tc>
          <w:tcPr>
            <w:tcW w:w="476" w:type="pct"/>
            <w:tcBorders>
              <w:top w:val="nil"/>
              <w:left w:val="nil"/>
              <w:bottom w:val="single" w:sz="4" w:space="0" w:color="auto"/>
              <w:right w:val="single" w:sz="4" w:space="0" w:color="auto"/>
            </w:tcBorders>
            <w:shd w:val="clear" w:color="auto" w:fill="auto"/>
            <w:vAlign w:val="center"/>
            <w:hideMark/>
          </w:tcPr>
          <w:p w14:paraId="7EBD40EC"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 xml:space="preserve">Ky projektvendim nuk lidhet më çështjet e përafrimit të legjislacionit me acquis </w:t>
            </w:r>
            <w:r w:rsidRPr="00D3179A">
              <w:rPr>
                <w:rFonts w:ascii="Arial" w:eastAsia="Times New Roman" w:hAnsi="Arial" w:cs="Arial"/>
                <w:sz w:val="12"/>
                <w:szCs w:val="12"/>
                <w:bdr w:val="none" w:sz="0" w:space="0" w:color="auto"/>
              </w:rPr>
              <w:br/>
              <w:t>të BE-së.</w:t>
            </w:r>
            <w:r w:rsidRPr="00D3179A">
              <w:rPr>
                <w:rFonts w:ascii="Arial" w:eastAsia="Times New Roman" w:hAnsi="Arial" w:cs="Arial"/>
                <w:sz w:val="12"/>
                <w:szCs w:val="12"/>
                <w:bdr w:val="none" w:sz="0" w:space="0" w:color="auto"/>
              </w:rPr>
              <w:br/>
              <w:t xml:space="preserve">Marrëveshja është pjesë e Planit Shumëvjeçar të Veprimit për Zonën Ekonomike Rajonale në Ballkanin Perëndimor (MAP REA), në kuadër të Planit të Veprimit të Tregut të Përbashkët Rajonal, i cili bazohet në arritjet e Zonës Ekonomike Rajonale (REA) si iniciativa e parë rajonale e këtij lloji. </w:t>
            </w:r>
            <w:r w:rsidRPr="00D3179A">
              <w:rPr>
                <w:rFonts w:ascii="Arial" w:eastAsia="Times New Roman" w:hAnsi="Arial" w:cs="Arial"/>
                <w:sz w:val="12"/>
                <w:szCs w:val="12"/>
                <w:bdr w:val="none" w:sz="0" w:space="0" w:color="auto"/>
              </w:rPr>
              <w:br/>
              <w:t>Plani i Veprimit përbëhet nga veprime të synuara në katër fusha kryesore: zona e tregtisë rajonale, zona rajonale e investimeve, zona dixhitale rajonale, zona rajonale industriale dhe inovative.</w:t>
            </w:r>
            <w:r w:rsidRPr="00D3179A">
              <w:rPr>
                <w:rFonts w:ascii="Arial" w:eastAsia="Times New Roman" w:hAnsi="Arial" w:cs="Arial"/>
                <w:sz w:val="12"/>
                <w:szCs w:val="12"/>
                <w:bdr w:val="none" w:sz="0" w:space="0" w:color="auto"/>
              </w:rPr>
              <w:br/>
              <w:t>Marrëveshja është pjesë e zonës së tregtisë së lirë rajonale e cila do të sigurojë lëvizjen e lirë të shërbimeve dhe të profesionistëve.</w:t>
            </w:r>
          </w:p>
        </w:tc>
        <w:tc>
          <w:tcPr>
            <w:tcW w:w="516" w:type="pct"/>
            <w:tcBorders>
              <w:top w:val="nil"/>
              <w:left w:val="nil"/>
              <w:bottom w:val="single" w:sz="4" w:space="0" w:color="auto"/>
              <w:right w:val="single" w:sz="4" w:space="0" w:color="auto"/>
            </w:tcBorders>
            <w:shd w:val="clear" w:color="auto" w:fill="auto"/>
            <w:vAlign w:val="center"/>
            <w:hideMark/>
          </w:tcPr>
          <w:p w14:paraId="3D709445"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Po. Fusha e Arsimit</w:t>
            </w:r>
          </w:p>
        </w:tc>
        <w:tc>
          <w:tcPr>
            <w:tcW w:w="564" w:type="pct"/>
            <w:tcBorders>
              <w:top w:val="nil"/>
              <w:left w:val="nil"/>
              <w:bottom w:val="single" w:sz="4" w:space="0" w:color="auto"/>
              <w:right w:val="single" w:sz="4" w:space="0" w:color="auto"/>
            </w:tcBorders>
            <w:shd w:val="clear" w:color="auto" w:fill="auto"/>
            <w:vAlign w:val="center"/>
            <w:hideMark/>
          </w:tcPr>
          <w:p w14:paraId="22F502B2"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Jo</w:t>
            </w:r>
          </w:p>
        </w:tc>
        <w:tc>
          <w:tcPr>
            <w:tcW w:w="398" w:type="pct"/>
            <w:tcBorders>
              <w:top w:val="nil"/>
              <w:left w:val="nil"/>
              <w:bottom w:val="single" w:sz="4" w:space="0" w:color="auto"/>
              <w:right w:val="single" w:sz="4" w:space="0" w:color="auto"/>
            </w:tcBorders>
            <w:shd w:val="clear" w:color="auto" w:fill="auto"/>
            <w:vAlign w:val="center"/>
            <w:hideMark/>
          </w:tcPr>
          <w:p w14:paraId="2C752229" w14:textId="77777777" w:rsidR="00D3179A" w:rsidRPr="00D3179A" w:rsidRDefault="00D3179A" w:rsidP="00D3179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D3179A">
              <w:rPr>
                <w:rFonts w:ascii="Arial" w:eastAsia="Times New Roman" w:hAnsi="Arial" w:cs="Arial"/>
                <w:sz w:val="12"/>
                <w:szCs w:val="12"/>
                <w:bdr w:val="none" w:sz="0" w:space="0" w:color="auto"/>
              </w:rPr>
              <w:t>Po ka efekte financiare dhe  sociale por nuk ka efekte mjedisore.</w:t>
            </w:r>
          </w:p>
        </w:tc>
      </w:tr>
    </w:tbl>
    <w:p w14:paraId="353BABFB" w14:textId="17611CA3" w:rsidR="00D3179A" w:rsidRDefault="00D3179A" w:rsidP="009F3407">
      <w:pPr>
        <w:pStyle w:val="BodyA"/>
        <w:jc w:val="center"/>
        <w:rPr>
          <w:sz w:val="28"/>
          <w:szCs w:val="28"/>
          <w:lang w:val="it-IT"/>
        </w:rPr>
      </w:pPr>
    </w:p>
    <w:p w14:paraId="03945157" w14:textId="6C012BF4" w:rsidR="000D3CBB" w:rsidRDefault="000D3CBB" w:rsidP="009F3407">
      <w:pPr>
        <w:pStyle w:val="BodyA"/>
        <w:jc w:val="center"/>
        <w:rPr>
          <w:sz w:val="28"/>
          <w:szCs w:val="28"/>
          <w:lang w:val="it-IT"/>
        </w:rPr>
      </w:pPr>
    </w:p>
    <w:p w14:paraId="04001612" w14:textId="4EB1CF87" w:rsidR="000D3CBB" w:rsidRDefault="000D3CBB" w:rsidP="009F3407">
      <w:pPr>
        <w:pStyle w:val="BodyA"/>
        <w:jc w:val="center"/>
        <w:rPr>
          <w:sz w:val="28"/>
          <w:szCs w:val="28"/>
          <w:lang w:val="it-IT"/>
        </w:rPr>
      </w:pPr>
    </w:p>
    <w:p w14:paraId="1673421E" w14:textId="5EBC24BB" w:rsidR="005139E5" w:rsidRDefault="005139E5" w:rsidP="009F3407">
      <w:pPr>
        <w:pStyle w:val="BodyA"/>
        <w:jc w:val="center"/>
        <w:rPr>
          <w:sz w:val="28"/>
          <w:szCs w:val="28"/>
          <w:lang w:val="it-IT"/>
        </w:rPr>
      </w:pPr>
    </w:p>
    <w:p w14:paraId="72D9FDBC" w14:textId="2FE81367" w:rsidR="005139E5" w:rsidRDefault="005139E5" w:rsidP="009F3407">
      <w:pPr>
        <w:pStyle w:val="BodyA"/>
        <w:jc w:val="center"/>
        <w:rPr>
          <w:sz w:val="28"/>
          <w:szCs w:val="28"/>
          <w:lang w:val="it-IT"/>
        </w:rPr>
      </w:pPr>
    </w:p>
    <w:p w14:paraId="753D24DD" w14:textId="45BC394E" w:rsidR="005139E5" w:rsidRDefault="005139E5" w:rsidP="009F3407">
      <w:pPr>
        <w:pStyle w:val="BodyA"/>
        <w:jc w:val="center"/>
        <w:rPr>
          <w:sz w:val="28"/>
          <w:szCs w:val="28"/>
          <w:lang w:val="it-IT"/>
        </w:rPr>
      </w:pPr>
    </w:p>
    <w:p w14:paraId="60EF4B76" w14:textId="572EDDCF" w:rsidR="005139E5" w:rsidRDefault="005139E5" w:rsidP="009F3407">
      <w:pPr>
        <w:pStyle w:val="BodyA"/>
        <w:jc w:val="center"/>
        <w:rPr>
          <w:sz w:val="28"/>
          <w:szCs w:val="28"/>
          <w:lang w:val="it-IT"/>
        </w:rPr>
      </w:pPr>
    </w:p>
    <w:p w14:paraId="3C003646" w14:textId="6F2F00BB" w:rsidR="005139E5" w:rsidRDefault="005139E5" w:rsidP="009F3407">
      <w:pPr>
        <w:pStyle w:val="BodyA"/>
        <w:jc w:val="center"/>
        <w:rPr>
          <w:sz w:val="28"/>
          <w:szCs w:val="28"/>
          <w:lang w:val="it-IT"/>
        </w:rPr>
      </w:pPr>
    </w:p>
    <w:p w14:paraId="793BF5F3" w14:textId="0C575A66" w:rsidR="005139E5" w:rsidRDefault="005139E5" w:rsidP="009F3407">
      <w:pPr>
        <w:pStyle w:val="BodyA"/>
        <w:jc w:val="center"/>
        <w:rPr>
          <w:sz w:val="28"/>
          <w:szCs w:val="28"/>
          <w:lang w:val="it-IT"/>
        </w:rPr>
      </w:pPr>
    </w:p>
    <w:p w14:paraId="0E33BCEC" w14:textId="71E3503F" w:rsidR="005139E5" w:rsidRDefault="005139E5" w:rsidP="009F3407">
      <w:pPr>
        <w:pStyle w:val="BodyA"/>
        <w:jc w:val="center"/>
        <w:rPr>
          <w:sz w:val="28"/>
          <w:szCs w:val="28"/>
          <w:lang w:val="it-IT"/>
        </w:rPr>
      </w:pPr>
    </w:p>
    <w:p w14:paraId="388A68AA" w14:textId="30DE0B44" w:rsidR="005139E5" w:rsidRDefault="005139E5" w:rsidP="009F3407">
      <w:pPr>
        <w:pStyle w:val="BodyA"/>
        <w:jc w:val="center"/>
        <w:rPr>
          <w:sz w:val="28"/>
          <w:szCs w:val="28"/>
          <w:lang w:val="it-IT"/>
        </w:rPr>
      </w:pPr>
    </w:p>
    <w:p w14:paraId="5162EA72" w14:textId="5AC900D6" w:rsidR="005139E5" w:rsidRDefault="005139E5" w:rsidP="009F3407">
      <w:pPr>
        <w:pStyle w:val="BodyA"/>
        <w:jc w:val="center"/>
        <w:rPr>
          <w:sz w:val="28"/>
          <w:szCs w:val="28"/>
          <w:lang w:val="it-IT"/>
        </w:rPr>
      </w:pPr>
    </w:p>
    <w:p w14:paraId="6C320162" w14:textId="556BFF2A" w:rsidR="005139E5" w:rsidRDefault="005139E5" w:rsidP="009F3407">
      <w:pPr>
        <w:pStyle w:val="BodyA"/>
        <w:jc w:val="center"/>
        <w:rPr>
          <w:sz w:val="28"/>
          <w:szCs w:val="28"/>
          <w:lang w:val="it-IT"/>
        </w:rPr>
      </w:pPr>
    </w:p>
    <w:p w14:paraId="2B28E41F" w14:textId="5AC44862" w:rsidR="005139E5" w:rsidRDefault="005139E5" w:rsidP="009F3407">
      <w:pPr>
        <w:pStyle w:val="BodyA"/>
        <w:jc w:val="center"/>
        <w:rPr>
          <w:sz w:val="28"/>
          <w:szCs w:val="28"/>
          <w:lang w:val="it-IT"/>
        </w:rPr>
      </w:pPr>
    </w:p>
    <w:p w14:paraId="3719D09D" w14:textId="7464D7EC" w:rsidR="005139E5" w:rsidRDefault="005139E5" w:rsidP="009F3407">
      <w:pPr>
        <w:pStyle w:val="BodyA"/>
        <w:jc w:val="center"/>
        <w:rPr>
          <w:sz w:val="28"/>
          <w:szCs w:val="28"/>
          <w:lang w:val="it-IT"/>
        </w:rPr>
      </w:pPr>
    </w:p>
    <w:p w14:paraId="5BBC5E1C" w14:textId="64734F3B" w:rsidR="005139E5" w:rsidRDefault="005139E5" w:rsidP="009F3407">
      <w:pPr>
        <w:pStyle w:val="BodyA"/>
        <w:jc w:val="center"/>
        <w:rPr>
          <w:sz w:val="28"/>
          <w:szCs w:val="28"/>
          <w:lang w:val="it-IT"/>
        </w:rPr>
      </w:pPr>
    </w:p>
    <w:p w14:paraId="36B37C53" w14:textId="1EB55997" w:rsidR="005139E5" w:rsidRDefault="005139E5" w:rsidP="009F3407">
      <w:pPr>
        <w:pStyle w:val="BodyA"/>
        <w:jc w:val="center"/>
        <w:rPr>
          <w:sz w:val="28"/>
          <w:szCs w:val="28"/>
          <w:lang w:val="it-IT"/>
        </w:rPr>
      </w:pPr>
    </w:p>
    <w:p w14:paraId="2E3ABCBD" w14:textId="1E67720F" w:rsidR="005139E5" w:rsidRDefault="005139E5" w:rsidP="009F3407">
      <w:pPr>
        <w:pStyle w:val="BodyA"/>
        <w:jc w:val="center"/>
        <w:rPr>
          <w:sz w:val="28"/>
          <w:szCs w:val="28"/>
          <w:lang w:val="it-IT"/>
        </w:rPr>
      </w:pPr>
    </w:p>
    <w:p w14:paraId="018F634C" w14:textId="74E116C6" w:rsidR="005139E5" w:rsidRDefault="005139E5" w:rsidP="009F3407">
      <w:pPr>
        <w:pStyle w:val="BodyA"/>
        <w:jc w:val="center"/>
        <w:rPr>
          <w:sz w:val="28"/>
          <w:szCs w:val="28"/>
          <w:lang w:val="it-IT"/>
        </w:rPr>
      </w:pPr>
    </w:p>
    <w:p w14:paraId="7A33A4A9" w14:textId="2A40E101" w:rsidR="005139E5" w:rsidRDefault="005139E5" w:rsidP="009F3407">
      <w:pPr>
        <w:pStyle w:val="BodyA"/>
        <w:jc w:val="center"/>
        <w:rPr>
          <w:sz w:val="28"/>
          <w:szCs w:val="28"/>
          <w:lang w:val="it-IT"/>
        </w:rPr>
      </w:pPr>
    </w:p>
    <w:p w14:paraId="1604B5B6" w14:textId="4DBBD27F" w:rsidR="005139E5" w:rsidRDefault="005139E5" w:rsidP="009F3407">
      <w:pPr>
        <w:pStyle w:val="BodyA"/>
        <w:jc w:val="center"/>
        <w:rPr>
          <w:sz w:val="28"/>
          <w:szCs w:val="28"/>
          <w:lang w:val="it-IT"/>
        </w:rPr>
      </w:pPr>
    </w:p>
    <w:p w14:paraId="398721A3" w14:textId="10223958" w:rsidR="005139E5" w:rsidRDefault="005139E5" w:rsidP="009F3407">
      <w:pPr>
        <w:pStyle w:val="BodyA"/>
        <w:jc w:val="center"/>
        <w:rPr>
          <w:sz w:val="28"/>
          <w:szCs w:val="28"/>
          <w:lang w:val="it-IT"/>
        </w:rPr>
      </w:pPr>
    </w:p>
    <w:p w14:paraId="0BFE9141" w14:textId="40172B80" w:rsidR="005139E5" w:rsidRDefault="005139E5" w:rsidP="009F3407">
      <w:pPr>
        <w:pStyle w:val="BodyA"/>
        <w:jc w:val="center"/>
        <w:rPr>
          <w:sz w:val="28"/>
          <w:szCs w:val="28"/>
          <w:lang w:val="it-IT"/>
        </w:rPr>
      </w:pPr>
    </w:p>
    <w:p w14:paraId="53ECB2E1" w14:textId="3A97325D" w:rsidR="005139E5" w:rsidRDefault="005139E5" w:rsidP="009F3407">
      <w:pPr>
        <w:pStyle w:val="BodyA"/>
        <w:jc w:val="center"/>
        <w:rPr>
          <w:sz w:val="28"/>
          <w:szCs w:val="28"/>
          <w:lang w:val="it-IT"/>
        </w:rPr>
      </w:pPr>
    </w:p>
    <w:tbl>
      <w:tblPr>
        <w:tblW w:w="5000" w:type="pct"/>
        <w:tblLook w:val="04A0" w:firstRow="1" w:lastRow="0" w:firstColumn="1" w:lastColumn="0" w:noHBand="0" w:noVBand="1"/>
      </w:tblPr>
      <w:tblGrid>
        <w:gridCol w:w="383"/>
        <w:gridCol w:w="2005"/>
        <w:gridCol w:w="977"/>
        <w:gridCol w:w="964"/>
        <w:gridCol w:w="830"/>
        <w:gridCol w:w="2181"/>
        <w:gridCol w:w="2134"/>
        <w:gridCol w:w="917"/>
        <w:gridCol w:w="1130"/>
        <w:gridCol w:w="1297"/>
        <w:gridCol w:w="1130"/>
      </w:tblGrid>
      <w:tr w:rsidR="005139E5" w:rsidRPr="005139E5" w14:paraId="771B1575" w14:textId="77777777" w:rsidTr="005139E5">
        <w:trPr>
          <w:trHeight w:val="180"/>
        </w:trPr>
        <w:tc>
          <w:tcPr>
            <w:tcW w:w="5000" w:type="pct"/>
            <w:gridSpan w:val="11"/>
            <w:tcBorders>
              <w:top w:val="single" w:sz="4" w:space="0" w:color="auto"/>
              <w:left w:val="single" w:sz="4" w:space="0" w:color="auto"/>
              <w:bottom w:val="single" w:sz="4" w:space="0" w:color="auto"/>
              <w:right w:val="single" w:sz="4" w:space="0" w:color="auto"/>
            </w:tcBorders>
            <w:shd w:val="clear" w:color="000000" w:fill="F2F2F2"/>
            <w:vAlign w:val="center"/>
            <w:hideMark/>
          </w:tcPr>
          <w:p w14:paraId="5705084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5139E5">
              <w:rPr>
                <w:rFonts w:ascii="Arial" w:eastAsia="Times New Roman" w:hAnsi="Arial" w:cs="Arial"/>
                <w:b/>
                <w:bCs/>
                <w:color w:val="000000"/>
                <w:sz w:val="12"/>
                <w:szCs w:val="12"/>
                <w:bdr w:val="none" w:sz="0" w:space="0" w:color="auto"/>
              </w:rPr>
              <w:t>Programi i Përgjithshëm Analitik i Projektakteve për vitin 2024</w:t>
            </w:r>
          </w:p>
        </w:tc>
      </w:tr>
      <w:tr w:rsidR="005139E5" w:rsidRPr="005139E5" w14:paraId="27EF5C10" w14:textId="77777777" w:rsidTr="005139E5">
        <w:trPr>
          <w:trHeight w:val="180"/>
        </w:trPr>
        <w:tc>
          <w:tcPr>
            <w:tcW w:w="5000" w:type="pct"/>
            <w:gridSpan w:val="11"/>
            <w:tcBorders>
              <w:top w:val="single" w:sz="4" w:space="0" w:color="auto"/>
              <w:left w:val="single" w:sz="4" w:space="0" w:color="auto"/>
              <w:bottom w:val="nil"/>
              <w:right w:val="single" w:sz="4" w:space="0" w:color="auto"/>
            </w:tcBorders>
            <w:shd w:val="clear" w:color="000000" w:fill="F2F2F2"/>
            <w:vAlign w:val="center"/>
            <w:hideMark/>
          </w:tcPr>
          <w:p w14:paraId="651313E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5139E5">
              <w:rPr>
                <w:rFonts w:ascii="Arial" w:eastAsia="Times New Roman" w:hAnsi="Arial" w:cs="Arial"/>
                <w:b/>
                <w:bCs/>
                <w:color w:val="000000"/>
                <w:sz w:val="12"/>
                <w:szCs w:val="12"/>
                <w:bdr w:val="none" w:sz="0" w:space="0" w:color="auto"/>
              </w:rPr>
              <w:t>Ministria e Brendshme</w:t>
            </w:r>
          </w:p>
        </w:tc>
      </w:tr>
      <w:tr w:rsidR="005139E5" w:rsidRPr="005139E5" w14:paraId="0A340C58" w14:textId="77777777" w:rsidTr="005139E5">
        <w:trPr>
          <w:trHeight w:val="180"/>
        </w:trPr>
        <w:tc>
          <w:tcPr>
            <w:tcW w:w="102"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24AB8EC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Nr.</w:t>
            </w:r>
          </w:p>
        </w:tc>
        <w:tc>
          <w:tcPr>
            <w:tcW w:w="747" w:type="pct"/>
            <w:tcBorders>
              <w:top w:val="single" w:sz="4" w:space="0" w:color="auto"/>
              <w:left w:val="nil"/>
              <w:bottom w:val="single" w:sz="4" w:space="0" w:color="auto"/>
              <w:right w:val="single" w:sz="4" w:space="0" w:color="auto"/>
            </w:tcBorders>
            <w:shd w:val="clear" w:color="000000" w:fill="C00000"/>
            <w:vAlign w:val="center"/>
            <w:hideMark/>
          </w:tcPr>
          <w:p w14:paraId="6492492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Titulli i projektaktit</w:t>
            </w:r>
          </w:p>
        </w:tc>
        <w:tc>
          <w:tcPr>
            <w:tcW w:w="300" w:type="pct"/>
            <w:tcBorders>
              <w:top w:val="single" w:sz="4" w:space="0" w:color="auto"/>
              <w:left w:val="nil"/>
              <w:bottom w:val="single" w:sz="4" w:space="0" w:color="auto"/>
              <w:right w:val="single" w:sz="4" w:space="0" w:color="auto"/>
            </w:tcBorders>
            <w:shd w:val="clear" w:color="000000" w:fill="C00000"/>
            <w:vAlign w:val="center"/>
            <w:hideMark/>
          </w:tcPr>
          <w:p w14:paraId="5B0C5E1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Lloji i projektaktit</w:t>
            </w:r>
          </w:p>
        </w:tc>
        <w:tc>
          <w:tcPr>
            <w:tcW w:w="374" w:type="pct"/>
            <w:tcBorders>
              <w:top w:val="single" w:sz="4" w:space="0" w:color="auto"/>
              <w:left w:val="nil"/>
              <w:bottom w:val="single" w:sz="4" w:space="0" w:color="auto"/>
              <w:right w:val="single" w:sz="4" w:space="0" w:color="auto"/>
            </w:tcBorders>
            <w:shd w:val="clear" w:color="000000" w:fill="C00000"/>
            <w:vAlign w:val="center"/>
            <w:hideMark/>
          </w:tcPr>
          <w:p w14:paraId="04826FC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Ministri propozues</w:t>
            </w:r>
          </w:p>
        </w:tc>
        <w:tc>
          <w:tcPr>
            <w:tcW w:w="289" w:type="pct"/>
            <w:tcBorders>
              <w:top w:val="single" w:sz="4" w:space="0" w:color="auto"/>
              <w:left w:val="nil"/>
              <w:bottom w:val="single" w:sz="4" w:space="0" w:color="auto"/>
              <w:right w:val="single" w:sz="4" w:space="0" w:color="auto"/>
            </w:tcBorders>
            <w:shd w:val="clear" w:color="000000" w:fill="C00000"/>
            <w:vAlign w:val="center"/>
            <w:hideMark/>
          </w:tcPr>
          <w:p w14:paraId="1B07BDF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Katër mujori</w:t>
            </w:r>
          </w:p>
        </w:tc>
        <w:tc>
          <w:tcPr>
            <w:tcW w:w="810" w:type="pct"/>
            <w:tcBorders>
              <w:top w:val="single" w:sz="4" w:space="0" w:color="auto"/>
              <w:left w:val="nil"/>
              <w:bottom w:val="single" w:sz="4" w:space="0" w:color="auto"/>
              <w:right w:val="single" w:sz="4" w:space="0" w:color="auto"/>
            </w:tcBorders>
            <w:shd w:val="clear" w:color="000000" w:fill="C00000"/>
            <w:vAlign w:val="center"/>
            <w:hideMark/>
          </w:tcPr>
          <w:p w14:paraId="130FE3A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Arsyet kryesore për propozimin e projektaktit</w:t>
            </w:r>
          </w:p>
        </w:tc>
        <w:tc>
          <w:tcPr>
            <w:tcW w:w="793" w:type="pct"/>
            <w:tcBorders>
              <w:top w:val="single" w:sz="4" w:space="0" w:color="auto"/>
              <w:left w:val="nil"/>
              <w:bottom w:val="single" w:sz="4" w:space="0" w:color="auto"/>
              <w:right w:val="single" w:sz="4" w:space="0" w:color="auto"/>
            </w:tcBorders>
            <w:shd w:val="clear" w:color="000000" w:fill="C00000"/>
            <w:vAlign w:val="center"/>
            <w:hideMark/>
          </w:tcPr>
          <w:p w14:paraId="639C801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 xml:space="preserve">Çështjet kryesore që parashikon të rregullojë projektakti </w:t>
            </w:r>
          </w:p>
        </w:tc>
        <w:tc>
          <w:tcPr>
            <w:tcW w:w="264" w:type="pct"/>
            <w:tcBorders>
              <w:top w:val="single" w:sz="4" w:space="0" w:color="auto"/>
              <w:left w:val="nil"/>
              <w:bottom w:val="single" w:sz="4" w:space="0" w:color="auto"/>
              <w:right w:val="single" w:sz="4" w:space="0" w:color="auto"/>
            </w:tcBorders>
            <w:shd w:val="clear" w:color="000000" w:fill="C00000"/>
            <w:vAlign w:val="center"/>
            <w:hideMark/>
          </w:tcPr>
          <w:p w14:paraId="05EABBB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A është parashikuar projektakti në PKIE?</w:t>
            </w:r>
            <w:r w:rsidRPr="005139E5">
              <w:rPr>
                <w:rFonts w:ascii="Arial" w:eastAsia="Times New Roman" w:hAnsi="Arial" w:cs="Arial"/>
                <w:b/>
                <w:bCs/>
                <w:color w:val="FFFFFF"/>
                <w:sz w:val="12"/>
                <w:szCs w:val="12"/>
                <w:bdr w:val="none" w:sz="0" w:space="0" w:color="auto"/>
              </w:rPr>
              <w:br/>
            </w:r>
            <w:r w:rsidRPr="005139E5">
              <w:rPr>
                <w:rFonts w:ascii="Arial" w:eastAsia="Times New Roman" w:hAnsi="Arial" w:cs="Arial"/>
                <w:b/>
                <w:bCs/>
                <w:color w:val="FFFFFF"/>
                <w:sz w:val="12"/>
                <w:szCs w:val="12"/>
                <w:bdr w:val="none" w:sz="0" w:space="0" w:color="auto"/>
              </w:rPr>
              <w:br/>
              <w:t>Nëse po, të specifikohet kapitulli përkatës</w:t>
            </w:r>
          </w:p>
        </w:tc>
        <w:tc>
          <w:tcPr>
            <w:tcW w:w="395" w:type="pct"/>
            <w:tcBorders>
              <w:top w:val="single" w:sz="4" w:space="0" w:color="auto"/>
              <w:left w:val="nil"/>
              <w:bottom w:val="single" w:sz="4" w:space="0" w:color="auto"/>
              <w:right w:val="single" w:sz="4" w:space="0" w:color="auto"/>
            </w:tcBorders>
            <w:shd w:val="clear" w:color="000000" w:fill="C00000"/>
            <w:vAlign w:val="center"/>
            <w:hideMark/>
          </w:tcPr>
          <w:p w14:paraId="1930084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Përputhshmëria e projektaktit me programin politik qeverisës 2021-2025</w:t>
            </w:r>
            <w:r w:rsidRPr="005139E5">
              <w:rPr>
                <w:rFonts w:ascii="Arial" w:eastAsia="Times New Roman" w:hAnsi="Arial" w:cs="Arial"/>
                <w:b/>
                <w:bCs/>
                <w:color w:val="FFFFFF"/>
                <w:sz w:val="12"/>
                <w:szCs w:val="12"/>
                <w:bdr w:val="none" w:sz="0" w:space="0" w:color="auto"/>
              </w:rPr>
              <w:br/>
            </w:r>
            <w:r w:rsidRPr="005139E5">
              <w:rPr>
                <w:rFonts w:ascii="Arial" w:eastAsia="Times New Roman" w:hAnsi="Arial" w:cs="Arial"/>
                <w:b/>
                <w:bCs/>
                <w:color w:val="FFFFFF"/>
                <w:sz w:val="12"/>
                <w:szCs w:val="12"/>
                <w:bdr w:val="none" w:sz="0" w:space="0" w:color="auto"/>
              </w:rPr>
              <w:br/>
              <w:t>Nëse përputhet, të jepet  referenca e saktë në progam</w:t>
            </w:r>
          </w:p>
        </w:tc>
        <w:tc>
          <w:tcPr>
            <w:tcW w:w="493" w:type="pct"/>
            <w:tcBorders>
              <w:top w:val="single" w:sz="4" w:space="0" w:color="auto"/>
              <w:left w:val="nil"/>
              <w:bottom w:val="single" w:sz="4" w:space="0" w:color="auto"/>
              <w:right w:val="single" w:sz="4" w:space="0" w:color="auto"/>
            </w:tcBorders>
            <w:shd w:val="clear" w:color="000000" w:fill="C00000"/>
            <w:vAlign w:val="center"/>
            <w:hideMark/>
          </w:tcPr>
          <w:p w14:paraId="62BACA2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Lidhja e projektaktit me strategjitë kombëtare dhe sektoriale</w:t>
            </w:r>
            <w:r w:rsidRPr="005139E5">
              <w:rPr>
                <w:rFonts w:ascii="Arial" w:eastAsia="Times New Roman" w:hAnsi="Arial" w:cs="Arial"/>
                <w:b/>
                <w:bCs/>
                <w:color w:val="FFFFFF"/>
                <w:sz w:val="12"/>
                <w:szCs w:val="12"/>
                <w:bdr w:val="none" w:sz="0" w:space="0" w:color="auto"/>
              </w:rPr>
              <w:br/>
            </w:r>
            <w:r w:rsidRPr="005139E5">
              <w:rPr>
                <w:rFonts w:ascii="Arial" w:eastAsia="Times New Roman" w:hAnsi="Arial" w:cs="Arial"/>
                <w:b/>
                <w:bCs/>
                <w:color w:val="FFFFFF"/>
                <w:sz w:val="12"/>
                <w:szCs w:val="12"/>
                <w:bdr w:val="none" w:sz="0" w:space="0" w:color="auto"/>
              </w:rPr>
              <w:br/>
              <w:t>Nëse lidhet, të specifikohen strategjitë</w:t>
            </w:r>
          </w:p>
        </w:tc>
        <w:tc>
          <w:tcPr>
            <w:tcW w:w="433" w:type="pct"/>
            <w:tcBorders>
              <w:top w:val="single" w:sz="4" w:space="0" w:color="auto"/>
              <w:left w:val="nil"/>
              <w:bottom w:val="single" w:sz="4" w:space="0" w:color="auto"/>
              <w:right w:val="nil"/>
            </w:tcBorders>
            <w:shd w:val="clear" w:color="000000" w:fill="C00000"/>
            <w:vAlign w:val="center"/>
            <w:hideMark/>
          </w:tcPr>
          <w:p w14:paraId="32EB5BF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5139E5">
              <w:rPr>
                <w:rFonts w:ascii="Arial" w:eastAsia="Times New Roman" w:hAnsi="Arial" w:cs="Arial"/>
                <w:b/>
                <w:bCs/>
                <w:color w:val="FFFFFF"/>
                <w:sz w:val="12"/>
                <w:szCs w:val="12"/>
                <w:bdr w:val="none" w:sz="0" w:space="0" w:color="auto"/>
              </w:rPr>
              <w:t>Ndikimet e mundshme ekonomike, financiare, sociale dhe mjedisore</w:t>
            </w:r>
            <w:r w:rsidRPr="005139E5">
              <w:rPr>
                <w:rFonts w:ascii="Arial" w:eastAsia="Times New Roman" w:hAnsi="Arial" w:cs="Arial"/>
                <w:b/>
                <w:bCs/>
                <w:color w:val="FFFFFF"/>
                <w:sz w:val="12"/>
                <w:szCs w:val="12"/>
                <w:bdr w:val="none" w:sz="0" w:space="0" w:color="auto"/>
              </w:rPr>
              <w:br/>
            </w:r>
            <w:r w:rsidRPr="005139E5">
              <w:rPr>
                <w:rFonts w:ascii="Arial" w:eastAsia="Times New Roman" w:hAnsi="Arial" w:cs="Arial"/>
                <w:b/>
                <w:bCs/>
                <w:color w:val="FFFFFF"/>
                <w:sz w:val="12"/>
                <w:szCs w:val="12"/>
                <w:bdr w:val="none" w:sz="0" w:space="0" w:color="auto"/>
              </w:rPr>
              <w:br/>
              <w:t xml:space="preserve">Përgjigjuni me Po/Jo për ndikimet përkatëse </w:t>
            </w:r>
          </w:p>
        </w:tc>
      </w:tr>
      <w:tr w:rsidR="005139E5" w:rsidRPr="005139E5" w14:paraId="0ADDB370"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09CA37E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w:t>
            </w:r>
          </w:p>
        </w:tc>
        <w:tc>
          <w:tcPr>
            <w:tcW w:w="747" w:type="pct"/>
            <w:tcBorders>
              <w:top w:val="nil"/>
              <w:left w:val="nil"/>
              <w:bottom w:val="single" w:sz="4" w:space="0" w:color="auto"/>
              <w:right w:val="single" w:sz="4" w:space="0" w:color="auto"/>
            </w:tcBorders>
            <w:shd w:val="clear" w:color="auto" w:fill="auto"/>
            <w:vAlign w:val="center"/>
            <w:hideMark/>
          </w:tcPr>
          <w:p w14:paraId="2DCE772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disa shtesa dhe ndryshime në ligjin nr. 10123, datë 11.05.2009, “Për Gjendjen Civile”</w:t>
            </w:r>
          </w:p>
        </w:tc>
        <w:tc>
          <w:tcPr>
            <w:tcW w:w="300" w:type="pct"/>
            <w:tcBorders>
              <w:top w:val="nil"/>
              <w:left w:val="nil"/>
              <w:bottom w:val="single" w:sz="4" w:space="0" w:color="auto"/>
              <w:right w:val="single" w:sz="4" w:space="0" w:color="auto"/>
            </w:tcBorders>
            <w:shd w:val="clear" w:color="auto" w:fill="auto"/>
            <w:vAlign w:val="center"/>
            <w:hideMark/>
          </w:tcPr>
          <w:p w14:paraId="64BDC06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Projektligj</w:t>
            </w:r>
          </w:p>
        </w:tc>
        <w:tc>
          <w:tcPr>
            <w:tcW w:w="374" w:type="pct"/>
            <w:tcBorders>
              <w:top w:val="nil"/>
              <w:left w:val="nil"/>
              <w:bottom w:val="single" w:sz="4" w:space="0" w:color="auto"/>
              <w:right w:val="single" w:sz="4" w:space="0" w:color="auto"/>
            </w:tcBorders>
            <w:shd w:val="clear" w:color="auto" w:fill="auto"/>
            <w:vAlign w:val="center"/>
            <w:hideMark/>
          </w:tcPr>
          <w:p w14:paraId="5E8BE45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37C4008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w:t>
            </w:r>
          </w:p>
        </w:tc>
        <w:tc>
          <w:tcPr>
            <w:tcW w:w="810" w:type="pct"/>
            <w:tcBorders>
              <w:top w:val="nil"/>
              <w:left w:val="nil"/>
              <w:bottom w:val="single" w:sz="4" w:space="0" w:color="auto"/>
              <w:right w:val="single" w:sz="4" w:space="0" w:color="auto"/>
            </w:tcBorders>
            <w:shd w:val="clear" w:color="auto" w:fill="auto"/>
            <w:vAlign w:val="center"/>
            <w:hideMark/>
          </w:tcPr>
          <w:p w14:paraId="755403F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Ligji ka nevojë për rishikim në të gjithë nenet e vendbanimit dhe shërbimit të gjendjes civile ndaj shtetasve, në vijim të kalimit të shërbimeve online.</w:t>
            </w:r>
          </w:p>
        </w:tc>
        <w:tc>
          <w:tcPr>
            <w:tcW w:w="793" w:type="pct"/>
            <w:tcBorders>
              <w:top w:val="nil"/>
              <w:left w:val="nil"/>
              <w:bottom w:val="single" w:sz="4" w:space="0" w:color="auto"/>
              <w:right w:val="single" w:sz="4" w:space="0" w:color="auto"/>
            </w:tcBorders>
            <w:shd w:val="clear" w:color="auto" w:fill="auto"/>
            <w:vAlign w:val="center"/>
            <w:hideMark/>
          </w:tcPr>
          <w:p w14:paraId="332A0AC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Ky projektvendim</w:t>
            </w:r>
            <w:r w:rsidRPr="005139E5">
              <w:rPr>
                <w:rFonts w:ascii="Arial" w:eastAsia="Times New Roman" w:hAnsi="Arial" w:cs="Arial"/>
                <w:color w:val="000000"/>
                <w:sz w:val="12"/>
                <w:szCs w:val="12"/>
                <w:bdr w:val="none" w:sz="0" w:space="0" w:color="auto"/>
              </w:rPr>
              <w:br/>
              <w:t>synon të rregullojë</w:t>
            </w:r>
            <w:r w:rsidRPr="005139E5">
              <w:rPr>
                <w:rFonts w:ascii="Arial" w:eastAsia="Times New Roman" w:hAnsi="Arial" w:cs="Arial"/>
                <w:color w:val="000000"/>
                <w:sz w:val="12"/>
                <w:szCs w:val="12"/>
                <w:bdr w:val="none" w:sz="0" w:space="0" w:color="auto"/>
              </w:rPr>
              <w:br/>
              <w:t>mënyrën e ofrimit</w:t>
            </w:r>
            <w:r w:rsidRPr="005139E5">
              <w:rPr>
                <w:rFonts w:ascii="Arial" w:eastAsia="Times New Roman" w:hAnsi="Arial" w:cs="Arial"/>
                <w:color w:val="000000"/>
                <w:sz w:val="12"/>
                <w:szCs w:val="12"/>
                <w:bdr w:val="none" w:sz="0" w:space="0" w:color="auto"/>
              </w:rPr>
              <w:br/>
              <w:t>të shërbimeve të</w:t>
            </w:r>
            <w:r w:rsidRPr="005139E5">
              <w:rPr>
                <w:rFonts w:ascii="Arial" w:eastAsia="Times New Roman" w:hAnsi="Arial" w:cs="Arial"/>
                <w:color w:val="000000"/>
                <w:sz w:val="12"/>
                <w:szCs w:val="12"/>
                <w:bdr w:val="none" w:sz="0" w:space="0" w:color="auto"/>
              </w:rPr>
              <w:br/>
              <w:t>gjendjes civile ndaj</w:t>
            </w:r>
            <w:r w:rsidRPr="005139E5">
              <w:rPr>
                <w:rFonts w:ascii="Arial" w:eastAsia="Times New Roman" w:hAnsi="Arial" w:cs="Arial"/>
                <w:color w:val="000000"/>
                <w:sz w:val="12"/>
                <w:szCs w:val="12"/>
                <w:bdr w:val="none" w:sz="0" w:space="0" w:color="auto"/>
              </w:rPr>
              <w:br/>
              <w:t>shtetasve, në vijim</w:t>
            </w:r>
            <w:r w:rsidRPr="005139E5">
              <w:rPr>
                <w:rFonts w:ascii="Arial" w:eastAsia="Times New Roman" w:hAnsi="Arial" w:cs="Arial"/>
                <w:color w:val="000000"/>
                <w:sz w:val="12"/>
                <w:szCs w:val="12"/>
                <w:bdr w:val="none" w:sz="0" w:space="0" w:color="auto"/>
              </w:rPr>
              <w:br/>
              <w:t>të kalimit të</w:t>
            </w:r>
            <w:r w:rsidRPr="005139E5">
              <w:rPr>
                <w:rFonts w:ascii="Arial" w:eastAsia="Times New Roman" w:hAnsi="Arial" w:cs="Arial"/>
                <w:color w:val="000000"/>
                <w:sz w:val="12"/>
                <w:szCs w:val="12"/>
                <w:bdr w:val="none" w:sz="0" w:space="0" w:color="auto"/>
              </w:rPr>
              <w:br/>
              <w:t>shërbimeve publike online.</w:t>
            </w:r>
          </w:p>
        </w:tc>
        <w:tc>
          <w:tcPr>
            <w:tcW w:w="264" w:type="pct"/>
            <w:tcBorders>
              <w:top w:val="nil"/>
              <w:left w:val="nil"/>
              <w:bottom w:val="single" w:sz="4" w:space="0" w:color="auto"/>
              <w:right w:val="single" w:sz="4" w:space="0" w:color="auto"/>
            </w:tcBorders>
            <w:shd w:val="clear" w:color="auto" w:fill="auto"/>
            <w:vAlign w:val="center"/>
            <w:hideMark/>
          </w:tcPr>
          <w:p w14:paraId="6EEC568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Jo </w:t>
            </w:r>
          </w:p>
        </w:tc>
        <w:tc>
          <w:tcPr>
            <w:tcW w:w="395" w:type="pct"/>
            <w:tcBorders>
              <w:top w:val="nil"/>
              <w:left w:val="nil"/>
              <w:bottom w:val="single" w:sz="4" w:space="0" w:color="auto"/>
              <w:right w:val="single" w:sz="4" w:space="0" w:color="auto"/>
            </w:tcBorders>
            <w:shd w:val="clear" w:color="auto" w:fill="auto"/>
            <w:vAlign w:val="center"/>
            <w:hideMark/>
          </w:tcPr>
          <w:p w14:paraId="7BC0318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p>
        </w:tc>
        <w:tc>
          <w:tcPr>
            <w:tcW w:w="493" w:type="pct"/>
            <w:tcBorders>
              <w:top w:val="nil"/>
              <w:left w:val="nil"/>
              <w:bottom w:val="single" w:sz="4" w:space="0" w:color="auto"/>
              <w:right w:val="single" w:sz="4" w:space="0" w:color="auto"/>
            </w:tcBorders>
            <w:shd w:val="clear" w:color="auto" w:fill="auto"/>
            <w:vAlign w:val="center"/>
            <w:hideMark/>
          </w:tcPr>
          <w:p w14:paraId="1739537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0D4428C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r>
      <w:tr w:rsidR="005139E5" w:rsidRPr="005139E5" w14:paraId="7EFDC7E0"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7639924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2</w:t>
            </w:r>
          </w:p>
        </w:tc>
        <w:tc>
          <w:tcPr>
            <w:tcW w:w="747" w:type="pct"/>
            <w:tcBorders>
              <w:top w:val="nil"/>
              <w:left w:val="nil"/>
              <w:bottom w:val="single" w:sz="4" w:space="0" w:color="auto"/>
              <w:right w:val="single" w:sz="4" w:space="0" w:color="auto"/>
            </w:tcBorders>
            <w:shd w:val="clear" w:color="auto" w:fill="auto"/>
            <w:vAlign w:val="center"/>
            <w:hideMark/>
          </w:tcPr>
          <w:p w14:paraId="19AE59C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disa ndryshime në ligjin nr.107/2016,‘Për Prefektin e Qarkut’”</w:t>
            </w:r>
          </w:p>
        </w:tc>
        <w:tc>
          <w:tcPr>
            <w:tcW w:w="300" w:type="pct"/>
            <w:tcBorders>
              <w:top w:val="nil"/>
              <w:left w:val="nil"/>
              <w:bottom w:val="single" w:sz="4" w:space="0" w:color="auto"/>
              <w:right w:val="single" w:sz="4" w:space="0" w:color="auto"/>
            </w:tcBorders>
            <w:shd w:val="clear" w:color="auto" w:fill="auto"/>
            <w:vAlign w:val="center"/>
            <w:hideMark/>
          </w:tcPr>
          <w:p w14:paraId="50B818C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Projektligj</w:t>
            </w:r>
          </w:p>
        </w:tc>
        <w:tc>
          <w:tcPr>
            <w:tcW w:w="374" w:type="pct"/>
            <w:tcBorders>
              <w:top w:val="nil"/>
              <w:left w:val="nil"/>
              <w:bottom w:val="single" w:sz="4" w:space="0" w:color="auto"/>
              <w:right w:val="single" w:sz="4" w:space="0" w:color="auto"/>
            </w:tcBorders>
            <w:shd w:val="clear" w:color="auto" w:fill="auto"/>
            <w:vAlign w:val="center"/>
            <w:hideMark/>
          </w:tcPr>
          <w:p w14:paraId="419AE46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6E383A8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w:t>
            </w:r>
          </w:p>
        </w:tc>
        <w:tc>
          <w:tcPr>
            <w:tcW w:w="810" w:type="pct"/>
            <w:tcBorders>
              <w:top w:val="nil"/>
              <w:left w:val="nil"/>
              <w:bottom w:val="single" w:sz="4" w:space="0" w:color="auto"/>
              <w:right w:val="single" w:sz="4" w:space="0" w:color="auto"/>
            </w:tcBorders>
            <w:shd w:val="clear" w:color="auto" w:fill="auto"/>
            <w:vAlign w:val="center"/>
            <w:hideMark/>
          </w:tcPr>
          <w:p w14:paraId="7E2A05F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Përmirësimin ligjit organik duke qartësuar dhe rritur rolin e prefektit të qarkut.</w:t>
            </w:r>
          </w:p>
        </w:tc>
        <w:tc>
          <w:tcPr>
            <w:tcW w:w="793" w:type="pct"/>
            <w:tcBorders>
              <w:top w:val="nil"/>
              <w:left w:val="nil"/>
              <w:bottom w:val="single" w:sz="4" w:space="0" w:color="auto"/>
              <w:right w:val="single" w:sz="4" w:space="0" w:color="auto"/>
            </w:tcBorders>
            <w:shd w:val="clear" w:color="auto" w:fill="auto"/>
            <w:vAlign w:val="center"/>
            <w:hideMark/>
          </w:tcPr>
          <w:p w14:paraId="2D34968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Projektligji ka si qëllim rritjen e rolit të prefektit të qarkut duke saktësuar mënyrën e verifikimit të realizimit të funksioneve nga ana e pushtetit vendor, të përgjegjësive të deleguara nga pushteti qendror dhe përdorimin e fondeve të parashikuara për këto funksione.</w:t>
            </w:r>
          </w:p>
        </w:tc>
        <w:tc>
          <w:tcPr>
            <w:tcW w:w="264" w:type="pct"/>
            <w:tcBorders>
              <w:top w:val="nil"/>
              <w:left w:val="nil"/>
              <w:bottom w:val="single" w:sz="4" w:space="0" w:color="auto"/>
              <w:right w:val="single" w:sz="4" w:space="0" w:color="auto"/>
            </w:tcBorders>
            <w:shd w:val="clear" w:color="auto" w:fill="auto"/>
            <w:vAlign w:val="center"/>
            <w:hideMark/>
          </w:tcPr>
          <w:p w14:paraId="5580586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37CBE4D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p>
        </w:tc>
        <w:tc>
          <w:tcPr>
            <w:tcW w:w="493" w:type="pct"/>
            <w:tcBorders>
              <w:top w:val="nil"/>
              <w:left w:val="nil"/>
              <w:bottom w:val="single" w:sz="4" w:space="0" w:color="auto"/>
              <w:right w:val="single" w:sz="4" w:space="0" w:color="auto"/>
            </w:tcBorders>
            <w:shd w:val="clear" w:color="auto" w:fill="auto"/>
            <w:vAlign w:val="center"/>
            <w:hideMark/>
          </w:tcPr>
          <w:p w14:paraId="2418121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Ndërthuret me Strategjinë e Decentralizimit dhe Vetëqeverisjes Vendore </w:t>
            </w:r>
          </w:p>
        </w:tc>
        <w:tc>
          <w:tcPr>
            <w:tcW w:w="433" w:type="pct"/>
            <w:tcBorders>
              <w:top w:val="nil"/>
              <w:left w:val="nil"/>
              <w:bottom w:val="single" w:sz="4" w:space="0" w:color="auto"/>
              <w:right w:val="single" w:sz="4" w:space="0" w:color="auto"/>
            </w:tcBorders>
            <w:shd w:val="clear" w:color="auto" w:fill="auto"/>
            <w:vAlign w:val="center"/>
            <w:hideMark/>
          </w:tcPr>
          <w:p w14:paraId="4A7B808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r>
      <w:tr w:rsidR="005139E5" w:rsidRPr="005139E5" w14:paraId="7691A426"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68E9D59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3</w:t>
            </w:r>
          </w:p>
        </w:tc>
        <w:tc>
          <w:tcPr>
            <w:tcW w:w="747" w:type="pct"/>
            <w:tcBorders>
              <w:top w:val="nil"/>
              <w:left w:val="nil"/>
              <w:bottom w:val="single" w:sz="4" w:space="0" w:color="auto"/>
              <w:right w:val="single" w:sz="4" w:space="0" w:color="auto"/>
            </w:tcBorders>
            <w:shd w:val="clear" w:color="auto" w:fill="auto"/>
            <w:vAlign w:val="center"/>
            <w:hideMark/>
          </w:tcPr>
          <w:p w14:paraId="6DB4979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disa shtesa dhe ndryshime në ligjin nr. 9270, datë 29.07.2004, “Për sistemin e adresave”</w:t>
            </w:r>
          </w:p>
        </w:tc>
        <w:tc>
          <w:tcPr>
            <w:tcW w:w="300" w:type="pct"/>
            <w:tcBorders>
              <w:top w:val="nil"/>
              <w:left w:val="nil"/>
              <w:bottom w:val="single" w:sz="4" w:space="0" w:color="auto"/>
              <w:right w:val="single" w:sz="4" w:space="0" w:color="auto"/>
            </w:tcBorders>
            <w:shd w:val="clear" w:color="auto" w:fill="auto"/>
            <w:vAlign w:val="center"/>
            <w:hideMark/>
          </w:tcPr>
          <w:p w14:paraId="442948F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Projektligj</w:t>
            </w:r>
          </w:p>
        </w:tc>
        <w:tc>
          <w:tcPr>
            <w:tcW w:w="374" w:type="pct"/>
            <w:tcBorders>
              <w:top w:val="nil"/>
              <w:left w:val="nil"/>
              <w:bottom w:val="single" w:sz="4" w:space="0" w:color="auto"/>
              <w:right w:val="single" w:sz="4" w:space="0" w:color="auto"/>
            </w:tcBorders>
            <w:shd w:val="clear" w:color="auto" w:fill="auto"/>
            <w:vAlign w:val="center"/>
            <w:hideMark/>
          </w:tcPr>
          <w:p w14:paraId="7EE1DB9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39B1125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w:t>
            </w:r>
          </w:p>
        </w:tc>
        <w:tc>
          <w:tcPr>
            <w:tcW w:w="810" w:type="pct"/>
            <w:tcBorders>
              <w:top w:val="nil"/>
              <w:left w:val="nil"/>
              <w:bottom w:val="single" w:sz="4" w:space="0" w:color="auto"/>
              <w:right w:val="single" w:sz="4" w:space="0" w:color="auto"/>
            </w:tcBorders>
            <w:shd w:val="clear" w:color="auto" w:fill="auto"/>
            <w:vAlign w:val="center"/>
            <w:hideMark/>
          </w:tcPr>
          <w:p w14:paraId="591A0E6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Ligji ka nevojë për rishikim në nenet e përcaktimit të Regjistrit Kombëtar të Adresave, ndërlidhjes me institucione të tjera. Po ashtu është I nevojshëm rishikimi i akteve nënligjore për sinjalistikën e adresave.</w:t>
            </w:r>
          </w:p>
        </w:tc>
        <w:tc>
          <w:tcPr>
            <w:tcW w:w="793" w:type="pct"/>
            <w:tcBorders>
              <w:top w:val="nil"/>
              <w:left w:val="nil"/>
              <w:bottom w:val="single" w:sz="4" w:space="0" w:color="auto"/>
              <w:right w:val="single" w:sz="4" w:space="0" w:color="auto"/>
            </w:tcBorders>
            <w:shd w:val="clear" w:color="auto" w:fill="auto"/>
            <w:vAlign w:val="center"/>
            <w:hideMark/>
          </w:tcPr>
          <w:p w14:paraId="57A6EA4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Propozimet për disa shtesa dhe ndryshime në ligjin nr. 9270, datë 29.7.2004 synohen</w:t>
            </w:r>
            <w:r w:rsidRPr="005139E5">
              <w:rPr>
                <w:rFonts w:ascii="Arial" w:eastAsia="Times New Roman" w:hAnsi="Arial" w:cs="Arial"/>
                <w:color w:val="000000"/>
                <w:sz w:val="12"/>
                <w:szCs w:val="12"/>
                <w:bdr w:val="none" w:sz="0" w:space="0" w:color="auto"/>
              </w:rPr>
              <w:br/>
              <w:t>të realizohen përmes rishikimit kryesisht të</w:t>
            </w:r>
            <w:r w:rsidRPr="005139E5">
              <w:rPr>
                <w:rFonts w:ascii="Arial" w:eastAsia="Times New Roman" w:hAnsi="Arial" w:cs="Arial"/>
                <w:color w:val="000000"/>
                <w:sz w:val="12"/>
                <w:szCs w:val="12"/>
                <w:bdr w:val="none" w:sz="0" w:space="0" w:color="auto"/>
              </w:rPr>
              <w:br/>
              <w:t>parashikimeve për Regjistrin Kombëtar të</w:t>
            </w:r>
            <w:r w:rsidRPr="005139E5">
              <w:rPr>
                <w:rFonts w:ascii="Arial" w:eastAsia="Times New Roman" w:hAnsi="Arial" w:cs="Arial"/>
                <w:color w:val="000000"/>
                <w:sz w:val="12"/>
                <w:szCs w:val="12"/>
                <w:bdr w:val="none" w:sz="0" w:space="0" w:color="auto"/>
              </w:rPr>
              <w:br/>
              <w:t>Adresave (RKA), sa i takon adresimit të të gjithë ndërtesave shtetërore, konkretisht përmes: -Ndërtimit të regjistrit të ndërtesave në RKA; -Detyrimit të institucioneve për deklarimin e adresës në RKA; -Ndërtimit të regjistrit të institucioneve në RKA. Gjithashtu, synohet shtimi i pikave të interesit në RKA, përmes:</w:t>
            </w:r>
            <w:r w:rsidRPr="005139E5">
              <w:rPr>
                <w:rFonts w:ascii="Arial" w:eastAsia="Times New Roman" w:hAnsi="Arial" w:cs="Arial"/>
                <w:color w:val="000000"/>
                <w:sz w:val="12"/>
                <w:szCs w:val="12"/>
                <w:bdr w:val="none" w:sz="0" w:space="0" w:color="auto"/>
              </w:rPr>
              <w:br/>
              <w:t>-Propozimit të ndryshimeve ligjore për detyrimin e zyrave të urbanistikës për vendosjen e pikave të interesit; -Ndërtimit të regjistrit të pikave të interesit për të regjistruar spitalet, rajonet e policisë, bashkitë, muzetë etj; -Regjistrimit të institucioneve të emergjencave në RKA (Policia, Zjarrfikësja, Spitale etj.)</w:t>
            </w:r>
          </w:p>
        </w:tc>
        <w:tc>
          <w:tcPr>
            <w:tcW w:w="264" w:type="pct"/>
            <w:tcBorders>
              <w:top w:val="nil"/>
              <w:left w:val="nil"/>
              <w:bottom w:val="single" w:sz="4" w:space="0" w:color="auto"/>
              <w:right w:val="single" w:sz="4" w:space="0" w:color="auto"/>
            </w:tcBorders>
            <w:shd w:val="clear" w:color="auto" w:fill="auto"/>
            <w:vAlign w:val="center"/>
            <w:hideMark/>
          </w:tcPr>
          <w:p w14:paraId="3977228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2A74625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p>
        </w:tc>
        <w:tc>
          <w:tcPr>
            <w:tcW w:w="493" w:type="pct"/>
            <w:tcBorders>
              <w:top w:val="nil"/>
              <w:left w:val="nil"/>
              <w:bottom w:val="single" w:sz="4" w:space="0" w:color="auto"/>
              <w:right w:val="single" w:sz="4" w:space="0" w:color="auto"/>
            </w:tcBorders>
            <w:shd w:val="clear" w:color="auto" w:fill="auto"/>
            <w:vAlign w:val="center"/>
            <w:hideMark/>
          </w:tcPr>
          <w:p w14:paraId="4DEE9B5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55CB629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r>
      <w:tr w:rsidR="005139E5" w:rsidRPr="005139E5" w14:paraId="164B0E7C"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4C53449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4</w:t>
            </w:r>
          </w:p>
        </w:tc>
        <w:tc>
          <w:tcPr>
            <w:tcW w:w="747" w:type="pct"/>
            <w:tcBorders>
              <w:top w:val="nil"/>
              <w:left w:val="nil"/>
              <w:bottom w:val="single" w:sz="4" w:space="0" w:color="auto"/>
              <w:right w:val="single" w:sz="4" w:space="0" w:color="auto"/>
            </w:tcBorders>
            <w:shd w:val="clear" w:color="auto" w:fill="auto"/>
            <w:vAlign w:val="center"/>
            <w:hideMark/>
          </w:tcPr>
          <w:p w14:paraId="317AEED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 "Për përcaktimin e rregullave, llojeve dhe procedurave për ofrimin e  Shërbimit Shtetëror të Gjendjes Civile"</w:t>
            </w:r>
          </w:p>
        </w:tc>
        <w:tc>
          <w:tcPr>
            <w:tcW w:w="300" w:type="pct"/>
            <w:tcBorders>
              <w:top w:val="nil"/>
              <w:left w:val="nil"/>
              <w:bottom w:val="single" w:sz="4" w:space="0" w:color="auto"/>
              <w:right w:val="single" w:sz="4" w:space="0" w:color="auto"/>
            </w:tcBorders>
            <w:shd w:val="clear" w:color="auto" w:fill="auto"/>
            <w:vAlign w:val="center"/>
            <w:hideMark/>
          </w:tcPr>
          <w:p w14:paraId="542A228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6F7B35C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64CB485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w:t>
            </w:r>
          </w:p>
        </w:tc>
        <w:tc>
          <w:tcPr>
            <w:tcW w:w="810" w:type="pct"/>
            <w:tcBorders>
              <w:top w:val="nil"/>
              <w:left w:val="nil"/>
              <w:bottom w:val="single" w:sz="4" w:space="0" w:color="auto"/>
              <w:right w:val="single" w:sz="4" w:space="0" w:color="auto"/>
            </w:tcBorders>
            <w:shd w:val="clear" w:color="auto" w:fill="auto"/>
            <w:vAlign w:val="center"/>
            <w:hideMark/>
          </w:tcPr>
          <w:p w14:paraId="65A245A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Ligji nr. 134/2016 “Për disa shtesa dhe ndryshime në Ligjin nr. 10192,     datë 11.05.2009 “Për gjendjen Civile”, i ndryshuar, neni 61, pika 4, autorizon Këshillin e Ministrave për të përcaktuar rregullat, llojet dhe procedurat për ofrimin e shërbimeve të përcaktuara në pikat 2 e 3, të këtij neni. </w:t>
            </w:r>
          </w:p>
        </w:tc>
        <w:tc>
          <w:tcPr>
            <w:tcW w:w="793" w:type="pct"/>
            <w:tcBorders>
              <w:top w:val="nil"/>
              <w:left w:val="nil"/>
              <w:bottom w:val="single" w:sz="4" w:space="0" w:color="auto"/>
              <w:right w:val="single" w:sz="4" w:space="0" w:color="auto"/>
            </w:tcBorders>
            <w:shd w:val="clear" w:color="auto" w:fill="auto"/>
            <w:vAlign w:val="center"/>
            <w:hideMark/>
          </w:tcPr>
          <w:p w14:paraId="1D563B8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Format e ofrimit të shërbimit të gjendjes civile, llojet dhe procedurat për ofrimin e këtij shërbimi</w:t>
            </w:r>
          </w:p>
        </w:tc>
        <w:tc>
          <w:tcPr>
            <w:tcW w:w="264" w:type="pct"/>
            <w:tcBorders>
              <w:top w:val="nil"/>
              <w:left w:val="nil"/>
              <w:bottom w:val="single" w:sz="4" w:space="0" w:color="auto"/>
              <w:right w:val="single" w:sz="4" w:space="0" w:color="auto"/>
            </w:tcBorders>
            <w:shd w:val="clear" w:color="auto" w:fill="auto"/>
            <w:vAlign w:val="center"/>
            <w:hideMark/>
          </w:tcPr>
          <w:p w14:paraId="1035B40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77486D8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 prioritetet e Ministrisë së Brendshme për vitin 2024</w:t>
            </w:r>
          </w:p>
        </w:tc>
        <w:tc>
          <w:tcPr>
            <w:tcW w:w="493" w:type="pct"/>
            <w:tcBorders>
              <w:top w:val="nil"/>
              <w:left w:val="nil"/>
              <w:bottom w:val="single" w:sz="4" w:space="0" w:color="auto"/>
              <w:right w:val="single" w:sz="4" w:space="0" w:color="auto"/>
            </w:tcBorders>
            <w:shd w:val="clear" w:color="auto" w:fill="auto"/>
            <w:vAlign w:val="center"/>
            <w:hideMark/>
          </w:tcPr>
          <w:p w14:paraId="309E869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4C9F4C9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Jo </w:t>
            </w:r>
          </w:p>
        </w:tc>
      </w:tr>
      <w:tr w:rsidR="005139E5" w:rsidRPr="005139E5" w14:paraId="2DD3534C"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587770A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5</w:t>
            </w:r>
          </w:p>
        </w:tc>
        <w:tc>
          <w:tcPr>
            <w:tcW w:w="747" w:type="pct"/>
            <w:tcBorders>
              <w:top w:val="nil"/>
              <w:left w:val="nil"/>
              <w:bottom w:val="single" w:sz="4" w:space="0" w:color="auto"/>
              <w:right w:val="single" w:sz="4" w:space="0" w:color="auto"/>
            </w:tcBorders>
            <w:shd w:val="clear" w:color="auto" w:fill="auto"/>
            <w:vAlign w:val="center"/>
            <w:hideMark/>
          </w:tcPr>
          <w:p w14:paraId="7929AD0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përcaktimin e kritereve dhe masës së përfitimit të pagesës së qirasë për strehim për punonjësit e Agjencisë së Mbikëqyrjes Policore"</w:t>
            </w:r>
          </w:p>
        </w:tc>
        <w:tc>
          <w:tcPr>
            <w:tcW w:w="300" w:type="pct"/>
            <w:tcBorders>
              <w:top w:val="nil"/>
              <w:left w:val="nil"/>
              <w:bottom w:val="single" w:sz="4" w:space="0" w:color="auto"/>
              <w:right w:val="single" w:sz="4" w:space="0" w:color="auto"/>
            </w:tcBorders>
            <w:shd w:val="clear" w:color="auto" w:fill="auto"/>
            <w:vAlign w:val="center"/>
            <w:hideMark/>
          </w:tcPr>
          <w:p w14:paraId="4EE0CBA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20F0955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489EDB4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w:t>
            </w:r>
          </w:p>
        </w:tc>
        <w:tc>
          <w:tcPr>
            <w:tcW w:w="810" w:type="pct"/>
            <w:tcBorders>
              <w:top w:val="nil"/>
              <w:left w:val="nil"/>
              <w:bottom w:val="single" w:sz="4" w:space="0" w:color="auto"/>
              <w:right w:val="single" w:sz="4" w:space="0" w:color="auto"/>
            </w:tcBorders>
            <w:shd w:val="clear" w:color="auto" w:fill="auto"/>
            <w:vAlign w:val="center"/>
            <w:hideMark/>
          </w:tcPr>
          <w:p w14:paraId="114E885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Projektvendimi ka për qëllim zbatimin e kërkesave të ligjit nr. 128/2021, “Për Agjencinë e Mbikëqyrjes Policore”, për miratimin e akteve nënligjore në lidhje me kompensimin e qirasë së banesës, kur punonjësi i Agjencisë transferohet jashtë vendbanimit të përhershëm, brenda ose jashtë vendit.</w:t>
            </w:r>
          </w:p>
        </w:tc>
        <w:tc>
          <w:tcPr>
            <w:tcW w:w="793" w:type="pct"/>
            <w:tcBorders>
              <w:top w:val="nil"/>
              <w:left w:val="nil"/>
              <w:bottom w:val="single" w:sz="4" w:space="0" w:color="auto"/>
              <w:right w:val="single" w:sz="4" w:space="0" w:color="auto"/>
            </w:tcBorders>
            <w:shd w:val="clear" w:color="auto" w:fill="auto"/>
            <w:vAlign w:val="center"/>
            <w:hideMark/>
          </w:tcPr>
          <w:p w14:paraId="0CD018E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Projektvendimi synon sigurimin dhe përmirësimin e kushteve të jetesës së punonjësve, nëpërmjet pagesës dhe kompensimit të shpenzimeve të strehimit, të cilët transferohen në detyrë jashtë vendbanimit të përhershëm, dhe nuk u sigurohet nga Agjencia, mjedisi për akomodim.</w:t>
            </w:r>
          </w:p>
        </w:tc>
        <w:tc>
          <w:tcPr>
            <w:tcW w:w="264" w:type="pct"/>
            <w:tcBorders>
              <w:top w:val="nil"/>
              <w:left w:val="nil"/>
              <w:bottom w:val="single" w:sz="4" w:space="0" w:color="auto"/>
              <w:right w:val="single" w:sz="4" w:space="0" w:color="auto"/>
            </w:tcBorders>
            <w:shd w:val="clear" w:color="auto" w:fill="auto"/>
            <w:vAlign w:val="center"/>
            <w:hideMark/>
          </w:tcPr>
          <w:p w14:paraId="2658972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2FABC4A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 prioritetet e Ministrisë së Brendshme për vitin 2024</w:t>
            </w:r>
          </w:p>
        </w:tc>
        <w:tc>
          <w:tcPr>
            <w:tcW w:w="493" w:type="pct"/>
            <w:tcBorders>
              <w:top w:val="nil"/>
              <w:left w:val="nil"/>
              <w:bottom w:val="single" w:sz="4" w:space="0" w:color="auto"/>
              <w:right w:val="single" w:sz="4" w:space="0" w:color="auto"/>
            </w:tcBorders>
            <w:shd w:val="clear" w:color="auto" w:fill="auto"/>
            <w:vAlign w:val="center"/>
            <w:hideMark/>
          </w:tcPr>
          <w:p w14:paraId="6BA5174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377C123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6FE33EE1"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1F2F4E7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6</w:t>
            </w:r>
          </w:p>
        </w:tc>
        <w:tc>
          <w:tcPr>
            <w:tcW w:w="747" w:type="pct"/>
            <w:tcBorders>
              <w:top w:val="nil"/>
              <w:left w:val="nil"/>
              <w:bottom w:val="single" w:sz="4" w:space="0" w:color="auto"/>
              <w:right w:val="single" w:sz="4" w:space="0" w:color="auto"/>
            </w:tcBorders>
            <w:shd w:val="clear" w:color="auto" w:fill="auto"/>
            <w:vAlign w:val="center"/>
            <w:hideMark/>
          </w:tcPr>
          <w:p w14:paraId="74E3275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miratimin e Strategjisë</w:t>
            </w:r>
            <w:r w:rsidRPr="005139E5">
              <w:rPr>
                <w:rFonts w:ascii="Arial" w:eastAsia="Times New Roman" w:hAnsi="Arial" w:cs="Arial"/>
                <w:color w:val="000000"/>
                <w:sz w:val="12"/>
                <w:szCs w:val="12"/>
                <w:bdr w:val="none" w:sz="0" w:space="0" w:color="auto"/>
              </w:rPr>
              <w:br/>
              <w:t>Kombëtare të</w:t>
            </w:r>
            <w:r w:rsidRPr="005139E5">
              <w:rPr>
                <w:rFonts w:ascii="Arial" w:eastAsia="Times New Roman" w:hAnsi="Arial" w:cs="Arial"/>
                <w:color w:val="000000"/>
                <w:sz w:val="12"/>
                <w:szCs w:val="12"/>
                <w:bdr w:val="none" w:sz="0" w:space="0" w:color="auto"/>
              </w:rPr>
              <w:br/>
              <w:t>Migracionit 2024-2030 dhe</w:t>
            </w:r>
            <w:r w:rsidRPr="005139E5">
              <w:rPr>
                <w:rFonts w:ascii="Arial" w:eastAsia="Times New Roman" w:hAnsi="Arial" w:cs="Arial"/>
                <w:color w:val="000000"/>
                <w:sz w:val="12"/>
                <w:szCs w:val="12"/>
                <w:bdr w:val="none" w:sz="0" w:space="0" w:color="auto"/>
              </w:rPr>
              <w:br/>
              <w:t>Planit të Veprimit 2024-2026”</w:t>
            </w:r>
          </w:p>
        </w:tc>
        <w:tc>
          <w:tcPr>
            <w:tcW w:w="300" w:type="pct"/>
            <w:tcBorders>
              <w:top w:val="nil"/>
              <w:left w:val="nil"/>
              <w:bottom w:val="single" w:sz="4" w:space="0" w:color="auto"/>
              <w:right w:val="single" w:sz="4" w:space="0" w:color="auto"/>
            </w:tcBorders>
            <w:shd w:val="clear" w:color="auto" w:fill="auto"/>
            <w:vAlign w:val="center"/>
            <w:hideMark/>
          </w:tcPr>
          <w:p w14:paraId="4969203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61053E6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2139167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w:t>
            </w:r>
          </w:p>
        </w:tc>
        <w:tc>
          <w:tcPr>
            <w:tcW w:w="810" w:type="pct"/>
            <w:tcBorders>
              <w:top w:val="nil"/>
              <w:left w:val="nil"/>
              <w:bottom w:val="single" w:sz="4" w:space="0" w:color="auto"/>
              <w:right w:val="single" w:sz="4" w:space="0" w:color="auto"/>
            </w:tcBorders>
            <w:shd w:val="clear" w:color="auto" w:fill="auto"/>
            <w:vAlign w:val="center"/>
            <w:hideMark/>
          </w:tcPr>
          <w:p w14:paraId="261FD3E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Në vijim të përfundimit të</w:t>
            </w:r>
            <w:r w:rsidRPr="005139E5">
              <w:rPr>
                <w:rFonts w:ascii="Arial" w:eastAsia="Times New Roman" w:hAnsi="Arial" w:cs="Arial"/>
                <w:color w:val="000000"/>
                <w:sz w:val="12"/>
                <w:szCs w:val="12"/>
                <w:bdr w:val="none" w:sz="0" w:space="0" w:color="auto"/>
              </w:rPr>
              <w:br/>
              <w:t>periudhës kohore</w:t>
            </w:r>
            <w:r w:rsidRPr="005139E5">
              <w:rPr>
                <w:rFonts w:ascii="Arial" w:eastAsia="Times New Roman" w:hAnsi="Arial" w:cs="Arial"/>
                <w:color w:val="000000"/>
                <w:sz w:val="12"/>
                <w:szCs w:val="12"/>
                <w:bdr w:val="none" w:sz="0" w:space="0" w:color="auto"/>
              </w:rPr>
              <w:br/>
              <w:t>të zbatimit të</w:t>
            </w:r>
            <w:r w:rsidRPr="005139E5">
              <w:rPr>
                <w:rFonts w:ascii="Arial" w:eastAsia="Times New Roman" w:hAnsi="Arial" w:cs="Arial"/>
                <w:color w:val="000000"/>
                <w:sz w:val="12"/>
                <w:szCs w:val="12"/>
                <w:bdr w:val="none" w:sz="0" w:space="0" w:color="auto"/>
              </w:rPr>
              <w:br/>
              <w:t>strategjisë aktuale,</w:t>
            </w:r>
            <w:r w:rsidRPr="005139E5">
              <w:rPr>
                <w:rFonts w:ascii="Arial" w:eastAsia="Times New Roman" w:hAnsi="Arial" w:cs="Arial"/>
                <w:color w:val="000000"/>
                <w:sz w:val="12"/>
                <w:szCs w:val="12"/>
                <w:bdr w:val="none" w:sz="0" w:space="0" w:color="auto"/>
              </w:rPr>
              <w:br/>
              <w:t>lind nevoja për</w:t>
            </w:r>
            <w:r w:rsidRPr="005139E5">
              <w:rPr>
                <w:rFonts w:ascii="Arial" w:eastAsia="Times New Roman" w:hAnsi="Arial" w:cs="Arial"/>
                <w:color w:val="000000"/>
                <w:sz w:val="12"/>
                <w:szCs w:val="12"/>
                <w:bdr w:val="none" w:sz="0" w:space="0" w:color="auto"/>
              </w:rPr>
              <w:br/>
              <w:t>hartimin e</w:t>
            </w:r>
            <w:r w:rsidRPr="005139E5">
              <w:rPr>
                <w:rFonts w:ascii="Arial" w:eastAsia="Times New Roman" w:hAnsi="Arial" w:cs="Arial"/>
                <w:color w:val="000000"/>
                <w:sz w:val="12"/>
                <w:szCs w:val="12"/>
                <w:bdr w:val="none" w:sz="0" w:space="0" w:color="auto"/>
              </w:rPr>
              <w:br/>
              <w:t>strategjisë së re dhe</w:t>
            </w:r>
            <w:r w:rsidRPr="005139E5">
              <w:rPr>
                <w:rFonts w:ascii="Arial" w:eastAsia="Times New Roman" w:hAnsi="Arial" w:cs="Arial"/>
                <w:color w:val="000000"/>
                <w:sz w:val="12"/>
                <w:szCs w:val="12"/>
                <w:bdr w:val="none" w:sz="0" w:space="0" w:color="auto"/>
              </w:rPr>
              <w:br/>
              <w:t>planit të veprimit.</w:t>
            </w:r>
            <w:r w:rsidRPr="005139E5">
              <w:rPr>
                <w:rFonts w:ascii="Arial" w:eastAsia="Times New Roman" w:hAnsi="Arial" w:cs="Arial"/>
                <w:color w:val="000000"/>
                <w:sz w:val="12"/>
                <w:szCs w:val="12"/>
                <w:bdr w:val="none" w:sz="0" w:space="0" w:color="auto"/>
              </w:rPr>
              <w:br/>
              <w:t>Neni 100 i</w:t>
            </w:r>
            <w:r w:rsidRPr="005139E5">
              <w:rPr>
                <w:rFonts w:ascii="Arial" w:eastAsia="Times New Roman" w:hAnsi="Arial" w:cs="Arial"/>
                <w:color w:val="000000"/>
                <w:sz w:val="12"/>
                <w:szCs w:val="12"/>
                <w:bdr w:val="none" w:sz="0" w:space="0" w:color="auto"/>
              </w:rPr>
              <w:br/>
              <w:t>Kushtetutës së</w:t>
            </w:r>
            <w:r w:rsidRPr="005139E5">
              <w:rPr>
                <w:rFonts w:ascii="Arial" w:eastAsia="Times New Roman" w:hAnsi="Arial" w:cs="Arial"/>
                <w:color w:val="000000"/>
                <w:sz w:val="12"/>
                <w:szCs w:val="12"/>
                <w:bdr w:val="none" w:sz="0" w:space="0" w:color="auto"/>
              </w:rPr>
              <w:br/>
              <w:t>Republikës së</w:t>
            </w:r>
            <w:r w:rsidRPr="005139E5">
              <w:rPr>
                <w:rFonts w:ascii="Arial" w:eastAsia="Times New Roman" w:hAnsi="Arial" w:cs="Arial"/>
                <w:color w:val="000000"/>
                <w:sz w:val="12"/>
                <w:szCs w:val="12"/>
                <w:bdr w:val="none" w:sz="0" w:space="0" w:color="auto"/>
              </w:rPr>
              <w:br/>
              <w:t>Shqipërisë.</w:t>
            </w:r>
          </w:p>
        </w:tc>
        <w:tc>
          <w:tcPr>
            <w:tcW w:w="793" w:type="pct"/>
            <w:tcBorders>
              <w:top w:val="nil"/>
              <w:left w:val="nil"/>
              <w:bottom w:val="single" w:sz="4" w:space="0" w:color="auto"/>
              <w:right w:val="single" w:sz="4" w:space="0" w:color="auto"/>
            </w:tcBorders>
            <w:shd w:val="clear" w:color="auto" w:fill="auto"/>
            <w:vAlign w:val="center"/>
            <w:hideMark/>
          </w:tcPr>
          <w:p w14:paraId="2E105A3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Në vijim të përfundimit të</w:t>
            </w:r>
            <w:r w:rsidRPr="005139E5">
              <w:rPr>
                <w:rFonts w:ascii="Arial" w:eastAsia="Times New Roman" w:hAnsi="Arial" w:cs="Arial"/>
                <w:color w:val="000000"/>
                <w:sz w:val="12"/>
                <w:szCs w:val="12"/>
                <w:bdr w:val="none" w:sz="0" w:space="0" w:color="auto"/>
              </w:rPr>
              <w:br/>
              <w:t>periudhës kohore</w:t>
            </w:r>
            <w:r w:rsidRPr="005139E5">
              <w:rPr>
                <w:rFonts w:ascii="Arial" w:eastAsia="Times New Roman" w:hAnsi="Arial" w:cs="Arial"/>
                <w:color w:val="000000"/>
                <w:sz w:val="12"/>
                <w:szCs w:val="12"/>
                <w:bdr w:val="none" w:sz="0" w:space="0" w:color="auto"/>
              </w:rPr>
              <w:br/>
              <w:t>të zbatimit të</w:t>
            </w:r>
            <w:r w:rsidRPr="005139E5">
              <w:rPr>
                <w:rFonts w:ascii="Arial" w:eastAsia="Times New Roman" w:hAnsi="Arial" w:cs="Arial"/>
                <w:color w:val="000000"/>
                <w:sz w:val="12"/>
                <w:szCs w:val="12"/>
                <w:bdr w:val="none" w:sz="0" w:space="0" w:color="auto"/>
              </w:rPr>
              <w:br/>
              <w:t>strategjisë aktuale,</w:t>
            </w:r>
            <w:r w:rsidRPr="005139E5">
              <w:rPr>
                <w:rFonts w:ascii="Arial" w:eastAsia="Times New Roman" w:hAnsi="Arial" w:cs="Arial"/>
                <w:color w:val="000000"/>
                <w:sz w:val="12"/>
                <w:szCs w:val="12"/>
                <w:bdr w:val="none" w:sz="0" w:space="0" w:color="auto"/>
              </w:rPr>
              <w:br/>
              <w:t>lind nevoja për</w:t>
            </w:r>
            <w:r w:rsidRPr="005139E5">
              <w:rPr>
                <w:rFonts w:ascii="Arial" w:eastAsia="Times New Roman" w:hAnsi="Arial" w:cs="Arial"/>
                <w:color w:val="000000"/>
                <w:sz w:val="12"/>
                <w:szCs w:val="12"/>
                <w:bdr w:val="none" w:sz="0" w:space="0" w:color="auto"/>
              </w:rPr>
              <w:br/>
              <w:t>hartimin e</w:t>
            </w:r>
            <w:r w:rsidRPr="005139E5">
              <w:rPr>
                <w:rFonts w:ascii="Arial" w:eastAsia="Times New Roman" w:hAnsi="Arial" w:cs="Arial"/>
                <w:color w:val="000000"/>
                <w:sz w:val="12"/>
                <w:szCs w:val="12"/>
                <w:bdr w:val="none" w:sz="0" w:space="0" w:color="auto"/>
              </w:rPr>
              <w:br/>
              <w:t>strategjisë së re dhe</w:t>
            </w:r>
            <w:r w:rsidRPr="005139E5">
              <w:rPr>
                <w:rFonts w:ascii="Arial" w:eastAsia="Times New Roman" w:hAnsi="Arial" w:cs="Arial"/>
                <w:color w:val="000000"/>
                <w:sz w:val="12"/>
                <w:szCs w:val="12"/>
                <w:bdr w:val="none" w:sz="0" w:space="0" w:color="auto"/>
              </w:rPr>
              <w:br/>
              <w:t>planit të veprimit.</w:t>
            </w:r>
            <w:r w:rsidRPr="005139E5">
              <w:rPr>
                <w:rFonts w:ascii="Arial" w:eastAsia="Times New Roman" w:hAnsi="Arial" w:cs="Arial"/>
                <w:color w:val="000000"/>
                <w:sz w:val="12"/>
                <w:szCs w:val="12"/>
                <w:bdr w:val="none" w:sz="0" w:space="0" w:color="auto"/>
              </w:rPr>
              <w:br/>
              <w:t>Neni 100 i</w:t>
            </w:r>
            <w:r w:rsidRPr="005139E5">
              <w:rPr>
                <w:rFonts w:ascii="Arial" w:eastAsia="Times New Roman" w:hAnsi="Arial" w:cs="Arial"/>
                <w:color w:val="000000"/>
                <w:sz w:val="12"/>
                <w:szCs w:val="12"/>
                <w:bdr w:val="none" w:sz="0" w:space="0" w:color="auto"/>
              </w:rPr>
              <w:br/>
              <w:t>Kushtetutës së</w:t>
            </w:r>
            <w:r w:rsidRPr="005139E5">
              <w:rPr>
                <w:rFonts w:ascii="Arial" w:eastAsia="Times New Roman" w:hAnsi="Arial" w:cs="Arial"/>
                <w:color w:val="000000"/>
                <w:sz w:val="12"/>
                <w:szCs w:val="12"/>
                <w:bdr w:val="none" w:sz="0" w:space="0" w:color="auto"/>
              </w:rPr>
              <w:br/>
              <w:t>Republikës së</w:t>
            </w:r>
            <w:r w:rsidRPr="005139E5">
              <w:rPr>
                <w:rFonts w:ascii="Arial" w:eastAsia="Times New Roman" w:hAnsi="Arial" w:cs="Arial"/>
                <w:color w:val="000000"/>
                <w:sz w:val="12"/>
                <w:szCs w:val="12"/>
                <w:bdr w:val="none" w:sz="0" w:space="0" w:color="auto"/>
              </w:rPr>
              <w:br/>
              <w:t>Shqipërisë.</w:t>
            </w:r>
          </w:p>
        </w:tc>
        <w:tc>
          <w:tcPr>
            <w:tcW w:w="264" w:type="pct"/>
            <w:tcBorders>
              <w:top w:val="nil"/>
              <w:left w:val="nil"/>
              <w:bottom w:val="single" w:sz="4" w:space="0" w:color="auto"/>
              <w:right w:val="single" w:sz="4" w:space="0" w:color="auto"/>
            </w:tcBorders>
            <w:shd w:val="clear" w:color="auto" w:fill="auto"/>
            <w:vAlign w:val="center"/>
            <w:hideMark/>
          </w:tcPr>
          <w:p w14:paraId="4461FD5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7E41F5F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 prioritetet e Ministrisë së Brendshme për vitin 2024</w:t>
            </w:r>
          </w:p>
        </w:tc>
        <w:tc>
          <w:tcPr>
            <w:tcW w:w="493" w:type="pct"/>
            <w:tcBorders>
              <w:top w:val="nil"/>
              <w:left w:val="nil"/>
              <w:bottom w:val="single" w:sz="4" w:space="0" w:color="auto"/>
              <w:right w:val="single" w:sz="4" w:space="0" w:color="auto"/>
            </w:tcBorders>
            <w:shd w:val="clear" w:color="auto" w:fill="auto"/>
            <w:vAlign w:val="center"/>
            <w:hideMark/>
          </w:tcPr>
          <w:p w14:paraId="4386A18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1EEFC84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r>
      <w:tr w:rsidR="005139E5" w:rsidRPr="005139E5" w14:paraId="32AE1983"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7BF03DF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7</w:t>
            </w:r>
          </w:p>
        </w:tc>
        <w:tc>
          <w:tcPr>
            <w:tcW w:w="747" w:type="pct"/>
            <w:tcBorders>
              <w:top w:val="nil"/>
              <w:left w:val="nil"/>
              <w:bottom w:val="single" w:sz="4" w:space="0" w:color="auto"/>
              <w:right w:val="single" w:sz="4" w:space="0" w:color="auto"/>
            </w:tcBorders>
            <w:shd w:val="clear" w:color="auto" w:fill="auto"/>
            <w:vAlign w:val="center"/>
            <w:hideMark/>
          </w:tcPr>
          <w:p w14:paraId="4A85184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 "</w:t>
            </w:r>
            <w:r w:rsidRPr="005139E5">
              <w:rPr>
                <w:rFonts w:ascii="Arial" w:eastAsia="Times New Roman" w:hAnsi="Arial" w:cs="Arial"/>
                <w:sz w:val="12"/>
                <w:szCs w:val="12"/>
                <w:bdr w:val="none" w:sz="0" w:space="0" w:color="auto"/>
              </w:rPr>
              <w:t>Për disa shtesa dhe ndryshime</w:t>
            </w:r>
            <w:r w:rsidRPr="005139E5">
              <w:rPr>
                <w:rFonts w:ascii="Arial" w:eastAsia="Times New Roman" w:hAnsi="Arial" w:cs="Arial"/>
                <w:color w:val="000000"/>
                <w:sz w:val="12"/>
                <w:szCs w:val="12"/>
                <w:bdr w:val="none" w:sz="0" w:space="0" w:color="auto"/>
              </w:rPr>
              <w:t xml:space="preserve"> në ligjin Nr.152/2015 "Për Shërbimin e Mbrojtjes nga Zjarri dhe Shpëtimin"</w:t>
            </w:r>
          </w:p>
        </w:tc>
        <w:tc>
          <w:tcPr>
            <w:tcW w:w="300" w:type="pct"/>
            <w:tcBorders>
              <w:top w:val="nil"/>
              <w:left w:val="nil"/>
              <w:bottom w:val="single" w:sz="4" w:space="0" w:color="auto"/>
              <w:right w:val="single" w:sz="4" w:space="0" w:color="auto"/>
            </w:tcBorders>
            <w:shd w:val="clear" w:color="auto" w:fill="auto"/>
            <w:vAlign w:val="center"/>
            <w:hideMark/>
          </w:tcPr>
          <w:p w14:paraId="6F01FC0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Projektligj</w:t>
            </w:r>
          </w:p>
        </w:tc>
        <w:tc>
          <w:tcPr>
            <w:tcW w:w="374" w:type="pct"/>
            <w:tcBorders>
              <w:top w:val="nil"/>
              <w:left w:val="nil"/>
              <w:bottom w:val="single" w:sz="4" w:space="0" w:color="auto"/>
              <w:right w:val="single" w:sz="4" w:space="0" w:color="auto"/>
            </w:tcBorders>
            <w:shd w:val="clear" w:color="auto" w:fill="auto"/>
            <w:vAlign w:val="center"/>
            <w:hideMark/>
          </w:tcPr>
          <w:p w14:paraId="3A2F031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389591B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w:t>
            </w:r>
          </w:p>
        </w:tc>
        <w:tc>
          <w:tcPr>
            <w:tcW w:w="810" w:type="pct"/>
            <w:tcBorders>
              <w:top w:val="nil"/>
              <w:left w:val="nil"/>
              <w:bottom w:val="single" w:sz="4" w:space="0" w:color="auto"/>
              <w:right w:val="single" w:sz="4" w:space="0" w:color="auto"/>
            </w:tcBorders>
            <w:shd w:val="clear" w:color="auto" w:fill="auto"/>
            <w:vAlign w:val="center"/>
            <w:hideMark/>
          </w:tcPr>
          <w:p w14:paraId="5D03306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Parë në optikën e zhvillimeve dhe të problematikës së shfaqur në kuadër të përmirësimeve në strukturën e shërbimit të MZSH-së në nivel vendor, gjatë periudhës rreth 7 vjeçare (2016-2023), periudhë në të cilën shërbimi i MZSH-së ka kaluar dhe vazhdon të jetë në varësi të kryetarit të bashkisë, evidentohet fakti për përmirësime rregullatore</w:t>
            </w:r>
          </w:p>
        </w:tc>
        <w:tc>
          <w:tcPr>
            <w:tcW w:w="793" w:type="pct"/>
            <w:tcBorders>
              <w:top w:val="nil"/>
              <w:left w:val="nil"/>
              <w:bottom w:val="single" w:sz="4" w:space="0" w:color="auto"/>
              <w:right w:val="single" w:sz="4" w:space="0" w:color="auto"/>
            </w:tcBorders>
            <w:shd w:val="clear" w:color="auto" w:fill="auto"/>
            <w:vAlign w:val="center"/>
            <w:hideMark/>
          </w:tcPr>
          <w:p w14:paraId="5E65D2D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Projektligji duhet të parashikojë nevojën për forcimin e koordinimit, përditësimit teknologjik dhe rritjen e kapaciteteve operacionale në veprimet e parashikimit, parandalimit dhe luftimit aktiv të zjarrev, kryesisht në pyje, si dhe nxitjes së investimeve për sigurinë e territorit, përmirësimin dhe standardizimin e kritereve për rekrutimin e punonjësve rë nivlet bazë dhe të mesëm të shërbimit të MZSH-së.</w:t>
            </w:r>
          </w:p>
        </w:tc>
        <w:tc>
          <w:tcPr>
            <w:tcW w:w="264" w:type="pct"/>
            <w:tcBorders>
              <w:top w:val="nil"/>
              <w:left w:val="nil"/>
              <w:bottom w:val="single" w:sz="4" w:space="0" w:color="auto"/>
              <w:right w:val="single" w:sz="4" w:space="0" w:color="auto"/>
            </w:tcBorders>
            <w:shd w:val="clear" w:color="auto" w:fill="auto"/>
            <w:vAlign w:val="center"/>
            <w:hideMark/>
          </w:tcPr>
          <w:p w14:paraId="035644A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1F942CC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 prioritetet e Ministrisë së Brendshme për vitin 2024</w:t>
            </w:r>
          </w:p>
        </w:tc>
        <w:tc>
          <w:tcPr>
            <w:tcW w:w="493" w:type="pct"/>
            <w:tcBorders>
              <w:top w:val="nil"/>
              <w:left w:val="nil"/>
              <w:bottom w:val="single" w:sz="4" w:space="0" w:color="auto"/>
              <w:right w:val="single" w:sz="4" w:space="0" w:color="auto"/>
            </w:tcBorders>
            <w:shd w:val="clear" w:color="auto" w:fill="auto"/>
            <w:vAlign w:val="center"/>
            <w:hideMark/>
          </w:tcPr>
          <w:p w14:paraId="1287C3E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7D72A84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Jo</w:t>
            </w:r>
          </w:p>
        </w:tc>
      </w:tr>
      <w:tr w:rsidR="005139E5" w:rsidRPr="005139E5" w14:paraId="51DAA508"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5C15842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8</w:t>
            </w:r>
          </w:p>
        </w:tc>
        <w:tc>
          <w:tcPr>
            <w:tcW w:w="747" w:type="pct"/>
            <w:tcBorders>
              <w:top w:val="nil"/>
              <w:left w:val="nil"/>
              <w:bottom w:val="single" w:sz="4" w:space="0" w:color="auto"/>
              <w:right w:val="single" w:sz="4" w:space="0" w:color="auto"/>
            </w:tcBorders>
            <w:shd w:val="clear" w:color="auto" w:fill="auto"/>
            <w:vAlign w:val="center"/>
            <w:hideMark/>
          </w:tcPr>
          <w:p w14:paraId="407B32D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disa shtesa dhe ndryshime në ligjin nr. 71/2016, “Për kontrollin kufitar””, të ndryshuar.</w:t>
            </w:r>
          </w:p>
        </w:tc>
        <w:tc>
          <w:tcPr>
            <w:tcW w:w="300" w:type="pct"/>
            <w:tcBorders>
              <w:top w:val="nil"/>
              <w:left w:val="nil"/>
              <w:bottom w:val="single" w:sz="4" w:space="0" w:color="auto"/>
              <w:right w:val="single" w:sz="4" w:space="0" w:color="auto"/>
            </w:tcBorders>
            <w:shd w:val="clear" w:color="auto" w:fill="auto"/>
            <w:vAlign w:val="center"/>
            <w:hideMark/>
          </w:tcPr>
          <w:p w14:paraId="515A532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Projektligj</w:t>
            </w:r>
          </w:p>
        </w:tc>
        <w:tc>
          <w:tcPr>
            <w:tcW w:w="374" w:type="pct"/>
            <w:tcBorders>
              <w:top w:val="nil"/>
              <w:left w:val="nil"/>
              <w:bottom w:val="single" w:sz="4" w:space="0" w:color="auto"/>
              <w:right w:val="single" w:sz="4" w:space="0" w:color="auto"/>
            </w:tcBorders>
            <w:shd w:val="clear" w:color="auto" w:fill="auto"/>
            <w:vAlign w:val="center"/>
            <w:hideMark/>
          </w:tcPr>
          <w:p w14:paraId="11359C8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50C181F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w:t>
            </w:r>
          </w:p>
        </w:tc>
        <w:tc>
          <w:tcPr>
            <w:tcW w:w="810" w:type="pct"/>
            <w:tcBorders>
              <w:top w:val="nil"/>
              <w:left w:val="nil"/>
              <w:bottom w:val="single" w:sz="4" w:space="0" w:color="auto"/>
              <w:right w:val="single" w:sz="4" w:space="0" w:color="auto"/>
            </w:tcBorders>
            <w:shd w:val="clear" w:color="auto" w:fill="auto"/>
            <w:vAlign w:val="center"/>
            <w:hideMark/>
          </w:tcPr>
          <w:p w14:paraId="2AA4963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Detyrimi buron nga rregullorja</w:t>
            </w:r>
          </w:p>
        </w:tc>
        <w:tc>
          <w:tcPr>
            <w:tcW w:w="793" w:type="pct"/>
            <w:tcBorders>
              <w:top w:val="nil"/>
              <w:left w:val="nil"/>
              <w:bottom w:val="single" w:sz="4" w:space="0" w:color="auto"/>
              <w:right w:val="single" w:sz="4" w:space="0" w:color="auto"/>
            </w:tcBorders>
            <w:shd w:val="clear" w:color="auto" w:fill="auto"/>
            <w:vAlign w:val="center"/>
            <w:hideMark/>
          </w:tcPr>
          <w:p w14:paraId="072269A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Rregullimi i çështjeve të   lindura, sipas nevojave dhe problematikave të evidentuara, rishikimi i aktit në raport me legjislacionin në fuqi, si dhe acqui-në e Bashkimit Evropian</w:t>
            </w:r>
          </w:p>
        </w:tc>
        <w:tc>
          <w:tcPr>
            <w:tcW w:w="264" w:type="pct"/>
            <w:tcBorders>
              <w:top w:val="nil"/>
              <w:left w:val="nil"/>
              <w:bottom w:val="single" w:sz="4" w:space="0" w:color="auto"/>
              <w:right w:val="single" w:sz="4" w:space="0" w:color="auto"/>
            </w:tcBorders>
            <w:shd w:val="clear" w:color="auto" w:fill="auto"/>
            <w:vAlign w:val="center"/>
            <w:hideMark/>
          </w:tcPr>
          <w:p w14:paraId="4E3C310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c>
          <w:tcPr>
            <w:tcW w:w="395" w:type="pct"/>
            <w:tcBorders>
              <w:top w:val="nil"/>
              <w:left w:val="nil"/>
              <w:bottom w:val="single" w:sz="4" w:space="0" w:color="auto"/>
              <w:right w:val="single" w:sz="4" w:space="0" w:color="auto"/>
            </w:tcBorders>
            <w:shd w:val="clear" w:color="auto" w:fill="auto"/>
            <w:vAlign w:val="center"/>
            <w:hideMark/>
          </w:tcPr>
          <w:p w14:paraId="763232C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 shtylla Shqipëria e fortë, fusha Shqipëria e Sigurt, si dhe me prioritetet e Ministrisë së Brendshme për vitin 2024</w:t>
            </w:r>
          </w:p>
        </w:tc>
        <w:tc>
          <w:tcPr>
            <w:tcW w:w="493" w:type="pct"/>
            <w:tcBorders>
              <w:top w:val="nil"/>
              <w:left w:val="nil"/>
              <w:bottom w:val="single" w:sz="4" w:space="0" w:color="auto"/>
              <w:right w:val="single" w:sz="4" w:space="0" w:color="auto"/>
            </w:tcBorders>
            <w:shd w:val="clear" w:color="auto" w:fill="auto"/>
            <w:vAlign w:val="center"/>
            <w:hideMark/>
          </w:tcPr>
          <w:p w14:paraId="7ED22C6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Projektakti lidhet me Strategjinë e Menaxhimit të Integruar të Kufirit </w:t>
            </w:r>
          </w:p>
        </w:tc>
        <w:tc>
          <w:tcPr>
            <w:tcW w:w="433" w:type="pct"/>
            <w:tcBorders>
              <w:top w:val="nil"/>
              <w:left w:val="nil"/>
              <w:bottom w:val="single" w:sz="4" w:space="0" w:color="auto"/>
              <w:right w:val="single" w:sz="4" w:space="0" w:color="auto"/>
            </w:tcBorders>
            <w:shd w:val="clear" w:color="auto" w:fill="auto"/>
            <w:vAlign w:val="center"/>
            <w:hideMark/>
          </w:tcPr>
          <w:p w14:paraId="5FFEED1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5D8CA924"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4BFA12A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9</w:t>
            </w:r>
          </w:p>
        </w:tc>
        <w:tc>
          <w:tcPr>
            <w:tcW w:w="747" w:type="pct"/>
            <w:tcBorders>
              <w:top w:val="nil"/>
              <w:left w:val="nil"/>
              <w:bottom w:val="single" w:sz="4" w:space="0" w:color="auto"/>
              <w:right w:val="single" w:sz="4" w:space="0" w:color="auto"/>
            </w:tcBorders>
            <w:shd w:val="clear" w:color="auto" w:fill="auto"/>
            <w:vAlign w:val="center"/>
            <w:hideMark/>
          </w:tcPr>
          <w:p w14:paraId="53AA55F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miratimin e Planit të Veprimit të Strategjisë Ndërsektoriale të Sigurisë në Komunitet në bazë të Strategjisë Ndërsektoriale të Sigurisë në Komunitet 2021-2026".</w:t>
            </w:r>
          </w:p>
        </w:tc>
        <w:tc>
          <w:tcPr>
            <w:tcW w:w="300" w:type="pct"/>
            <w:tcBorders>
              <w:top w:val="nil"/>
              <w:left w:val="nil"/>
              <w:bottom w:val="single" w:sz="4" w:space="0" w:color="auto"/>
              <w:right w:val="single" w:sz="4" w:space="0" w:color="auto"/>
            </w:tcBorders>
            <w:shd w:val="clear" w:color="auto" w:fill="auto"/>
            <w:vAlign w:val="center"/>
            <w:hideMark/>
          </w:tcPr>
          <w:p w14:paraId="48B1325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50E4D0E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752F089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w:t>
            </w:r>
          </w:p>
        </w:tc>
        <w:tc>
          <w:tcPr>
            <w:tcW w:w="810" w:type="pct"/>
            <w:tcBorders>
              <w:top w:val="nil"/>
              <w:left w:val="nil"/>
              <w:bottom w:val="single" w:sz="4" w:space="0" w:color="auto"/>
              <w:right w:val="single" w:sz="4" w:space="0" w:color="auto"/>
            </w:tcBorders>
            <w:shd w:val="clear" w:color="auto" w:fill="auto"/>
            <w:vAlign w:val="center"/>
            <w:hideMark/>
          </w:tcPr>
          <w:p w14:paraId="28690DB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Përfundimi i afatit aktual të Planit të Veprimit të Strategjisë së Sigurisë në Komunitet. Përmbushja e</w:t>
            </w:r>
            <w:r w:rsidRPr="005139E5">
              <w:rPr>
                <w:rFonts w:ascii="Arial" w:eastAsia="Times New Roman" w:hAnsi="Arial" w:cs="Arial"/>
                <w:color w:val="000000"/>
                <w:sz w:val="12"/>
                <w:szCs w:val="12"/>
                <w:bdr w:val="none" w:sz="0" w:space="0" w:color="auto"/>
              </w:rPr>
              <w:br/>
              <w:t>objektivave të</w:t>
            </w:r>
            <w:r w:rsidRPr="005139E5">
              <w:rPr>
                <w:rFonts w:ascii="Arial" w:eastAsia="Times New Roman" w:hAnsi="Arial" w:cs="Arial"/>
                <w:color w:val="000000"/>
                <w:sz w:val="12"/>
                <w:szCs w:val="12"/>
                <w:bdr w:val="none" w:sz="0" w:space="0" w:color="auto"/>
              </w:rPr>
              <w:br/>
              <w:t>Strategjisë e cila</w:t>
            </w:r>
            <w:r w:rsidRPr="005139E5">
              <w:rPr>
                <w:rFonts w:ascii="Arial" w:eastAsia="Times New Roman" w:hAnsi="Arial" w:cs="Arial"/>
                <w:color w:val="000000"/>
                <w:sz w:val="12"/>
                <w:szCs w:val="12"/>
                <w:bdr w:val="none" w:sz="0" w:space="0" w:color="auto"/>
              </w:rPr>
              <w:br/>
              <w:t>është e miratuar</w:t>
            </w:r>
            <w:r w:rsidRPr="005139E5">
              <w:rPr>
                <w:rFonts w:ascii="Arial" w:eastAsia="Times New Roman" w:hAnsi="Arial" w:cs="Arial"/>
                <w:color w:val="000000"/>
                <w:sz w:val="12"/>
                <w:szCs w:val="12"/>
                <w:bdr w:val="none" w:sz="0" w:space="0" w:color="auto"/>
              </w:rPr>
              <w:br/>
              <w:t>deri në vitin</w:t>
            </w:r>
            <w:r w:rsidRPr="005139E5">
              <w:rPr>
                <w:rFonts w:ascii="Arial" w:eastAsia="Times New Roman" w:hAnsi="Arial" w:cs="Arial"/>
                <w:color w:val="000000"/>
                <w:sz w:val="12"/>
                <w:szCs w:val="12"/>
                <w:bdr w:val="none" w:sz="0" w:space="0" w:color="auto"/>
              </w:rPr>
              <w:br/>
              <w:t>2026.</w:t>
            </w:r>
          </w:p>
        </w:tc>
        <w:tc>
          <w:tcPr>
            <w:tcW w:w="793" w:type="pct"/>
            <w:tcBorders>
              <w:top w:val="nil"/>
              <w:left w:val="nil"/>
              <w:bottom w:val="single" w:sz="4" w:space="0" w:color="auto"/>
              <w:right w:val="single" w:sz="4" w:space="0" w:color="auto"/>
            </w:tcBorders>
            <w:shd w:val="clear" w:color="auto" w:fill="auto"/>
            <w:vAlign w:val="center"/>
            <w:hideMark/>
          </w:tcPr>
          <w:p w14:paraId="61406B1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(1)Rritja e parametrave të sigurisë në komunitet.</w:t>
            </w:r>
            <w:r w:rsidRPr="005139E5">
              <w:rPr>
                <w:rFonts w:ascii="Arial" w:eastAsia="Times New Roman" w:hAnsi="Arial" w:cs="Arial"/>
                <w:color w:val="000000"/>
                <w:sz w:val="12"/>
                <w:szCs w:val="12"/>
                <w:bdr w:val="none" w:sz="0" w:space="0" w:color="auto"/>
              </w:rPr>
              <w:br/>
              <w:t>(2) Angazhimi dhe ndërveprimi me komunitetin.</w:t>
            </w:r>
            <w:r w:rsidRPr="005139E5">
              <w:rPr>
                <w:rFonts w:ascii="Arial" w:eastAsia="Times New Roman" w:hAnsi="Arial" w:cs="Arial"/>
                <w:color w:val="000000"/>
                <w:sz w:val="12"/>
                <w:szCs w:val="12"/>
                <w:bdr w:val="none" w:sz="0" w:space="0" w:color="auto"/>
              </w:rPr>
              <w:br/>
              <w:t>(3) Reformimi i Shërbimit Policor dhe Rritja e kapaciteteve për Sigurinë në Komunitet.</w:t>
            </w:r>
          </w:p>
        </w:tc>
        <w:tc>
          <w:tcPr>
            <w:tcW w:w="264" w:type="pct"/>
            <w:tcBorders>
              <w:top w:val="nil"/>
              <w:left w:val="nil"/>
              <w:bottom w:val="single" w:sz="4" w:space="0" w:color="auto"/>
              <w:right w:val="single" w:sz="4" w:space="0" w:color="auto"/>
            </w:tcBorders>
            <w:shd w:val="clear" w:color="auto" w:fill="auto"/>
            <w:vAlign w:val="center"/>
            <w:hideMark/>
          </w:tcPr>
          <w:p w14:paraId="7F58447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78485D0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 shtylla Shqipëria e fortë, fusha Shqipëria e Sigurt</w:t>
            </w:r>
          </w:p>
        </w:tc>
        <w:tc>
          <w:tcPr>
            <w:tcW w:w="493" w:type="pct"/>
            <w:tcBorders>
              <w:top w:val="nil"/>
              <w:left w:val="nil"/>
              <w:bottom w:val="single" w:sz="4" w:space="0" w:color="auto"/>
              <w:right w:val="single" w:sz="4" w:space="0" w:color="auto"/>
            </w:tcBorders>
            <w:shd w:val="clear" w:color="auto" w:fill="auto"/>
            <w:vAlign w:val="center"/>
            <w:hideMark/>
          </w:tcPr>
          <w:p w14:paraId="0B25CBD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VKM Nr. 1139, datë 24.12.2020</w:t>
            </w:r>
            <w:r w:rsidRPr="005139E5">
              <w:rPr>
                <w:rFonts w:ascii="Arial" w:eastAsia="Times New Roman" w:hAnsi="Arial" w:cs="Arial"/>
                <w:color w:val="000000"/>
                <w:sz w:val="12"/>
                <w:szCs w:val="12"/>
                <w:bdr w:val="none" w:sz="0" w:space="0" w:color="auto"/>
              </w:rPr>
              <w:br/>
            </w:r>
            <w:r w:rsidRPr="005139E5">
              <w:rPr>
                <w:rFonts w:ascii="Arial" w:eastAsia="Times New Roman" w:hAnsi="Arial" w:cs="Arial"/>
                <w:color w:val="000000"/>
                <w:sz w:val="12"/>
                <w:szCs w:val="12"/>
                <w:bdr w:val="none" w:sz="0" w:space="0" w:color="auto"/>
              </w:rPr>
              <w:br/>
              <w:t>"Për  miratimin e Strategjisë Ndërsektoriale të Sigurisë në Komunitet 2021 – 2026".</w:t>
            </w:r>
          </w:p>
        </w:tc>
        <w:tc>
          <w:tcPr>
            <w:tcW w:w="433" w:type="pct"/>
            <w:tcBorders>
              <w:top w:val="nil"/>
              <w:left w:val="nil"/>
              <w:bottom w:val="single" w:sz="4" w:space="0" w:color="auto"/>
              <w:right w:val="single" w:sz="4" w:space="0" w:color="auto"/>
            </w:tcBorders>
            <w:shd w:val="clear" w:color="auto" w:fill="auto"/>
            <w:vAlign w:val="center"/>
            <w:hideMark/>
          </w:tcPr>
          <w:p w14:paraId="440A633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34B20A06"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7841AF7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10</w:t>
            </w:r>
          </w:p>
        </w:tc>
        <w:tc>
          <w:tcPr>
            <w:tcW w:w="747" w:type="pct"/>
            <w:tcBorders>
              <w:top w:val="nil"/>
              <w:left w:val="nil"/>
              <w:bottom w:val="single" w:sz="4" w:space="0" w:color="auto"/>
              <w:right w:val="single" w:sz="4" w:space="0" w:color="auto"/>
            </w:tcBorders>
            <w:shd w:val="clear" w:color="auto" w:fill="auto"/>
            <w:vAlign w:val="center"/>
            <w:hideMark/>
          </w:tcPr>
          <w:p w14:paraId="0AF4EC2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miratimin e Planit të Veprimit të Strategjisë të Menaxhimit të Integruar të Kufirit në bazë të Stratategjisë së Menaxhimit të Integruar të Kufirit 2021-2027".</w:t>
            </w:r>
          </w:p>
        </w:tc>
        <w:tc>
          <w:tcPr>
            <w:tcW w:w="300" w:type="pct"/>
            <w:tcBorders>
              <w:top w:val="nil"/>
              <w:left w:val="nil"/>
              <w:bottom w:val="single" w:sz="4" w:space="0" w:color="auto"/>
              <w:right w:val="single" w:sz="4" w:space="0" w:color="auto"/>
            </w:tcBorders>
            <w:shd w:val="clear" w:color="auto" w:fill="auto"/>
            <w:vAlign w:val="center"/>
            <w:hideMark/>
          </w:tcPr>
          <w:p w14:paraId="7113728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121E466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2E803D8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w:t>
            </w:r>
          </w:p>
        </w:tc>
        <w:tc>
          <w:tcPr>
            <w:tcW w:w="810" w:type="pct"/>
            <w:tcBorders>
              <w:top w:val="nil"/>
              <w:left w:val="nil"/>
              <w:bottom w:val="single" w:sz="4" w:space="0" w:color="auto"/>
              <w:right w:val="single" w:sz="4" w:space="0" w:color="auto"/>
            </w:tcBorders>
            <w:shd w:val="clear" w:color="auto" w:fill="auto"/>
            <w:vAlign w:val="center"/>
            <w:hideMark/>
          </w:tcPr>
          <w:p w14:paraId="08C548E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Përfundimi i afatit aktual të Planit të Veprimit të Menaxhimit të Integruar të kufirit. Përmbushja e</w:t>
            </w:r>
            <w:r w:rsidRPr="005139E5">
              <w:rPr>
                <w:rFonts w:ascii="Arial" w:eastAsia="Times New Roman" w:hAnsi="Arial" w:cs="Arial"/>
                <w:color w:val="000000"/>
                <w:sz w:val="12"/>
                <w:szCs w:val="12"/>
                <w:bdr w:val="none" w:sz="0" w:space="0" w:color="auto"/>
              </w:rPr>
              <w:br/>
              <w:t>objektivave të</w:t>
            </w:r>
            <w:r w:rsidRPr="005139E5">
              <w:rPr>
                <w:rFonts w:ascii="Arial" w:eastAsia="Times New Roman" w:hAnsi="Arial" w:cs="Arial"/>
                <w:color w:val="000000"/>
                <w:sz w:val="12"/>
                <w:szCs w:val="12"/>
                <w:bdr w:val="none" w:sz="0" w:space="0" w:color="auto"/>
              </w:rPr>
              <w:br/>
              <w:t>Strategjisë e cila</w:t>
            </w:r>
            <w:r w:rsidRPr="005139E5">
              <w:rPr>
                <w:rFonts w:ascii="Arial" w:eastAsia="Times New Roman" w:hAnsi="Arial" w:cs="Arial"/>
                <w:color w:val="000000"/>
                <w:sz w:val="12"/>
                <w:szCs w:val="12"/>
                <w:bdr w:val="none" w:sz="0" w:space="0" w:color="auto"/>
              </w:rPr>
              <w:br/>
              <w:t>është e miratuar</w:t>
            </w:r>
            <w:r w:rsidRPr="005139E5">
              <w:rPr>
                <w:rFonts w:ascii="Arial" w:eastAsia="Times New Roman" w:hAnsi="Arial" w:cs="Arial"/>
                <w:color w:val="000000"/>
                <w:sz w:val="12"/>
                <w:szCs w:val="12"/>
                <w:bdr w:val="none" w:sz="0" w:space="0" w:color="auto"/>
              </w:rPr>
              <w:br/>
              <w:t>deri në vitin</w:t>
            </w:r>
            <w:r w:rsidRPr="005139E5">
              <w:rPr>
                <w:rFonts w:ascii="Arial" w:eastAsia="Times New Roman" w:hAnsi="Arial" w:cs="Arial"/>
                <w:color w:val="000000"/>
                <w:sz w:val="12"/>
                <w:szCs w:val="12"/>
                <w:bdr w:val="none" w:sz="0" w:space="0" w:color="auto"/>
              </w:rPr>
              <w:br/>
              <w:t>2027.</w:t>
            </w:r>
          </w:p>
        </w:tc>
        <w:tc>
          <w:tcPr>
            <w:tcW w:w="793" w:type="pct"/>
            <w:tcBorders>
              <w:top w:val="nil"/>
              <w:left w:val="nil"/>
              <w:bottom w:val="single" w:sz="4" w:space="0" w:color="auto"/>
              <w:right w:val="single" w:sz="4" w:space="0" w:color="auto"/>
            </w:tcBorders>
            <w:shd w:val="clear" w:color="auto" w:fill="auto"/>
            <w:vAlign w:val="center"/>
            <w:hideMark/>
          </w:tcPr>
          <w:p w14:paraId="138A65C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 Mbrojtja e sigurisë së brendshme dhe menaxhimi i flukseve migratore, me qëllim parandalimin e migracionit të parregullt, si dhe parandalimin dhe goditjen e krimit ndërkufitar.               (2) Lehtësimi i qarkullimit legal të shtetasve dhe mallrave.                          (3)Respektimi i plotë i të drejtave themelore, përfshirë trajtimin e çdo individi me respekt të plotë për dinjitetin dhe mundësimin e qasjes në mbrojtjen ndërkombëtare të atyre që kanë nevojë</w:t>
            </w:r>
          </w:p>
        </w:tc>
        <w:tc>
          <w:tcPr>
            <w:tcW w:w="264" w:type="pct"/>
            <w:tcBorders>
              <w:top w:val="nil"/>
              <w:left w:val="nil"/>
              <w:bottom w:val="single" w:sz="4" w:space="0" w:color="auto"/>
              <w:right w:val="single" w:sz="4" w:space="0" w:color="auto"/>
            </w:tcBorders>
            <w:shd w:val="clear" w:color="auto" w:fill="auto"/>
            <w:vAlign w:val="center"/>
            <w:hideMark/>
          </w:tcPr>
          <w:p w14:paraId="3F6ECB3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c>
          <w:tcPr>
            <w:tcW w:w="395" w:type="pct"/>
            <w:tcBorders>
              <w:top w:val="nil"/>
              <w:left w:val="nil"/>
              <w:bottom w:val="single" w:sz="4" w:space="0" w:color="auto"/>
              <w:right w:val="single" w:sz="4" w:space="0" w:color="auto"/>
            </w:tcBorders>
            <w:shd w:val="clear" w:color="auto" w:fill="auto"/>
            <w:vAlign w:val="center"/>
            <w:hideMark/>
          </w:tcPr>
          <w:p w14:paraId="18780ED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 shtylla Shqipëria e fortë, fusha Shqipëria e Sigurt</w:t>
            </w:r>
          </w:p>
        </w:tc>
        <w:tc>
          <w:tcPr>
            <w:tcW w:w="493" w:type="pct"/>
            <w:tcBorders>
              <w:top w:val="nil"/>
              <w:left w:val="nil"/>
              <w:bottom w:val="single" w:sz="4" w:space="0" w:color="auto"/>
              <w:right w:val="single" w:sz="4" w:space="0" w:color="auto"/>
            </w:tcBorders>
            <w:shd w:val="clear" w:color="auto" w:fill="auto"/>
            <w:vAlign w:val="center"/>
            <w:hideMark/>
          </w:tcPr>
          <w:p w14:paraId="50DD6D7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VKM nr. 1117, datë 16.12.2020 “Për miratimin e Strategjisë Ndërsektoriale të Menaxhimit të Integruar të Kufirit 2022-2027"</w:t>
            </w:r>
          </w:p>
        </w:tc>
        <w:tc>
          <w:tcPr>
            <w:tcW w:w="433" w:type="pct"/>
            <w:tcBorders>
              <w:top w:val="nil"/>
              <w:left w:val="nil"/>
              <w:bottom w:val="single" w:sz="4" w:space="0" w:color="auto"/>
              <w:right w:val="single" w:sz="4" w:space="0" w:color="auto"/>
            </w:tcBorders>
            <w:shd w:val="clear" w:color="auto" w:fill="auto"/>
            <w:vAlign w:val="center"/>
            <w:hideMark/>
          </w:tcPr>
          <w:p w14:paraId="59BCA27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7026958D"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2D374AA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11</w:t>
            </w:r>
          </w:p>
        </w:tc>
        <w:tc>
          <w:tcPr>
            <w:tcW w:w="747" w:type="pct"/>
            <w:tcBorders>
              <w:top w:val="nil"/>
              <w:left w:val="nil"/>
              <w:bottom w:val="single" w:sz="4" w:space="0" w:color="auto"/>
              <w:right w:val="single" w:sz="4" w:space="0" w:color="auto"/>
            </w:tcBorders>
            <w:shd w:val="clear" w:color="auto" w:fill="auto"/>
            <w:vAlign w:val="center"/>
            <w:hideMark/>
          </w:tcPr>
          <w:p w14:paraId="3D3753D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miratimin e Planit Kombëtar të Veprimit për Luftën kundër Trafikimit të Personave 2024-2025"</w:t>
            </w:r>
          </w:p>
        </w:tc>
        <w:tc>
          <w:tcPr>
            <w:tcW w:w="300" w:type="pct"/>
            <w:tcBorders>
              <w:top w:val="nil"/>
              <w:left w:val="nil"/>
              <w:bottom w:val="single" w:sz="4" w:space="0" w:color="auto"/>
              <w:right w:val="single" w:sz="4" w:space="0" w:color="auto"/>
            </w:tcBorders>
            <w:shd w:val="clear" w:color="auto" w:fill="auto"/>
            <w:vAlign w:val="center"/>
            <w:hideMark/>
          </w:tcPr>
          <w:p w14:paraId="0E9825E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7DF34E6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7A14DCA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w:t>
            </w:r>
          </w:p>
        </w:tc>
        <w:tc>
          <w:tcPr>
            <w:tcW w:w="810" w:type="pct"/>
            <w:tcBorders>
              <w:top w:val="nil"/>
              <w:left w:val="nil"/>
              <w:bottom w:val="single" w:sz="4" w:space="0" w:color="auto"/>
              <w:right w:val="single" w:sz="4" w:space="0" w:color="auto"/>
            </w:tcBorders>
            <w:shd w:val="clear" w:color="auto" w:fill="auto"/>
            <w:vAlign w:val="center"/>
            <w:hideMark/>
          </w:tcPr>
          <w:p w14:paraId="0D61D4E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Përfundimi i afatit të Planit Kombëtar  të Veprimit për Luftën kundër Trafikimit të Personave 2021-2023 (VKM nr. 670, datë 10.11.2021).  Përmbushja e</w:t>
            </w:r>
            <w:r w:rsidRPr="005139E5">
              <w:rPr>
                <w:rFonts w:ascii="Arial" w:eastAsia="Times New Roman" w:hAnsi="Arial" w:cs="Arial"/>
                <w:sz w:val="12"/>
                <w:szCs w:val="12"/>
                <w:bdr w:val="none" w:sz="0" w:space="0" w:color="auto"/>
              </w:rPr>
              <w:br/>
              <w:t>objektivave të</w:t>
            </w:r>
            <w:r w:rsidRPr="005139E5">
              <w:rPr>
                <w:rFonts w:ascii="Arial" w:eastAsia="Times New Roman" w:hAnsi="Arial" w:cs="Arial"/>
                <w:sz w:val="12"/>
                <w:szCs w:val="12"/>
                <w:bdr w:val="none" w:sz="0" w:space="0" w:color="auto"/>
              </w:rPr>
              <w:br/>
              <w:t>Strategjisë e cila</w:t>
            </w:r>
            <w:r w:rsidRPr="005139E5">
              <w:rPr>
                <w:rFonts w:ascii="Arial" w:eastAsia="Times New Roman" w:hAnsi="Arial" w:cs="Arial"/>
                <w:sz w:val="12"/>
                <w:szCs w:val="12"/>
                <w:bdr w:val="none" w:sz="0" w:space="0" w:color="auto"/>
              </w:rPr>
              <w:br/>
              <w:t>është e miratuar</w:t>
            </w:r>
            <w:r w:rsidRPr="005139E5">
              <w:rPr>
                <w:rFonts w:ascii="Arial" w:eastAsia="Times New Roman" w:hAnsi="Arial" w:cs="Arial"/>
                <w:sz w:val="12"/>
                <w:szCs w:val="12"/>
                <w:bdr w:val="none" w:sz="0" w:space="0" w:color="auto"/>
              </w:rPr>
              <w:br/>
              <w:t>deri në vitin</w:t>
            </w:r>
            <w:r w:rsidRPr="005139E5">
              <w:rPr>
                <w:rFonts w:ascii="Arial" w:eastAsia="Times New Roman" w:hAnsi="Arial" w:cs="Arial"/>
                <w:sz w:val="12"/>
                <w:szCs w:val="12"/>
                <w:bdr w:val="none" w:sz="0" w:space="0" w:color="auto"/>
              </w:rPr>
              <w:br/>
              <w:t xml:space="preserve">2027. </w:t>
            </w:r>
          </w:p>
        </w:tc>
        <w:tc>
          <w:tcPr>
            <w:tcW w:w="793" w:type="pct"/>
            <w:tcBorders>
              <w:top w:val="nil"/>
              <w:left w:val="nil"/>
              <w:bottom w:val="single" w:sz="4" w:space="0" w:color="auto"/>
              <w:right w:val="single" w:sz="4" w:space="0" w:color="auto"/>
            </w:tcBorders>
            <w:shd w:val="clear" w:color="auto" w:fill="auto"/>
            <w:vAlign w:val="center"/>
            <w:hideMark/>
          </w:tcPr>
          <w:p w14:paraId="7D315A7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 xml:space="preserve">Plani i Veprimit përbën dokumentin më të rëndësishëm politik dhe strategjik të vendit në fushën e antitrafikimit. Ky dokument është vazhdim i përpjekjeve dhe objektivave antitrafikim të parashikuara në Strategjinë kundër Krimit të Organizuar dhe Krimeve të Rënda 2021-2025 dhe Planin Kombëtar të Veprimit për Luftën kundër Trafikimit të Personave 2021-2023, por të përshtatura me dinamikën e trafikimit, vizionin e ri qeverisës në qasjen ndaj fenomenit të trafikimit për të krijuar një platformë të mirëorientuar synimesh e objektivash strategjikë në përputhje me dokumentet e tjera strategjike kombëtare, si dhe rekomandimet e partnerëve ndërkombëtarë. </w:t>
            </w:r>
          </w:p>
        </w:tc>
        <w:tc>
          <w:tcPr>
            <w:tcW w:w="264" w:type="pct"/>
            <w:tcBorders>
              <w:top w:val="nil"/>
              <w:left w:val="nil"/>
              <w:bottom w:val="single" w:sz="4" w:space="0" w:color="auto"/>
              <w:right w:val="single" w:sz="4" w:space="0" w:color="auto"/>
            </w:tcBorders>
            <w:shd w:val="clear" w:color="auto" w:fill="auto"/>
            <w:vAlign w:val="center"/>
            <w:hideMark/>
          </w:tcPr>
          <w:p w14:paraId="69694C9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07AB4AE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Po, shtylla: Shqipëria e fortë, fusha: Shqipëria e Sigurt</w:t>
            </w:r>
          </w:p>
        </w:tc>
        <w:tc>
          <w:tcPr>
            <w:tcW w:w="493" w:type="pct"/>
            <w:tcBorders>
              <w:top w:val="nil"/>
              <w:left w:val="nil"/>
              <w:bottom w:val="single" w:sz="4" w:space="0" w:color="auto"/>
              <w:right w:val="single" w:sz="4" w:space="0" w:color="auto"/>
            </w:tcBorders>
            <w:shd w:val="clear" w:color="auto" w:fill="auto"/>
            <w:vAlign w:val="center"/>
            <w:hideMark/>
          </w:tcPr>
          <w:p w14:paraId="5164DC1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Strategjia Kombëtare kundër Krimit të Organizuar dhe Krimeve të Rënda 2021-2025 dhe Planin e saj të Veprimit 2023-2025</w:t>
            </w:r>
          </w:p>
        </w:tc>
        <w:tc>
          <w:tcPr>
            <w:tcW w:w="433" w:type="pct"/>
            <w:tcBorders>
              <w:top w:val="nil"/>
              <w:left w:val="nil"/>
              <w:bottom w:val="single" w:sz="4" w:space="0" w:color="auto"/>
              <w:right w:val="single" w:sz="4" w:space="0" w:color="auto"/>
            </w:tcBorders>
            <w:shd w:val="clear" w:color="auto" w:fill="auto"/>
            <w:vAlign w:val="center"/>
            <w:hideMark/>
          </w:tcPr>
          <w:p w14:paraId="255CB20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Po</w:t>
            </w:r>
          </w:p>
        </w:tc>
      </w:tr>
      <w:tr w:rsidR="005139E5" w:rsidRPr="005139E5" w14:paraId="1CEB82B4"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1344285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12</w:t>
            </w:r>
          </w:p>
        </w:tc>
        <w:tc>
          <w:tcPr>
            <w:tcW w:w="747" w:type="pct"/>
            <w:tcBorders>
              <w:top w:val="nil"/>
              <w:left w:val="nil"/>
              <w:bottom w:val="single" w:sz="4" w:space="0" w:color="auto"/>
              <w:right w:val="single" w:sz="4" w:space="0" w:color="auto"/>
            </w:tcBorders>
            <w:shd w:val="clear" w:color="auto" w:fill="auto"/>
            <w:vAlign w:val="center"/>
            <w:hideMark/>
          </w:tcPr>
          <w:p w14:paraId="38CCCE5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përcaktimin e procedurave të krijimit të regjistrit elektronik, bazë të dhënash shtetërore, kriteret, mënyra dhedokumentacioni për kërkesën për ID digjitale të rezidentit elektronik, përfshirë përpunimin, vlerësimindhe miratimin e kërkesave"</w:t>
            </w:r>
          </w:p>
        </w:tc>
        <w:tc>
          <w:tcPr>
            <w:tcW w:w="300" w:type="pct"/>
            <w:tcBorders>
              <w:top w:val="nil"/>
              <w:left w:val="nil"/>
              <w:bottom w:val="single" w:sz="4" w:space="0" w:color="auto"/>
              <w:right w:val="single" w:sz="4" w:space="0" w:color="auto"/>
            </w:tcBorders>
            <w:shd w:val="clear" w:color="auto" w:fill="auto"/>
            <w:vAlign w:val="center"/>
            <w:hideMark/>
          </w:tcPr>
          <w:p w14:paraId="24151B6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58C8130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0E8FF07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w:t>
            </w:r>
          </w:p>
        </w:tc>
        <w:tc>
          <w:tcPr>
            <w:tcW w:w="810" w:type="pct"/>
            <w:tcBorders>
              <w:top w:val="nil"/>
              <w:left w:val="nil"/>
              <w:bottom w:val="single" w:sz="4" w:space="0" w:color="auto"/>
              <w:right w:val="single" w:sz="4" w:space="0" w:color="auto"/>
            </w:tcBorders>
            <w:shd w:val="clear" w:color="auto" w:fill="auto"/>
            <w:vAlign w:val="center"/>
            <w:hideMark/>
          </w:tcPr>
          <w:p w14:paraId="430963D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Ligji nr.  Ligjit Nr. 43/2023 “Për Qeverisjen Elektronike”, ne nenin 40, pika 4, parashikon se Procedura e krijimit të regjistrit elektronik, bazë të dhënash shtetërore, kriteret, mënyra dhedokumentacioni për kërkesën për ID digjitale të rezidentit elektronik, përfshirë përpunimin, vlerësimindhe miratimin e kërkesave, përcaktohet me vendim të Këshillit të Ministrave, me propozim të ministritpërgjegjës për shërbimin e gjendjes civil</w:t>
            </w:r>
          </w:p>
        </w:tc>
        <w:tc>
          <w:tcPr>
            <w:tcW w:w="793" w:type="pct"/>
            <w:tcBorders>
              <w:top w:val="nil"/>
              <w:left w:val="nil"/>
              <w:bottom w:val="single" w:sz="4" w:space="0" w:color="auto"/>
              <w:right w:val="single" w:sz="4" w:space="0" w:color="auto"/>
            </w:tcBorders>
            <w:shd w:val="clear" w:color="auto" w:fill="auto"/>
            <w:vAlign w:val="center"/>
            <w:hideMark/>
          </w:tcPr>
          <w:p w14:paraId="5A48220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Regjistri elektronik, procedurat e krijimit, kriteret,  mënyra dhedokumentacioni për kërkesën për ID digjitale të rezidentit elektronik, përfshirë përpunimin, vlerësimindhe miratimin e kërkesave</w:t>
            </w:r>
          </w:p>
        </w:tc>
        <w:tc>
          <w:tcPr>
            <w:tcW w:w="264" w:type="pct"/>
            <w:tcBorders>
              <w:top w:val="nil"/>
              <w:left w:val="nil"/>
              <w:bottom w:val="single" w:sz="4" w:space="0" w:color="auto"/>
              <w:right w:val="single" w:sz="4" w:space="0" w:color="auto"/>
            </w:tcBorders>
            <w:shd w:val="clear" w:color="auto" w:fill="auto"/>
            <w:vAlign w:val="center"/>
            <w:hideMark/>
          </w:tcPr>
          <w:p w14:paraId="1C4EF24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1BB0CE4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p>
        </w:tc>
        <w:tc>
          <w:tcPr>
            <w:tcW w:w="493" w:type="pct"/>
            <w:tcBorders>
              <w:top w:val="nil"/>
              <w:left w:val="nil"/>
              <w:bottom w:val="single" w:sz="4" w:space="0" w:color="auto"/>
              <w:right w:val="single" w:sz="4" w:space="0" w:color="auto"/>
            </w:tcBorders>
            <w:shd w:val="clear" w:color="auto" w:fill="auto"/>
            <w:vAlign w:val="center"/>
            <w:hideMark/>
          </w:tcPr>
          <w:p w14:paraId="68E56C4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Jo </w:t>
            </w:r>
          </w:p>
        </w:tc>
        <w:tc>
          <w:tcPr>
            <w:tcW w:w="433" w:type="pct"/>
            <w:tcBorders>
              <w:top w:val="nil"/>
              <w:left w:val="nil"/>
              <w:bottom w:val="single" w:sz="4" w:space="0" w:color="auto"/>
              <w:right w:val="single" w:sz="4" w:space="0" w:color="auto"/>
            </w:tcBorders>
            <w:shd w:val="clear" w:color="auto" w:fill="auto"/>
            <w:vAlign w:val="center"/>
            <w:hideMark/>
          </w:tcPr>
          <w:p w14:paraId="4476CEE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3C763419"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1201FBA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13</w:t>
            </w:r>
          </w:p>
        </w:tc>
        <w:tc>
          <w:tcPr>
            <w:tcW w:w="747" w:type="pct"/>
            <w:tcBorders>
              <w:top w:val="nil"/>
              <w:left w:val="nil"/>
              <w:bottom w:val="nil"/>
              <w:right w:val="nil"/>
            </w:tcBorders>
            <w:shd w:val="clear" w:color="auto" w:fill="auto"/>
            <w:vAlign w:val="center"/>
            <w:hideMark/>
          </w:tcPr>
          <w:p w14:paraId="711EE07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sigurimin shëndetësor të veçantë të punonjësve të Agjencisë së Mbikëqyrjes Policore”</w:t>
            </w:r>
          </w:p>
        </w:tc>
        <w:tc>
          <w:tcPr>
            <w:tcW w:w="300" w:type="pct"/>
            <w:tcBorders>
              <w:top w:val="nil"/>
              <w:left w:val="single" w:sz="4" w:space="0" w:color="auto"/>
              <w:bottom w:val="single" w:sz="4" w:space="0" w:color="auto"/>
              <w:right w:val="single" w:sz="4" w:space="0" w:color="auto"/>
            </w:tcBorders>
            <w:shd w:val="clear" w:color="auto" w:fill="auto"/>
            <w:vAlign w:val="center"/>
            <w:hideMark/>
          </w:tcPr>
          <w:p w14:paraId="48974AE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6F20F64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5E93E4E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w:t>
            </w:r>
          </w:p>
        </w:tc>
        <w:tc>
          <w:tcPr>
            <w:tcW w:w="810" w:type="pct"/>
            <w:tcBorders>
              <w:top w:val="nil"/>
              <w:left w:val="nil"/>
              <w:bottom w:val="single" w:sz="4" w:space="0" w:color="auto"/>
              <w:right w:val="single" w:sz="4" w:space="0" w:color="auto"/>
            </w:tcBorders>
            <w:shd w:val="clear" w:color="auto" w:fill="auto"/>
            <w:vAlign w:val="center"/>
            <w:hideMark/>
          </w:tcPr>
          <w:p w14:paraId="6AC0F18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Ky projektvendim parashikon shërbimet shëndetësore, autoritetin mjekësor që vendos për shërbimet</w:t>
            </w:r>
            <w:r w:rsidRPr="005139E5">
              <w:rPr>
                <w:rFonts w:ascii="Arial" w:eastAsia="Times New Roman" w:hAnsi="Arial" w:cs="Arial"/>
                <w:color w:val="000000"/>
                <w:sz w:val="12"/>
                <w:szCs w:val="12"/>
                <w:bdr w:val="none" w:sz="0" w:space="0" w:color="auto"/>
              </w:rPr>
              <w:br/>
              <w:t>shëndetësore për çdo rast, procedurat për sigurimin shëndetësor të veçantë dhe përfituesit, në zbatim të pikës 3, të nenit 71, të ligjit nr. 128/2021, “Për Agjencinë e Mbikëqyrjes Policore”.</w:t>
            </w:r>
          </w:p>
        </w:tc>
        <w:tc>
          <w:tcPr>
            <w:tcW w:w="793" w:type="pct"/>
            <w:tcBorders>
              <w:top w:val="nil"/>
              <w:left w:val="nil"/>
              <w:bottom w:val="single" w:sz="4" w:space="0" w:color="auto"/>
              <w:right w:val="single" w:sz="4" w:space="0" w:color="auto"/>
            </w:tcBorders>
            <w:shd w:val="clear" w:color="auto" w:fill="auto"/>
            <w:vAlign w:val="center"/>
            <w:hideMark/>
          </w:tcPr>
          <w:p w14:paraId="06FF3ED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Ky projektvendim parashikon shërbimet shëndetësore, autoritetin mjekësor që vendos për shërbimet</w:t>
            </w:r>
            <w:r w:rsidRPr="005139E5">
              <w:rPr>
                <w:rFonts w:ascii="Arial" w:eastAsia="Times New Roman" w:hAnsi="Arial" w:cs="Arial"/>
                <w:color w:val="000000"/>
                <w:sz w:val="12"/>
                <w:szCs w:val="12"/>
                <w:bdr w:val="none" w:sz="0" w:space="0" w:color="auto"/>
              </w:rPr>
              <w:br/>
              <w:t>shëndetësore për çdo rast, procedurat për sigurimin shëndetësor të veçantë dhe përfituesit, në zbatim të pikës 3, të nenit 71, të ligjit nr. 128/2021, “Për Agjencinë e Mbikëqyrjes Policore”.</w:t>
            </w:r>
          </w:p>
        </w:tc>
        <w:tc>
          <w:tcPr>
            <w:tcW w:w="264" w:type="pct"/>
            <w:tcBorders>
              <w:top w:val="nil"/>
              <w:left w:val="nil"/>
              <w:bottom w:val="single" w:sz="4" w:space="0" w:color="auto"/>
              <w:right w:val="single" w:sz="4" w:space="0" w:color="auto"/>
            </w:tcBorders>
            <w:shd w:val="clear" w:color="auto" w:fill="auto"/>
            <w:vAlign w:val="center"/>
            <w:hideMark/>
          </w:tcPr>
          <w:p w14:paraId="091B3DD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Kapitulli 23</w:t>
            </w:r>
            <w:r w:rsidRPr="005139E5">
              <w:rPr>
                <w:rFonts w:ascii="Arial" w:eastAsia="Times New Roman" w:hAnsi="Arial" w:cs="Arial"/>
                <w:color w:val="000000"/>
                <w:sz w:val="12"/>
                <w:szCs w:val="12"/>
                <w:bdr w:val="none" w:sz="0" w:space="0" w:color="auto"/>
              </w:rPr>
              <w:br/>
              <w:t>Gjyqësori</w:t>
            </w:r>
            <w:r w:rsidRPr="005139E5">
              <w:rPr>
                <w:rFonts w:ascii="Arial" w:eastAsia="Times New Roman" w:hAnsi="Arial" w:cs="Arial"/>
                <w:color w:val="000000"/>
                <w:sz w:val="12"/>
                <w:szCs w:val="12"/>
                <w:bdr w:val="none" w:sz="0" w:space="0" w:color="auto"/>
              </w:rPr>
              <w:br/>
              <w:t>dhe të drejtat</w:t>
            </w:r>
            <w:r w:rsidRPr="005139E5">
              <w:rPr>
                <w:rFonts w:ascii="Arial" w:eastAsia="Times New Roman" w:hAnsi="Arial" w:cs="Arial"/>
                <w:color w:val="000000"/>
                <w:sz w:val="12"/>
                <w:szCs w:val="12"/>
                <w:bdr w:val="none" w:sz="0" w:space="0" w:color="auto"/>
              </w:rPr>
              <w:br/>
              <w:t>themelore</w:t>
            </w:r>
            <w:r w:rsidRPr="005139E5">
              <w:rPr>
                <w:rFonts w:ascii="Arial" w:eastAsia="Times New Roman" w:hAnsi="Arial" w:cs="Arial"/>
                <w:color w:val="000000"/>
                <w:sz w:val="12"/>
                <w:szCs w:val="12"/>
                <w:bdr w:val="none" w:sz="0" w:space="0" w:color="auto"/>
              </w:rPr>
              <w:br/>
              <w:t>Lufta kundër</w:t>
            </w:r>
            <w:r w:rsidRPr="005139E5">
              <w:rPr>
                <w:rFonts w:ascii="Arial" w:eastAsia="Times New Roman" w:hAnsi="Arial" w:cs="Arial"/>
                <w:color w:val="000000"/>
                <w:sz w:val="12"/>
                <w:szCs w:val="12"/>
                <w:bdr w:val="none" w:sz="0" w:space="0" w:color="auto"/>
              </w:rPr>
              <w:br/>
              <w:t>korrupsionit</w:t>
            </w:r>
          </w:p>
        </w:tc>
        <w:tc>
          <w:tcPr>
            <w:tcW w:w="395" w:type="pct"/>
            <w:tcBorders>
              <w:top w:val="nil"/>
              <w:left w:val="nil"/>
              <w:bottom w:val="single" w:sz="4" w:space="0" w:color="auto"/>
              <w:right w:val="single" w:sz="4" w:space="0" w:color="auto"/>
            </w:tcBorders>
            <w:shd w:val="clear" w:color="auto" w:fill="auto"/>
            <w:vAlign w:val="center"/>
            <w:hideMark/>
          </w:tcPr>
          <w:p w14:paraId="7520124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r w:rsidRPr="005139E5">
              <w:rPr>
                <w:rFonts w:ascii="Arial" w:eastAsia="Times New Roman" w:hAnsi="Arial" w:cs="Arial"/>
                <w:color w:val="000000"/>
                <w:sz w:val="12"/>
                <w:szCs w:val="12"/>
                <w:bdr w:val="none" w:sz="0" w:space="0" w:color="auto"/>
              </w:rPr>
              <w:br/>
              <w:t>II.2. Lufta kundër</w:t>
            </w:r>
            <w:r w:rsidRPr="005139E5">
              <w:rPr>
                <w:rFonts w:ascii="Arial" w:eastAsia="Times New Roman" w:hAnsi="Arial" w:cs="Arial"/>
                <w:color w:val="000000"/>
                <w:sz w:val="12"/>
                <w:szCs w:val="12"/>
                <w:bdr w:val="none" w:sz="0" w:space="0" w:color="auto"/>
              </w:rPr>
              <w:br/>
              <w:t>korrupsionit</w:t>
            </w:r>
          </w:p>
        </w:tc>
        <w:tc>
          <w:tcPr>
            <w:tcW w:w="493" w:type="pct"/>
            <w:tcBorders>
              <w:top w:val="nil"/>
              <w:left w:val="nil"/>
              <w:bottom w:val="single" w:sz="4" w:space="0" w:color="auto"/>
              <w:right w:val="single" w:sz="4" w:space="0" w:color="auto"/>
            </w:tcBorders>
            <w:shd w:val="clear" w:color="auto" w:fill="auto"/>
            <w:vAlign w:val="center"/>
            <w:hideMark/>
          </w:tcPr>
          <w:p w14:paraId="6A694DC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Jo </w:t>
            </w:r>
          </w:p>
        </w:tc>
        <w:tc>
          <w:tcPr>
            <w:tcW w:w="433" w:type="pct"/>
            <w:tcBorders>
              <w:top w:val="nil"/>
              <w:left w:val="nil"/>
              <w:bottom w:val="single" w:sz="4" w:space="0" w:color="auto"/>
              <w:right w:val="single" w:sz="4" w:space="0" w:color="auto"/>
            </w:tcBorders>
            <w:shd w:val="clear" w:color="auto" w:fill="auto"/>
            <w:vAlign w:val="center"/>
            <w:hideMark/>
          </w:tcPr>
          <w:p w14:paraId="64DAE45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28D1134D"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1DB964C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14</w:t>
            </w:r>
          </w:p>
        </w:tc>
        <w:tc>
          <w:tcPr>
            <w:tcW w:w="747" w:type="pct"/>
            <w:tcBorders>
              <w:top w:val="single" w:sz="4" w:space="0" w:color="auto"/>
              <w:left w:val="nil"/>
              <w:bottom w:val="single" w:sz="4" w:space="0" w:color="auto"/>
              <w:right w:val="single" w:sz="4" w:space="0" w:color="auto"/>
            </w:tcBorders>
            <w:shd w:val="clear" w:color="auto" w:fill="auto"/>
            <w:vAlign w:val="center"/>
            <w:hideMark/>
          </w:tcPr>
          <w:p w14:paraId="6C5CA50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përpunimin e informacionit të pasagjerit në Republikën e Shqipërisë"</w:t>
            </w:r>
          </w:p>
        </w:tc>
        <w:tc>
          <w:tcPr>
            <w:tcW w:w="300" w:type="pct"/>
            <w:tcBorders>
              <w:top w:val="nil"/>
              <w:left w:val="nil"/>
              <w:bottom w:val="single" w:sz="4" w:space="0" w:color="auto"/>
              <w:right w:val="single" w:sz="4" w:space="0" w:color="auto"/>
            </w:tcBorders>
            <w:shd w:val="clear" w:color="auto" w:fill="auto"/>
            <w:vAlign w:val="center"/>
            <w:hideMark/>
          </w:tcPr>
          <w:p w14:paraId="3934AD6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Projektligj </w:t>
            </w:r>
          </w:p>
        </w:tc>
        <w:tc>
          <w:tcPr>
            <w:tcW w:w="374" w:type="pct"/>
            <w:tcBorders>
              <w:top w:val="nil"/>
              <w:left w:val="nil"/>
              <w:bottom w:val="single" w:sz="4" w:space="0" w:color="auto"/>
              <w:right w:val="single" w:sz="4" w:space="0" w:color="auto"/>
            </w:tcBorders>
            <w:shd w:val="clear" w:color="auto" w:fill="auto"/>
            <w:vAlign w:val="center"/>
            <w:hideMark/>
          </w:tcPr>
          <w:p w14:paraId="34EC2AF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633A3A6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III</w:t>
            </w:r>
          </w:p>
        </w:tc>
        <w:tc>
          <w:tcPr>
            <w:tcW w:w="810" w:type="pct"/>
            <w:tcBorders>
              <w:top w:val="nil"/>
              <w:left w:val="nil"/>
              <w:bottom w:val="single" w:sz="4" w:space="0" w:color="auto"/>
              <w:right w:val="single" w:sz="4" w:space="0" w:color="auto"/>
            </w:tcBorders>
            <w:shd w:val="clear" w:color="auto" w:fill="auto"/>
            <w:vAlign w:val="center"/>
            <w:hideMark/>
          </w:tcPr>
          <w:p w14:paraId="4BE02D8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5139E5">
              <w:rPr>
                <w:rFonts w:ascii="Arial" w:eastAsia="Times New Roman" w:hAnsi="Arial" w:cs="Arial"/>
                <w:sz w:val="12"/>
                <w:szCs w:val="12"/>
                <w:bdr w:val="none" w:sz="0" w:space="0" w:color="auto"/>
              </w:rPr>
              <w:t>Direktiva BE 2016/681 të Parlamentit dhe Këshillit Europian datë 27.04.2016 mbi perdorimin e të dhenave  të regjistrit të emrit të pasagjesrit (PNR) me qëllim parandalimin, zbulimin, hetimin dhe ndjekjen penale të veprave me qëllime terroriste dhe krime të rënda.Direktiva e Këshillit 2004/82/KE, datë 29 prill 2004, “Për detyrimin e transportuesve për të komunikuar të dhënat për pasagjerët” Amendimi i ligjit nr. 22/2020  "Për disa shtesa në ligjin Nr. 71/2016 "Për Kontrollin Kufitar" dhe miratimi i ligjit për API/PNR në fakt janë pjesë përbërëse të të njejtit akt, pasi Ligji 22/2020 hiqet si pjesë përbërëse nga Ligji 71/2016 ‘Për Kontrollin Kufitar”dhe krijohet si ligj më vete, sipas kërkesave të Direktivave të BE-së për të dhënat API dhe të dhënat PNR</w:t>
            </w:r>
          </w:p>
        </w:tc>
        <w:tc>
          <w:tcPr>
            <w:tcW w:w="793" w:type="pct"/>
            <w:tcBorders>
              <w:top w:val="nil"/>
              <w:left w:val="nil"/>
              <w:bottom w:val="single" w:sz="4" w:space="0" w:color="auto"/>
              <w:right w:val="single" w:sz="4" w:space="0" w:color="auto"/>
            </w:tcBorders>
            <w:shd w:val="clear" w:color="auto" w:fill="auto"/>
            <w:vAlign w:val="center"/>
            <w:hideMark/>
          </w:tcPr>
          <w:p w14:paraId="723E99C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Ligji i ri synon përputhjen e plotë të legjislacionit për mbrojtjen e të dhënave personale. Ligji i ri për Mbrojtjen e të dhënave personale në Republikën e Shqipërisë ende nuk eshte aprovuar, por pritet te dergohet ne parlament se shpejti, dhe është parë e arsyeshme që të shtyhet afati për ndryshimin e Ligjit 22/2020 dhe aprovimin e Ligjit të ri për API/PNR në vitin 2024 për shkak të procedurave që kërkon hartimi dhe aprovimi i një ligji të ri</w:t>
            </w:r>
          </w:p>
        </w:tc>
        <w:tc>
          <w:tcPr>
            <w:tcW w:w="264" w:type="pct"/>
            <w:tcBorders>
              <w:top w:val="nil"/>
              <w:left w:val="nil"/>
              <w:bottom w:val="single" w:sz="4" w:space="0" w:color="auto"/>
              <w:right w:val="single" w:sz="4" w:space="0" w:color="auto"/>
            </w:tcBorders>
            <w:shd w:val="clear" w:color="auto" w:fill="auto"/>
            <w:vAlign w:val="center"/>
            <w:hideMark/>
          </w:tcPr>
          <w:p w14:paraId="669D96E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 Kapitulli</w:t>
            </w:r>
            <w:r w:rsidRPr="005139E5">
              <w:rPr>
                <w:rFonts w:ascii="Arial" w:eastAsia="Times New Roman" w:hAnsi="Arial" w:cs="Arial"/>
                <w:color w:val="000000"/>
                <w:sz w:val="12"/>
                <w:szCs w:val="12"/>
                <w:bdr w:val="none" w:sz="0" w:space="0" w:color="auto"/>
              </w:rPr>
              <w:br/>
              <w:t>24 -</w:t>
            </w:r>
            <w:r w:rsidRPr="005139E5">
              <w:rPr>
                <w:rFonts w:ascii="Arial" w:eastAsia="Times New Roman" w:hAnsi="Arial" w:cs="Arial"/>
                <w:color w:val="000000"/>
                <w:sz w:val="12"/>
                <w:szCs w:val="12"/>
                <w:bdr w:val="none" w:sz="0" w:space="0" w:color="auto"/>
              </w:rPr>
              <w:br/>
              <w:t>Drejtësia,</w:t>
            </w:r>
            <w:r w:rsidRPr="005139E5">
              <w:rPr>
                <w:rFonts w:ascii="Arial" w:eastAsia="Times New Roman" w:hAnsi="Arial" w:cs="Arial"/>
                <w:color w:val="000000"/>
                <w:sz w:val="12"/>
                <w:szCs w:val="12"/>
                <w:bdr w:val="none" w:sz="0" w:space="0" w:color="auto"/>
              </w:rPr>
              <w:br/>
              <w:t>Liria dhe</w:t>
            </w:r>
            <w:r w:rsidRPr="005139E5">
              <w:rPr>
                <w:rFonts w:ascii="Arial" w:eastAsia="Times New Roman" w:hAnsi="Arial" w:cs="Arial"/>
                <w:color w:val="000000"/>
                <w:sz w:val="12"/>
                <w:szCs w:val="12"/>
                <w:bdr w:val="none" w:sz="0" w:space="0" w:color="auto"/>
              </w:rPr>
              <w:br/>
              <w:t>Siguria</w:t>
            </w:r>
          </w:p>
        </w:tc>
        <w:tc>
          <w:tcPr>
            <w:tcW w:w="395" w:type="pct"/>
            <w:tcBorders>
              <w:top w:val="nil"/>
              <w:left w:val="nil"/>
              <w:bottom w:val="single" w:sz="4" w:space="0" w:color="auto"/>
              <w:right w:val="single" w:sz="4" w:space="0" w:color="auto"/>
            </w:tcBorders>
            <w:shd w:val="clear" w:color="auto" w:fill="auto"/>
            <w:vAlign w:val="center"/>
            <w:hideMark/>
          </w:tcPr>
          <w:p w14:paraId="46B2ACE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 shtylla Shqipëria e fortë, fusha Shqipëria e Sigurt</w:t>
            </w:r>
          </w:p>
        </w:tc>
        <w:tc>
          <w:tcPr>
            <w:tcW w:w="493" w:type="pct"/>
            <w:tcBorders>
              <w:top w:val="nil"/>
              <w:left w:val="nil"/>
              <w:bottom w:val="single" w:sz="4" w:space="0" w:color="auto"/>
              <w:right w:val="single" w:sz="4" w:space="0" w:color="auto"/>
            </w:tcBorders>
            <w:shd w:val="clear" w:color="auto" w:fill="auto"/>
            <w:vAlign w:val="center"/>
            <w:hideMark/>
          </w:tcPr>
          <w:p w14:paraId="4FA0E2D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6A2BAE7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7FE89141"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77DE456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15</w:t>
            </w:r>
          </w:p>
        </w:tc>
        <w:tc>
          <w:tcPr>
            <w:tcW w:w="747" w:type="pct"/>
            <w:tcBorders>
              <w:top w:val="nil"/>
              <w:left w:val="nil"/>
              <w:bottom w:val="single" w:sz="4" w:space="0" w:color="auto"/>
              <w:right w:val="single" w:sz="4" w:space="0" w:color="auto"/>
            </w:tcBorders>
            <w:shd w:val="clear" w:color="auto" w:fill="auto"/>
            <w:vAlign w:val="center"/>
            <w:hideMark/>
          </w:tcPr>
          <w:p w14:paraId="2519E88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 “Për krijimin e Zyrës</w:t>
            </w:r>
            <w:r w:rsidRPr="005139E5">
              <w:rPr>
                <w:rFonts w:ascii="Arial" w:eastAsia="Times New Roman" w:hAnsi="Arial" w:cs="Arial"/>
                <w:color w:val="000000"/>
                <w:sz w:val="12"/>
                <w:szCs w:val="12"/>
                <w:bdr w:val="none" w:sz="0" w:space="0" w:color="auto"/>
              </w:rPr>
              <w:br/>
              <w:t>së Rikuperimit të</w:t>
            </w:r>
            <w:r w:rsidRPr="005139E5">
              <w:rPr>
                <w:rFonts w:ascii="Arial" w:eastAsia="Times New Roman" w:hAnsi="Arial" w:cs="Arial"/>
                <w:color w:val="000000"/>
                <w:sz w:val="12"/>
                <w:szCs w:val="12"/>
                <w:bdr w:val="none" w:sz="0" w:space="0" w:color="auto"/>
              </w:rPr>
              <w:br/>
              <w:t>Aseteve”</w:t>
            </w:r>
          </w:p>
        </w:tc>
        <w:tc>
          <w:tcPr>
            <w:tcW w:w="300" w:type="pct"/>
            <w:tcBorders>
              <w:top w:val="nil"/>
              <w:left w:val="nil"/>
              <w:bottom w:val="single" w:sz="4" w:space="0" w:color="auto"/>
              <w:right w:val="single" w:sz="4" w:space="0" w:color="auto"/>
            </w:tcBorders>
            <w:shd w:val="clear" w:color="auto" w:fill="auto"/>
            <w:vAlign w:val="center"/>
            <w:hideMark/>
          </w:tcPr>
          <w:p w14:paraId="6DFB123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Projektligj </w:t>
            </w:r>
          </w:p>
        </w:tc>
        <w:tc>
          <w:tcPr>
            <w:tcW w:w="374" w:type="pct"/>
            <w:tcBorders>
              <w:top w:val="nil"/>
              <w:left w:val="nil"/>
              <w:bottom w:val="single" w:sz="4" w:space="0" w:color="auto"/>
              <w:right w:val="single" w:sz="4" w:space="0" w:color="auto"/>
            </w:tcBorders>
            <w:shd w:val="clear" w:color="auto" w:fill="auto"/>
            <w:vAlign w:val="center"/>
            <w:hideMark/>
          </w:tcPr>
          <w:p w14:paraId="53F662C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2E3953E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III</w:t>
            </w:r>
          </w:p>
        </w:tc>
        <w:tc>
          <w:tcPr>
            <w:tcW w:w="810" w:type="pct"/>
            <w:tcBorders>
              <w:top w:val="nil"/>
              <w:left w:val="nil"/>
              <w:bottom w:val="single" w:sz="4" w:space="0" w:color="auto"/>
              <w:right w:val="single" w:sz="4" w:space="0" w:color="auto"/>
            </w:tcBorders>
            <w:shd w:val="clear" w:color="auto" w:fill="auto"/>
            <w:vAlign w:val="center"/>
            <w:hideMark/>
          </w:tcPr>
          <w:p w14:paraId="6853867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Nevoja për ngritjen</w:t>
            </w:r>
            <w:r w:rsidRPr="005139E5">
              <w:rPr>
                <w:rFonts w:ascii="Arial" w:eastAsia="Times New Roman" w:hAnsi="Arial" w:cs="Arial"/>
                <w:color w:val="000000"/>
                <w:sz w:val="12"/>
                <w:szCs w:val="12"/>
                <w:bdr w:val="none" w:sz="0" w:space="0" w:color="auto"/>
              </w:rPr>
              <w:br/>
              <w:t>e Zyrës së</w:t>
            </w:r>
            <w:r w:rsidRPr="005139E5">
              <w:rPr>
                <w:rFonts w:ascii="Arial" w:eastAsia="Times New Roman" w:hAnsi="Arial" w:cs="Arial"/>
                <w:color w:val="000000"/>
                <w:sz w:val="12"/>
                <w:szCs w:val="12"/>
                <w:bdr w:val="none" w:sz="0" w:space="0" w:color="auto"/>
              </w:rPr>
              <w:br/>
              <w:t>Rikuperimit të</w:t>
            </w:r>
            <w:r w:rsidRPr="005139E5">
              <w:rPr>
                <w:rFonts w:ascii="Arial" w:eastAsia="Times New Roman" w:hAnsi="Arial" w:cs="Arial"/>
                <w:color w:val="000000"/>
                <w:sz w:val="12"/>
                <w:szCs w:val="12"/>
                <w:bdr w:val="none" w:sz="0" w:space="0" w:color="auto"/>
              </w:rPr>
              <w:br/>
              <w:t>Aseteve.</w:t>
            </w:r>
          </w:p>
        </w:tc>
        <w:tc>
          <w:tcPr>
            <w:tcW w:w="793" w:type="pct"/>
            <w:tcBorders>
              <w:top w:val="nil"/>
              <w:left w:val="nil"/>
              <w:bottom w:val="single" w:sz="4" w:space="0" w:color="auto"/>
              <w:right w:val="single" w:sz="4" w:space="0" w:color="auto"/>
            </w:tcBorders>
            <w:shd w:val="clear" w:color="auto" w:fill="auto"/>
            <w:vAlign w:val="center"/>
            <w:hideMark/>
          </w:tcPr>
          <w:p w14:paraId="6759CDF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Ngritja e Zyrës së</w:t>
            </w:r>
            <w:r w:rsidRPr="005139E5">
              <w:rPr>
                <w:rFonts w:ascii="Arial" w:eastAsia="Times New Roman" w:hAnsi="Arial" w:cs="Arial"/>
                <w:color w:val="000000"/>
                <w:sz w:val="12"/>
                <w:szCs w:val="12"/>
                <w:bdr w:val="none" w:sz="0" w:space="0" w:color="auto"/>
              </w:rPr>
              <w:br/>
              <w:t>Rikuperimit të</w:t>
            </w:r>
            <w:r w:rsidRPr="005139E5">
              <w:rPr>
                <w:rFonts w:ascii="Arial" w:eastAsia="Times New Roman" w:hAnsi="Arial" w:cs="Arial"/>
                <w:color w:val="000000"/>
                <w:sz w:val="12"/>
                <w:szCs w:val="12"/>
                <w:bdr w:val="none" w:sz="0" w:space="0" w:color="auto"/>
              </w:rPr>
              <w:br/>
              <w:t>Aseteve,</w:t>
            </w:r>
            <w:r w:rsidRPr="005139E5">
              <w:rPr>
                <w:rFonts w:ascii="Arial" w:eastAsia="Times New Roman" w:hAnsi="Arial" w:cs="Arial"/>
                <w:color w:val="000000"/>
                <w:sz w:val="12"/>
                <w:szCs w:val="12"/>
                <w:bdr w:val="none" w:sz="0" w:space="0" w:color="auto"/>
              </w:rPr>
              <w:br/>
              <w:t>përcaktimi i</w:t>
            </w:r>
            <w:r w:rsidRPr="005139E5">
              <w:rPr>
                <w:rFonts w:ascii="Arial" w:eastAsia="Times New Roman" w:hAnsi="Arial" w:cs="Arial"/>
                <w:color w:val="000000"/>
                <w:sz w:val="12"/>
                <w:szCs w:val="12"/>
                <w:bdr w:val="none" w:sz="0" w:space="0" w:color="auto"/>
              </w:rPr>
              <w:br/>
              <w:t>mënyrës së</w:t>
            </w:r>
            <w:r w:rsidRPr="005139E5">
              <w:rPr>
                <w:rFonts w:ascii="Arial" w:eastAsia="Times New Roman" w:hAnsi="Arial" w:cs="Arial"/>
                <w:color w:val="000000"/>
                <w:sz w:val="12"/>
                <w:szCs w:val="12"/>
                <w:bdr w:val="none" w:sz="0" w:space="0" w:color="auto"/>
              </w:rPr>
              <w:br/>
              <w:t>funksionimit,</w:t>
            </w:r>
            <w:r w:rsidRPr="005139E5">
              <w:rPr>
                <w:rFonts w:ascii="Arial" w:eastAsia="Times New Roman" w:hAnsi="Arial" w:cs="Arial"/>
                <w:color w:val="000000"/>
                <w:sz w:val="12"/>
                <w:szCs w:val="12"/>
                <w:bdr w:val="none" w:sz="0" w:space="0" w:color="auto"/>
              </w:rPr>
              <w:br/>
              <w:t>kompetencave dhe</w:t>
            </w:r>
            <w:r w:rsidRPr="005139E5">
              <w:rPr>
                <w:rFonts w:ascii="Arial" w:eastAsia="Times New Roman" w:hAnsi="Arial" w:cs="Arial"/>
                <w:color w:val="000000"/>
                <w:sz w:val="12"/>
                <w:szCs w:val="12"/>
                <w:bdr w:val="none" w:sz="0" w:space="0" w:color="auto"/>
              </w:rPr>
              <w:br/>
              <w:t>përgjegjësive të</w:t>
            </w:r>
            <w:r w:rsidRPr="005139E5">
              <w:rPr>
                <w:rFonts w:ascii="Arial" w:eastAsia="Times New Roman" w:hAnsi="Arial" w:cs="Arial"/>
                <w:color w:val="000000"/>
                <w:sz w:val="12"/>
                <w:szCs w:val="12"/>
                <w:bdr w:val="none" w:sz="0" w:space="0" w:color="auto"/>
              </w:rPr>
              <w:br/>
              <w:t>kësaj zyre, si dhe</w:t>
            </w:r>
            <w:r w:rsidRPr="005139E5">
              <w:rPr>
                <w:rFonts w:ascii="Arial" w:eastAsia="Times New Roman" w:hAnsi="Arial" w:cs="Arial"/>
                <w:color w:val="000000"/>
                <w:sz w:val="12"/>
                <w:szCs w:val="12"/>
                <w:bdr w:val="none" w:sz="0" w:space="0" w:color="auto"/>
              </w:rPr>
              <w:br/>
              <w:t>mënyra e</w:t>
            </w:r>
            <w:r w:rsidRPr="005139E5">
              <w:rPr>
                <w:rFonts w:ascii="Arial" w:eastAsia="Times New Roman" w:hAnsi="Arial" w:cs="Arial"/>
                <w:color w:val="000000"/>
                <w:sz w:val="12"/>
                <w:szCs w:val="12"/>
                <w:bdr w:val="none" w:sz="0" w:space="0" w:color="auto"/>
              </w:rPr>
              <w:br/>
              <w:t>bashkëpunimit me</w:t>
            </w:r>
            <w:r w:rsidRPr="005139E5">
              <w:rPr>
                <w:rFonts w:ascii="Arial" w:eastAsia="Times New Roman" w:hAnsi="Arial" w:cs="Arial"/>
                <w:color w:val="000000"/>
                <w:sz w:val="12"/>
                <w:szCs w:val="12"/>
                <w:bdr w:val="none" w:sz="0" w:space="0" w:color="auto"/>
              </w:rPr>
              <w:br/>
              <w:t>institucionet e</w:t>
            </w:r>
            <w:r w:rsidRPr="005139E5">
              <w:rPr>
                <w:rFonts w:ascii="Arial" w:eastAsia="Times New Roman" w:hAnsi="Arial" w:cs="Arial"/>
                <w:color w:val="000000"/>
                <w:sz w:val="12"/>
                <w:szCs w:val="12"/>
                <w:bdr w:val="none" w:sz="0" w:space="0" w:color="auto"/>
              </w:rPr>
              <w:br/>
              <w:t>tjera, në funksion</w:t>
            </w:r>
            <w:r w:rsidRPr="005139E5">
              <w:rPr>
                <w:rFonts w:ascii="Arial" w:eastAsia="Times New Roman" w:hAnsi="Arial" w:cs="Arial"/>
                <w:color w:val="000000"/>
                <w:sz w:val="12"/>
                <w:szCs w:val="12"/>
                <w:bdr w:val="none" w:sz="0" w:space="0" w:color="auto"/>
              </w:rPr>
              <w:br/>
              <w:t>të përmbushjes së</w:t>
            </w:r>
            <w:r w:rsidRPr="005139E5">
              <w:rPr>
                <w:rFonts w:ascii="Arial" w:eastAsia="Times New Roman" w:hAnsi="Arial" w:cs="Arial"/>
                <w:color w:val="000000"/>
                <w:sz w:val="12"/>
                <w:szCs w:val="12"/>
                <w:bdr w:val="none" w:sz="0" w:space="0" w:color="auto"/>
              </w:rPr>
              <w:br/>
              <w:t>veprimtarisë së saj.</w:t>
            </w:r>
          </w:p>
        </w:tc>
        <w:tc>
          <w:tcPr>
            <w:tcW w:w="264" w:type="pct"/>
            <w:tcBorders>
              <w:top w:val="nil"/>
              <w:left w:val="nil"/>
              <w:bottom w:val="single" w:sz="4" w:space="0" w:color="auto"/>
              <w:right w:val="single" w:sz="4" w:space="0" w:color="auto"/>
            </w:tcBorders>
            <w:shd w:val="clear" w:color="auto" w:fill="auto"/>
            <w:vAlign w:val="center"/>
            <w:hideMark/>
          </w:tcPr>
          <w:p w14:paraId="7B3F043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 Kapitulli</w:t>
            </w:r>
            <w:r w:rsidRPr="005139E5">
              <w:rPr>
                <w:rFonts w:ascii="Arial" w:eastAsia="Times New Roman" w:hAnsi="Arial" w:cs="Arial"/>
                <w:color w:val="000000"/>
                <w:sz w:val="12"/>
                <w:szCs w:val="12"/>
                <w:bdr w:val="none" w:sz="0" w:space="0" w:color="auto"/>
              </w:rPr>
              <w:br/>
              <w:t>24 -</w:t>
            </w:r>
            <w:r w:rsidRPr="005139E5">
              <w:rPr>
                <w:rFonts w:ascii="Arial" w:eastAsia="Times New Roman" w:hAnsi="Arial" w:cs="Arial"/>
                <w:color w:val="000000"/>
                <w:sz w:val="12"/>
                <w:szCs w:val="12"/>
                <w:bdr w:val="none" w:sz="0" w:space="0" w:color="auto"/>
              </w:rPr>
              <w:br/>
              <w:t>Drejtësia,</w:t>
            </w:r>
            <w:r w:rsidRPr="005139E5">
              <w:rPr>
                <w:rFonts w:ascii="Arial" w:eastAsia="Times New Roman" w:hAnsi="Arial" w:cs="Arial"/>
                <w:color w:val="000000"/>
                <w:sz w:val="12"/>
                <w:szCs w:val="12"/>
                <w:bdr w:val="none" w:sz="0" w:space="0" w:color="auto"/>
              </w:rPr>
              <w:br/>
              <w:t>Liria dhe</w:t>
            </w:r>
            <w:r w:rsidRPr="005139E5">
              <w:rPr>
                <w:rFonts w:ascii="Arial" w:eastAsia="Times New Roman" w:hAnsi="Arial" w:cs="Arial"/>
                <w:color w:val="000000"/>
                <w:sz w:val="12"/>
                <w:szCs w:val="12"/>
                <w:bdr w:val="none" w:sz="0" w:space="0" w:color="auto"/>
              </w:rPr>
              <w:br/>
              <w:t>Siguria</w:t>
            </w:r>
          </w:p>
        </w:tc>
        <w:tc>
          <w:tcPr>
            <w:tcW w:w="395" w:type="pct"/>
            <w:tcBorders>
              <w:top w:val="nil"/>
              <w:left w:val="nil"/>
              <w:bottom w:val="single" w:sz="4" w:space="0" w:color="auto"/>
              <w:right w:val="single" w:sz="4" w:space="0" w:color="auto"/>
            </w:tcBorders>
            <w:shd w:val="clear" w:color="auto" w:fill="auto"/>
            <w:vAlign w:val="center"/>
            <w:hideMark/>
          </w:tcPr>
          <w:p w14:paraId="3B91DED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p>
        </w:tc>
        <w:tc>
          <w:tcPr>
            <w:tcW w:w="493" w:type="pct"/>
            <w:tcBorders>
              <w:top w:val="nil"/>
              <w:left w:val="nil"/>
              <w:bottom w:val="single" w:sz="4" w:space="0" w:color="auto"/>
              <w:right w:val="single" w:sz="4" w:space="0" w:color="auto"/>
            </w:tcBorders>
            <w:shd w:val="clear" w:color="auto" w:fill="auto"/>
            <w:vAlign w:val="center"/>
            <w:hideMark/>
          </w:tcPr>
          <w:p w14:paraId="661EB9B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43C88D7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68D51B5C"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1819683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16</w:t>
            </w:r>
          </w:p>
        </w:tc>
        <w:tc>
          <w:tcPr>
            <w:tcW w:w="747" w:type="pct"/>
            <w:tcBorders>
              <w:top w:val="nil"/>
              <w:left w:val="nil"/>
              <w:bottom w:val="single" w:sz="4" w:space="0" w:color="auto"/>
              <w:right w:val="single" w:sz="4" w:space="0" w:color="auto"/>
            </w:tcBorders>
            <w:shd w:val="clear" w:color="auto" w:fill="auto"/>
            <w:vAlign w:val="center"/>
            <w:hideMark/>
          </w:tcPr>
          <w:p w14:paraId="21BF0A20"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   "Për Policinë e Shtetit"                                           </w:t>
            </w:r>
          </w:p>
        </w:tc>
        <w:tc>
          <w:tcPr>
            <w:tcW w:w="300" w:type="pct"/>
            <w:tcBorders>
              <w:top w:val="nil"/>
              <w:left w:val="nil"/>
              <w:bottom w:val="single" w:sz="4" w:space="0" w:color="auto"/>
              <w:right w:val="single" w:sz="4" w:space="0" w:color="auto"/>
            </w:tcBorders>
            <w:shd w:val="clear" w:color="auto" w:fill="auto"/>
            <w:vAlign w:val="center"/>
            <w:hideMark/>
          </w:tcPr>
          <w:p w14:paraId="38F43DC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Projektligj </w:t>
            </w:r>
          </w:p>
        </w:tc>
        <w:tc>
          <w:tcPr>
            <w:tcW w:w="374" w:type="pct"/>
            <w:tcBorders>
              <w:top w:val="nil"/>
              <w:left w:val="nil"/>
              <w:bottom w:val="single" w:sz="4" w:space="0" w:color="auto"/>
              <w:right w:val="single" w:sz="4" w:space="0" w:color="auto"/>
            </w:tcBorders>
            <w:shd w:val="clear" w:color="auto" w:fill="auto"/>
            <w:vAlign w:val="center"/>
            <w:hideMark/>
          </w:tcPr>
          <w:p w14:paraId="0CF3A297"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79B1286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III</w:t>
            </w:r>
          </w:p>
        </w:tc>
        <w:tc>
          <w:tcPr>
            <w:tcW w:w="810" w:type="pct"/>
            <w:tcBorders>
              <w:top w:val="nil"/>
              <w:left w:val="nil"/>
              <w:bottom w:val="single" w:sz="4" w:space="0" w:color="auto"/>
              <w:right w:val="single" w:sz="4" w:space="0" w:color="auto"/>
            </w:tcBorders>
            <w:shd w:val="clear" w:color="auto" w:fill="auto"/>
            <w:vAlign w:val="center"/>
            <w:hideMark/>
          </w:tcPr>
          <w:p w14:paraId="1C682EC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Problematika të evidentuara nga praktika </w:t>
            </w:r>
          </w:p>
        </w:tc>
        <w:tc>
          <w:tcPr>
            <w:tcW w:w="793" w:type="pct"/>
            <w:tcBorders>
              <w:top w:val="nil"/>
              <w:left w:val="nil"/>
              <w:bottom w:val="single" w:sz="4" w:space="0" w:color="auto"/>
              <w:right w:val="single" w:sz="4" w:space="0" w:color="auto"/>
            </w:tcBorders>
            <w:shd w:val="clear" w:color="auto" w:fill="auto"/>
            <w:vAlign w:val="center"/>
            <w:hideMark/>
          </w:tcPr>
          <w:p w14:paraId="63D7015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Projektligji synon rishikimin në tërësi të rregullimeve ekzistuese, duke përfshirë</w:t>
            </w:r>
            <w:r w:rsidRPr="005139E5">
              <w:rPr>
                <w:rFonts w:ascii="Arial" w:eastAsia="Times New Roman" w:hAnsi="Arial" w:cs="Arial"/>
                <w:color w:val="000000"/>
                <w:sz w:val="12"/>
                <w:szCs w:val="12"/>
                <w:bdr w:val="none" w:sz="0" w:space="0" w:color="auto"/>
              </w:rPr>
              <w:br/>
              <w:t>rishikimin e disa</w:t>
            </w:r>
            <w:r w:rsidRPr="005139E5">
              <w:rPr>
                <w:rFonts w:ascii="Arial" w:eastAsia="Times New Roman" w:hAnsi="Arial" w:cs="Arial"/>
                <w:color w:val="000000"/>
                <w:sz w:val="12"/>
                <w:szCs w:val="12"/>
                <w:bdr w:val="none" w:sz="0" w:space="0" w:color="auto"/>
              </w:rPr>
              <w:br/>
              <w:t>procedurave që</w:t>
            </w:r>
            <w:r w:rsidRPr="005139E5">
              <w:rPr>
                <w:rFonts w:ascii="Arial" w:eastAsia="Times New Roman" w:hAnsi="Arial" w:cs="Arial"/>
                <w:color w:val="000000"/>
                <w:sz w:val="12"/>
                <w:szCs w:val="12"/>
                <w:bdr w:val="none" w:sz="0" w:space="0" w:color="auto"/>
              </w:rPr>
              <w:br/>
              <w:t>lidhen me</w:t>
            </w:r>
            <w:r w:rsidRPr="005139E5">
              <w:rPr>
                <w:rFonts w:ascii="Arial" w:eastAsia="Times New Roman" w:hAnsi="Arial" w:cs="Arial"/>
                <w:color w:val="000000"/>
                <w:sz w:val="12"/>
                <w:szCs w:val="12"/>
                <w:bdr w:val="none" w:sz="0" w:space="0" w:color="auto"/>
              </w:rPr>
              <w:br/>
              <w:t>rekrutimet e personelit të</w:t>
            </w:r>
            <w:r w:rsidRPr="005139E5">
              <w:rPr>
                <w:rFonts w:ascii="Arial" w:eastAsia="Times New Roman" w:hAnsi="Arial" w:cs="Arial"/>
                <w:color w:val="000000"/>
                <w:sz w:val="12"/>
                <w:szCs w:val="12"/>
                <w:bdr w:val="none" w:sz="0" w:space="0" w:color="auto"/>
              </w:rPr>
              <w:br/>
              <w:t>Policisë së Shtetit, të drejtat e tyre,</w:t>
            </w:r>
            <w:r w:rsidRPr="005139E5">
              <w:rPr>
                <w:rFonts w:ascii="Arial" w:eastAsia="Times New Roman" w:hAnsi="Arial" w:cs="Arial"/>
                <w:color w:val="000000"/>
                <w:sz w:val="12"/>
                <w:szCs w:val="12"/>
                <w:bdr w:val="none" w:sz="0" w:space="0" w:color="auto"/>
              </w:rPr>
              <w:br/>
              <w:t xml:space="preserve">statusin, rishikimin e sistemit Gradave në përputhje me pozicionin e punës. </w:t>
            </w:r>
          </w:p>
        </w:tc>
        <w:tc>
          <w:tcPr>
            <w:tcW w:w="264" w:type="pct"/>
            <w:tcBorders>
              <w:top w:val="nil"/>
              <w:left w:val="nil"/>
              <w:bottom w:val="single" w:sz="4" w:space="0" w:color="auto"/>
              <w:right w:val="single" w:sz="4" w:space="0" w:color="auto"/>
            </w:tcBorders>
            <w:shd w:val="clear" w:color="auto" w:fill="auto"/>
            <w:vAlign w:val="center"/>
            <w:hideMark/>
          </w:tcPr>
          <w:p w14:paraId="4A5AAB1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136348D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 shtylla: Shqipëria e fortë, fusha Shqipëria e Sigurt</w:t>
            </w:r>
          </w:p>
        </w:tc>
        <w:tc>
          <w:tcPr>
            <w:tcW w:w="493" w:type="pct"/>
            <w:tcBorders>
              <w:top w:val="nil"/>
              <w:left w:val="nil"/>
              <w:bottom w:val="single" w:sz="4" w:space="0" w:color="auto"/>
              <w:right w:val="single" w:sz="4" w:space="0" w:color="auto"/>
            </w:tcBorders>
            <w:shd w:val="clear" w:color="auto" w:fill="auto"/>
            <w:vAlign w:val="center"/>
            <w:hideMark/>
          </w:tcPr>
          <w:p w14:paraId="62EDF04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Jo </w:t>
            </w:r>
          </w:p>
        </w:tc>
        <w:tc>
          <w:tcPr>
            <w:tcW w:w="433" w:type="pct"/>
            <w:tcBorders>
              <w:top w:val="nil"/>
              <w:left w:val="nil"/>
              <w:bottom w:val="single" w:sz="4" w:space="0" w:color="auto"/>
              <w:right w:val="single" w:sz="4" w:space="0" w:color="auto"/>
            </w:tcBorders>
            <w:shd w:val="clear" w:color="auto" w:fill="auto"/>
            <w:vAlign w:val="center"/>
            <w:hideMark/>
          </w:tcPr>
          <w:p w14:paraId="5D2829B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3987EBCA"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5287760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17</w:t>
            </w:r>
          </w:p>
        </w:tc>
        <w:tc>
          <w:tcPr>
            <w:tcW w:w="747" w:type="pct"/>
            <w:tcBorders>
              <w:top w:val="nil"/>
              <w:left w:val="nil"/>
              <w:bottom w:val="single" w:sz="4" w:space="0" w:color="auto"/>
              <w:right w:val="single" w:sz="4" w:space="0" w:color="auto"/>
            </w:tcBorders>
            <w:shd w:val="clear" w:color="auto" w:fill="auto"/>
            <w:vAlign w:val="center"/>
            <w:hideMark/>
          </w:tcPr>
          <w:p w14:paraId="31C6FF8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përcaktimin e procedurave të trajtimit financiar gjatë qëndrimit në punë të punonjësit të Gardës së Republikës së Shqipërisë”</w:t>
            </w:r>
          </w:p>
        </w:tc>
        <w:tc>
          <w:tcPr>
            <w:tcW w:w="300" w:type="pct"/>
            <w:tcBorders>
              <w:top w:val="nil"/>
              <w:left w:val="nil"/>
              <w:bottom w:val="single" w:sz="4" w:space="0" w:color="auto"/>
              <w:right w:val="single" w:sz="4" w:space="0" w:color="auto"/>
            </w:tcBorders>
            <w:shd w:val="clear" w:color="auto" w:fill="auto"/>
            <w:vAlign w:val="center"/>
            <w:hideMark/>
          </w:tcPr>
          <w:p w14:paraId="3A46690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3A37790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7D2B9CD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III</w:t>
            </w:r>
          </w:p>
        </w:tc>
        <w:tc>
          <w:tcPr>
            <w:tcW w:w="810" w:type="pct"/>
            <w:tcBorders>
              <w:top w:val="nil"/>
              <w:left w:val="nil"/>
              <w:bottom w:val="nil"/>
              <w:right w:val="nil"/>
            </w:tcBorders>
            <w:shd w:val="clear" w:color="auto" w:fill="auto"/>
            <w:vAlign w:val="center"/>
            <w:hideMark/>
          </w:tcPr>
          <w:p w14:paraId="0D2D025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Ky projektvendim rrit shkallën e motivimit në punë të punonjësve, në funksion të realizimit të misionit të përcaktuar me ligj.</w:t>
            </w:r>
          </w:p>
        </w:tc>
        <w:tc>
          <w:tcPr>
            <w:tcW w:w="793" w:type="pct"/>
            <w:tcBorders>
              <w:top w:val="nil"/>
              <w:left w:val="single" w:sz="4" w:space="0" w:color="auto"/>
              <w:bottom w:val="single" w:sz="4" w:space="0" w:color="auto"/>
              <w:right w:val="single" w:sz="4" w:space="0" w:color="auto"/>
            </w:tcBorders>
            <w:shd w:val="clear" w:color="auto" w:fill="auto"/>
            <w:vAlign w:val="center"/>
            <w:hideMark/>
          </w:tcPr>
          <w:p w14:paraId="12C0288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Projektvendimi  synon të mbështesë financiarisht punonjësit e Gardës së Republikës së Shqipërisë me qëllim shpërblimin e motivimin e punonjësve që përmbushin me sukses misionin e tyre.</w:t>
            </w:r>
          </w:p>
        </w:tc>
        <w:tc>
          <w:tcPr>
            <w:tcW w:w="264" w:type="pct"/>
            <w:tcBorders>
              <w:top w:val="nil"/>
              <w:left w:val="nil"/>
              <w:bottom w:val="single" w:sz="4" w:space="0" w:color="auto"/>
              <w:right w:val="single" w:sz="4" w:space="0" w:color="auto"/>
            </w:tcBorders>
            <w:shd w:val="clear" w:color="auto" w:fill="auto"/>
            <w:vAlign w:val="center"/>
            <w:hideMark/>
          </w:tcPr>
          <w:p w14:paraId="70DF000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36120A7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 prioritetet e Ministrisë së Brendshme për vitin 2024</w:t>
            </w:r>
          </w:p>
        </w:tc>
        <w:tc>
          <w:tcPr>
            <w:tcW w:w="493" w:type="pct"/>
            <w:tcBorders>
              <w:top w:val="nil"/>
              <w:left w:val="nil"/>
              <w:bottom w:val="single" w:sz="4" w:space="0" w:color="auto"/>
              <w:right w:val="single" w:sz="4" w:space="0" w:color="auto"/>
            </w:tcBorders>
            <w:shd w:val="clear" w:color="auto" w:fill="auto"/>
            <w:vAlign w:val="center"/>
            <w:hideMark/>
          </w:tcPr>
          <w:p w14:paraId="6D27D73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2C79037F"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r w:rsidR="005139E5" w:rsidRPr="005139E5" w14:paraId="2C828C0C"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2E6D774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18</w:t>
            </w:r>
          </w:p>
        </w:tc>
        <w:tc>
          <w:tcPr>
            <w:tcW w:w="747" w:type="pct"/>
            <w:tcBorders>
              <w:top w:val="nil"/>
              <w:left w:val="nil"/>
              <w:bottom w:val="single" w:sz="4" w:space="0" w:color="auto"/>
              <w:right w:val="single" w:sz="4" w:space="0" w:color="auto"/>
            </w:tcBorders>
            <w:shd w:val="clear" w:color="auto" w:fill="auto"/>
            <w:vAlign w:val="center"/>
            <w:hideMark/>
          </w:tcPr>
          <w:p w14:paraId="3884CE6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disa shtesa dhe ndryshime në Vendimin nr. 332, datë 17.03.2010, të Këshillit të Ministrave“Për përcaktimin e formës, elementeve përbërës, mënyrës së mbajtjes e afatit të përdorimit të dokumenteve bazë që mbahen dhe lëshohen nga shërbimi i gjendjes civile”, të ndryshuar</w:t>
            </w:r>
          </w:p>
        </w:tc>
        <w:tc>
          <w:tcPr>
            <w:tcW w:w="300" w:type="pct"/>
            <w:tcBorders>
              <w:top w:val="nil"/>
              <w:left w:val="nil"/>
              <w:bottom w:val="single" w:sz="4" w:space="0" w:color="auto"/>
              <w:right w:val="single" w:sz="4" w:space="0" w:color="auto"/>
            </w:tcBorders>
            <w:shd w:val="clear" w:color="auto" w:fill="auto"/>
            <w:vAlign w:val="center"/>
            <w:hideMark/>
          </w:tcPr>
          <w:p w14:paraId="59EF44C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4B2F17D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68B30CE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III</w:t>
            </w: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38035D7A"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Reformat e ndërmarra nga Qeveria Shqiptare për digjitalizimin e shërbimeve</w:t>
            </w:r>
          </w:p>
        </w:tc>
        <w:tc>
          <w:tcPr>
            <w:tcW w:w="793" w:type="pct"/>
            <w:tcBorders>
              <w:top w:val="nil"/>
              <w:left w:val="nil"/>
              <w:bottom w:val="single" w:sz="4" w:space="0" w:color="auto"/>
              <w:right w:val="single" w:sz="4" w:space="0" w:color="auto"/>
            </w:tcBorders>
            <w:shd w:val="clear" w:color="auto" w:fill="auto"/>
            <w:vAlign w:val="center"/>
            <w:hideMark/>
          </w:tcPr>
          <w:p w14:paraId="7425DD7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Miratimi i dokumentave elektronike</w:t>
            </w:r>
          </w:p>
        </w:tc>
        <w:tc>
          <w:tcPr>
            <w:tcW w:w="264" w:type="pct"/>
            <w:tcBorders>
              <w:top w:val="nil"/>
              <w:left w:val="nil"/>
              <w:bottom w:val="single" w:sz="4" w:space="0" w:color="auto"/>
              <w:right w:val="single" w:sz="4" w:space="0" w:color="auto"/>
            </w:tcBorders>
            <w:shd w:val="clear" w:color="auto" w:fill="auto"/>
            <w:vAlign w:val="center"/>
            <w:hideMark/>
          </w:tcPr>
          <w:p w14:paraId="6BAD4D3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7278C325"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p>
        </w:tc>
        <w:tc>
          <w:tcPr>
            <w:tcW w:w="493" w:type="pct"/>
            <w:tcBorders>
              <w:top w:val="nil"/>
              <w:left w:val="nil"/>
              <w:bottom w:val="single" w:sz="4" w:space="0" w:color="auto"/>
              <w:right w:val="single" w:sz="4" w:space="0" w:color="auto"/>
            </w:tcBorders>
            <w:shd w:val="clear" w:color="auto" w:fill="auto"/>
            <w:vAlign w:val="center"/>
            <w:hideMark/>
          </w:tcPr>
          <w:p w14:paraId="1DE3663E"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433" w:type="pct"/>
            <w:tcBorders>
              <w:top w:val="nil"/>
              <w:left w:val="nil"/>
              <w:bottom w:val="single" w:sz="4" w:space="0" w:color="auto"/>
              <w:right w:val="single" w:sz="4" w:space="0" w:color="auto"/>
            </w:tcBorders>
            <w:shd w:val="clear" w:color="auto" w:fill="auto"/>
            <w:vAlign w:val="center"/>
            <w:hideMark/>
          </w:tcPr>
          <w:p w14:paraId="37D61F7B"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r>
      <w:tr w:rsidR="005139E5" w:rsidRPr="005139E5" w14:paraId="2D450565" w14:textId="77777777" w:rsidTr="005139E5">
        <w:trPr>
          <w:trHeight w:val="180"/>
        </w:trPr>
        <w:tc>
          <w:tcPr>
            <w:tcW w:w="102" w:type="pct"/>
            <w:tcBorders>
              <w:top w:val="nil"/>
              <w:left w:val="single" w:sz="4" w:space="0" w:color="auto"/>
              <w:bottom w:val="single" w:sz="4" w:space="0" w:color="auto"/>
              <w:right w:val="single" w:sz="4" w:space="0" w:color="auto"/>
            </w:tcBorders>
            <w:shd w:val="clear" w:color="auto" w:fill="auto"/>
            <w:vAlign w:val="center"/>
            <w:hideMark/>
          </w:tcPr>
          <w:p w14:paraId="27438473"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19</w:t>
            </w:r>
          </w:p>
        </w:tc>
        <w:tc>
          <w:tcPr>
            <w:tcW w:w="747" w:type="pct"/>
            <w:tcBorders>
              <w:top w:val="nil"/>
              <w:left w:val="nil"/>
              <w:bottom w:val="single" w:sz="4" w:space="0" w:color="auto"/>
              <w:right w:val="single" w:sz="4" w:space="0" w:color="auto"/>
            </w:tcBorders>
            <w:shd w:val="clear" w:color="auto" w:fill="auto"/>
            <w:vAlign w:val="center"/>
            <w:hideMark/>
          </w:tcPr>
          <w:p w14:paraId="643CEC51"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 sigurimin shëndetësor të veçantë të punonjësve të Gardës së Republikës së Shqipërisë”</w:t>
            </w:r>
          </w:p>
        </w:tc>
        <w:tc>
          <w:tcPr>
            <w:tcW w:w="300" w:type="pct"/>
            <w:tcBorders>
              <w:top w:val="nil"/>
              <w:left w:val="nil"/>
              <w:bottom w:val="single" w:sz="4" w:space="0" w:color="auto"/>
              <w:right w:val="single" w:sz="4" w:space="0" w:color="auto"/>
            </w:tcBorders>
            <w:shd w:val="clear" w:color="auto" w:fill="auto"/>
            <w:vAlign w:val="center"/>
            <w:hideMark/>
          </w:tcPr>
          <w:p w14:paraId="1042D6A4"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Projektvendim</w:t>
            </w:r>
          </w:p>
        </w:tc>
        <w:tc>
          <w:tcPr>
            <w:tcW w:w="374" w:type="pct"/>
            <w:tcBorders>
              <w:top w:val="nil"/>
              <w:left w:val="nil"/>
              <w:bottom w:val="single" w:sz="4" w:space="0" w:color="auto"/>
              <w:right w:val="single" w:sz="4" w:space="0" w:color="auto"/>
            </w:tcBorders>
            <w:shd w:val="clear" w:color="auto" w:fill="auto"/>
            <w:vAlign w:val="center"/>
            <w:hideMark/>
          </w:tcPr>
          <w:p w14:paraId="6F3104A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Ministri i Brendshëm</w:t>
            </w:r>
          </w:p>
        </w:tc>
        <w:tc>
          <w:tcPr>
            <w:tcW w:w="289" w:type="pct"/>
            <w:tcBorders>
              <w:top w:val="nil"/>
              <w:left w:val="nil"/>
              <w:bottom w:val="single" w:sz="4" w:space="0" w:color="auto"/>
              <w:right w:val="single" w:sz="4" w:space="0" w:color="auto"/>
            </w:tcBorders>
            <w:shd w:val="clear" w:color="auto" w:fill="auto"/>
            <w:vAlign w:val="center"/>
            <w:hideMark/>
          </w:tcPr>
          <w:p w14:paraId="468D5C68"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Katërmujori III</w:t>
            </w:r>
          </w:p>
        </w:tc>
        <w:tc>
          <w:tcPr>
            <w:tcW w:w="810" w:type="pct"/>
            <w:tcBorders>
              <w:top w:val="nil"/>
              <w:left w:val="nil"/>
              <w:bottom w:val="single" w:sz="4" w:space="0" w:color="auto"/>
              <w:right w:val="single" w:sz="4" w:space="0" w:color="auto"/>
            </w:tcBorders>
            <w:shd w:val="clear" w:color="auto" w:fill="auto"/>
            <w:vAlign w:val="center"/>
            <w:hideMark/>
          </w:tcPr>
          <w:p w14:paraId="381EC97D"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Ky projektvendim përcakton shërbimet shëndetësore, autoritetin mjekësor që vendos për shërbimet shëndetësore për çdo rast, procedurat për sigurimin shëndetësor të veçantë dhe strukturat e veçanta që përfitojnë, në zbatim të pikës 3, të nenit 49, të ligjit nr. 33/2021, “Për Gardën e Republikës së Shqipërisë”.</w:t>
            </w:r>
          </w:p>
        </w:tc>
        <w:tc>
          <w:tcPr>
            <w:tcW w:w="793" w:type="pct"/>
            <w:tcBorders>
              <w:top w:val="nil"/>
              <w:left w:val="nil"/>
              <w:bottom w:val="single" w:sz="4" w:space="0" w:color="auto"/>
              <w:right w:val="single" w:sz="4" w:space="0" w:color="auto"/>
            </w:tcBorders>
            <w:shd w:val="clear" w:color="auto" w:fill="auto"/>
            <w:vAlign w:val="center"/>
            <w:hideMark/>
          </w:tcPr>
          <w:p w14:paraId="102493B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Ky projektvendim përcakton shërbimet shëndetësore, autoritetin mjekësor që vendos për shërbimet shëndetësore për çdo rast, procedurat për sigurimin shëndetësor të veçantë dhe strukturat e veçanta që përfitojnë, në zbatim të pikës 3, të nenit 49, të ligjit nr. 33/2021, “Për Gardën e Republikës së Shqipërisë”.</w:t>
            </w:r>
          </w:p>
        </w:tc>
        <w:tc>
          <w:tcPr>
            <w:tcW w:w="264" w:type="pct"/>
            <w:tcBorders>
              <w:top w:val="nil"/>
              <w:left w:val="nil"/>
              <w:bottom w:val="single" w:sz="4" w:space="0" w:color="auto"/>
              <w:right w:val="single" w:sz="4" w:space="0" w:color="auto"/>
            </w:tcBorders>
            <w:shd w:val="clear" w:color="auto" w:fill="auto"/>
            <w:vAlign w:val="center"/>
            <w:hideMark/>
          </w:tcPr>
          <w:p w14:paraId="6644462C"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Jo</w:t>
            </w:r>
          </w:p>
        </w:tc>
        <w:tc>
          <w:tcPr>
            <w:tcW w:w="395" w:type="pct"/>
            <w:tcBorders>
              <w:top w:val="nil"/>
              <w:left w:val="nil"/>
              <w:bottom w:val="single" w:sz="4" w:space="0" w:color="auto"/>
              <w:right w:val="single" w:sz="4" w:space="0" w:color="auto"/>
            </w:tcBorders>
            <w:shd w:val="clear" w:color="auto" w:fill="auto"/>
            <w:vAlign w:val="center"/>
            <w:hideMark/>
          </w:tcPr>
          <w:p w14:paraId="6444ECA2"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Përputhet me</w:t>
            </w:r>
            <w:r w:rsidRPr="005139E5">
              <w:rPr>
                <w:rFonts w:ascii="Arial" w:eastAsia="Times New Roman" w:hAnsi="Arial" w:cs="Arial"/>
                <w:color w:val="000000"/>
                <w:sz w:val="12"/>
                <w:szCs w:val="12"/>
                <w:bdr w:val="none" w:sz="0" w:space="0" w:color="auto"/>
              </w:rPr>
              <w:br/>
              <w:t>Prioritet e</w:t>
            </w:r>
            <w:r w:rsidRPr="005139E5">
              <w:rPr>
                <w:rFonts w:ascii="Arial" w:eastAsia="Times New Roman" w:hAnsi="Arial" w:cs="Arial"/>
                <w:color w:val="000000"/>
                <w:sz w:val="12"/>
                <w:szCs w:val="12"/>
                <w:bdr w:val="none" w:sz="0" w:space="0" w:color="auto"/>
              </w:rPr>
              <w:br/>
              <w:t>Ministrisë së</w:t>
            </w:r>
            <w:r w:rsidRPr="005139E5">
              <w:rPr>
                <w:rFonts w:ascii="Arial" w:eastAsia="Times New Roman" w:hAnsi="Arial" w:cs="Arial"/>
                <w:color w:val="000000"/>
                <w:sz w:val="12"/>
                <w:szCs w:val="12"/>
                <w:bdr w:val="none" w:sz="0" w:space="0" w:color="auto"/>
              </w:rPr>
              <w:br/>
              <w:t>Brendshme të</w:t>
            </w:r>
            <w:r w:rsidRPr="005139E5">
              <w:rPr>
                <w:rFonts w:ascii="Arial" w:eastAsia="Times New Roman" w:hAnsi="Arial" w:cs="Arial"/>
                <w:color w:val="000000"/>
                <w:sz w:val="12"/>
                <w:szCs w:val="12"/>
                <w:bdr w:val="none" w:sz="0" w:space="0" w:color="auto"/>
              </w:rPr>
              <w:br/>
              <w:t>vitit 2024</w:t>
            </w:r>
          </w:p>
        </w:tc>
        <w:tc>
          <w:tcPr>
            <w:tcW w:w="493" w:type="pct"/>
            <w:tcBorders>
              <w:top w:val="nil"/>
              <w:left w:val="nil"/>
              <w:bottom w:val="single" w:sz="4" w:space="0" w:color="auto"/>
              <w:right w:val="single" w:sz="4" w:space="0" w:color="auto"/>
            </w:tcBorders>
            <w:shd w:val="clear" w:color="auto" w:fill="auto"/>
            <w:vAlign w:val="center"/>
            <w:hideMark/>
          </w:tcPr>
          <w:p w14:paraId="4336FD36"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 xml:space="preserve">Jo </w:t>
            </w:r>
          </w:p>
        </w:tc>
        <w:tc>
          <w:tcPr>
            <w:tcW w:w="433" w:type="pct"/>
            <w:tcBorders>
              <w:top w:val="nil"/>
              <w:left w:val="nil"/>
              <w:bottom w:val="single" w:sz="4" w:space="0" w:color="auto"/>
              <w:right w:val="single" w:sz="4" w:space="0" w:color="auto"/>
            </w:tcBorders>
            <w:shd w:val="clear" w:color="auto" w:fill="auto"/>
            <w:vAlign w:val="center"/>
            <w:hideMark/>
          </w:tcPr>
          <w:p w14:paraId="2F9CCBD9" w14:textId="77777777" w:rsidR="005139E5" w:rsidRPr="005139E5" w:rsidRDefault="005139E5" w:rsidP="005139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5139E5">
              <w:rPr>
                <w:rFonts w:ascii="Arial" w:eastAsia="Times New Roman" w:hAnsi="Arial" w:cs="Arial"/>
                <w:color w:val="000000"/>
                <w:sz w:val="12"/>
                <w:szCs w:val="12"/>
                <w:bdr w:val="none" w:sz="0" w:space="0" w:color="auto"/>
              </w:rPr>
              <w:t>Po</w:t>
            </w:r>
          </w:p>
        </w:tc>
      </w:tr>
    </w:tbl>
    <w:p w14:paraId="5573DE58" w14:textId="7AFD3669" w:rsidR="005139E5" w:rsidRDefault="005139E5" w:rsidP="009F3407">
      <w:pPr>
        <w:pStyle w:val="BodyA"/>
        <w:jc w:val="center"/>
        <w:rPr>
          <w:sz w:val="28"/>
          <w:szCs w:val="28"/>
          <w:lang w:val="it-IT"/>
        </w:rPr>
      </w:pPr>
    </w:p>
    <w:p w14:paraId="5F1D6489" w14:textId="05A6C87F" w:rsidR="00B07E49" w:rsidRDefault="00B07E49" w:rsidP="009F3407">
      <w:pPr>
        <w:pStyle w:val="BodyA"/>
        <w:jc w:val="center"/>
        <w:rPr>
          <w:sz w:val="28"/>
          <w:szCs w:val="28"/>
          <w:lang w:val="it-IT"/>
        </w:rPr>
      </w:pPr>
    </w:p>
    <w:tbl>
      <w:tblPr>
        <w:tblW w:w="5000" w:type="pct"/>
        <w:tblLook w:val="04A0" w:firstRow="1" w:lastRow="0" w:firstColumn="1" w:lastColumn="0" w:noHBand="0" w:noVBand="1"/>
      </w:tblPr>
      <w:tblGrid>
        <w:gridCol w:w="383"/>
        <w:gridCol w:w="2185"/>
        <w:gridCol w:w="977"/>
        <w:gridCol w:w="1074"/>
        <w:gridCol w:w="890"/>
        <w:gridCol w:w="2143"/>
        <w:gridCol w:w="1879"/>
        <w:gridCol w:w="917"/>
        <w:gridCol w:w="1142"/>
        <w:gridCol w:w="1438"/>
        <w:gridCol w:w="930"/>
      </w:tblGrid>
      <w:tr w:rsidR="00266759" w:rsidRPr="00266759" w14:paraId="41688BF5" w14:textId="77777777" w:rsidTr="00266759">
        <w:trPr>
          <w:trHeight w:val="180"/>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4C4D029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266759">
              <w:rPr>
                <w:rFonts w:ascii="Arial" w:eastAsia="Times New Roman" w:hAnsi="Arial" w:cs="Arial"/>
                <w:b/>
                <w:bCs/>
                <w:color w:val="000000"/>
                <w:sz w:val="12"/>
                <w:szCs w:val="12"/>
                <w:bdr w:val="none" w:sz="0" w:space="0" w:color="auto"/>
              </w:rPr>
              <w:t>Programi i Përgjithshëm Analitik i Projektakteve për vitin 2024</w:t>
            </w:r>
          </w:p>
        </w:tc>
      </w:tr>
      <w:tr w:rsidR="00266759" w:rsidRPr="00266759" w14:paraId="14B8D4DC" w14:textId="77777777" w:rsidTr="00266759">
        <w:trPr>
          <w:trHeight w:val="180"/>
        </w:trPr>
        <w:tc>
          <w:tcPr>
            <w:tcW w:w="5000" w:type="pct"/>
            <w:gridSpan w:val="11"/>
            <w:tcBorders>
              <w:top w:val="single" w:sz="4" w:space="0" w:color="FFFFFF"/>
              <w:left w:val="nil"/>
              <w:bottom w:val="nil"/>
              <w:right w:val="nil"/>
            </w:tcBorders>
            <w:shd w:val="clear" w:color="000000" w:fill="F2F2F2"/>
            <w:vAlign w:val="center"/>
            <w:hideMark/>
          </w:tcPr>
          <w:p w14:paraId="62CE059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266759">
              <w:rPr>
                <w:rFonts w:ascii="Arial" w:eastAsia="Times New Roman" w:hAnsi="Arial" w:cs="Arial"/>
                <w:b/>
                <w:bCs/>
                <w:color w:val="000000"/>
                <w:sz w:val="12"/>
                <w:szCs w:val="12"/>
                <w:bdr w:val="none" w:sz="0" w:space="0" w:color="auto"/>
              </w:rPr>
              <w:t>Ministri i Bujqësisë dhe Zhvillimit Rural</w:t>
            </w:r>
          </w:p>
        </w:tc>
      </w:tr>
      <w:tr w:rsidR="00266759" w:rsidRPr="00266759" w14:paraId="26586A2F" w14:textId="77777777" w:rsidTr="00266759">
        <w:trPr>
          <w:trHeight w:val="180"/>
        </w:trPr>
        <w:tc>
          <w:tcPr>
            <w:tcW w:w="5000" w:type="pct"/>
            <w:gridSpan w:val="11"/>
            <w:tcBorders>
              <w:top w:val="single" w:sz="4" w:space="0" w:color="FFFFFF"/>
              <w:left w:val="nil"/>
              <w:bottom w:val="nil"/>
              <w:right w:val="nil"/>
            </w:tcBorders>
            <w:shd w:val="clear" w:color="000000" w:fill="F2F2F2"/>
            <w:vAlign w:val="center"/>
          </w:tcPr>
          <w:p w14:paraId="03426CE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p>
        </w:tc>
      </w:tr>
      <w:tr w:rsidR="00266759" w:rsidRPr="00266759" w14:paraId="7F324AA0" w14:textId="77777777" w:rsidTr="00266759">
        <w:trPr>
          <w:trHeight w:val="180"/>
        </w:trPr>
        <w:tc>
          <w:tcPr>
            <w:tcW w:w="137" w:type="pct"/>
            <w:tcBorders>
              <w:top w:val="single" w:sz="8" w:space="0" w:color="auto"/>
              <w:left w:val="single" w:sz="8" w:space="0" w:color="auto"/>
              <w:bottom w:val="nil"/>
              <w:right w:val="nil"/>
            </w:tcBorders>
            <w:shd w:val="clear" w:color="000000" w:fill="C00000"/>
            <w:vAlign w:val="center"/>
            <w:hideMark/>
          </w:tcPr>
          <w:p w14:paraId="11CACA7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Nr.</w:t>
            </w:r>
          </w:p>
        </w:tc>
        <w:tc>
          <w:tcPr>
            <w:tcW w:w="783" w:type="pct"/>
            <w:tcBorders>
              <w:top w:val="single" w:sz="8" w:space="0" w:color="auto"/>
              <w:left w:val="single" w:sz="4" w:space="0" w:color="FFFFFF"/>
              <w:bottom w:val="nil"/>
              <w:right w:val="single" w:sz="4" w:space="0" w:color="FFFFFF"/>
            </w:tcBorders>
            <w:shd w:val="clear" w:color="000000" w:fill="C00000"/>
            <w:vAlign w:val="center"/>
            <w:hideMark/>
          </w:tcPr>
          <w:p w14:paraId="2BC55F0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Titulli i projektaktit</w:t>
            </w:r>
          </w:p>
        </w:tc>
        <w:tc>
          <w:tcPr>
            <w:tcW w:w="350" w:type="pct"/>
            <w:tcBorders>
              <w:top w:val="single" w:sz="8" w:space="0" w:color="auto"/>
              <w:left w:val="nil"/>
              <w:bottom w:val="nil"/>
              <w:right w:val="single" w:sz="4" w:space="0" w:color="FFFFFF"/>
            </w:tcBorders>
            <w:shd w:val="clear" w:color="000000" w:fill="C00000"/>
            <w:vAlign w:val="center"/>
            <w:hideMark/>
          </w:tcPr>
          <w:p w14:paraId="4DDBE47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Lloji i projektaktit</w:t>
            </w:r>
          </w:p>
        </w:tc>
        <w:tc>
          <w:tcPr>
            <w:tcW w:w="385" w:type="pct"/>
            <w:tcBorders>
              <w:top w:val="single" w:sz="8" w:space="0" w:color="auto"/>
              <w:left w:val="nil"/>
              <w:bottom w:val="nil"/>
              <w:right w:val="nil"/>
            </w:tcBorders>
            <w:shd w:val="clear" w:color="000000" w:fill="C00000"/>
            <w:vAlign w:val="center"/>
            <w:hideMark/>
          </w:tcPr>
          <w:p w14:paraId="07D971C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Ministri propozues</w:t>
            </w:r>
          </w:p>
        </w:tc>
        <w:tc>
          <w:tcPr>
            <w:tcW w:w="319" w:type="pct"/>
            <w:tcBorders>
              <w:top w:val="single" w:sz="8" w:space="0" w:color="auto"/>
              <w:left w:val="single" w:sz="4" w:space="0" w:color="FFFFFF"/>
              <w:bottom w:val="nil"/>
              <w:right w:val="nil"/>
            </w:tcBorders>
            <w:shd w:val="clear" w:color="000000" w:fill="C00000"/>
            <w:vAlign w:val="center"/>
            <w:hideMark/>
          </w:tcPr>
          <w:p w14:paraId="3BEF3F2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Katërmujori</w:t>
            </w:r>
          </w:p>
        </w:tc>
        <w:tc>
          <w:tcPr>
            <w:tcW w:w="768" w:type="pct"/>
            <w:tcBorders>
              <w:top w:val="single" w:sz="8" w:space="0" w:color="auto"/>
              <w:left w:val="single" w:sz="4" w:space="0" w:color="FFFFFF"/>
              <w:bottom w:val="nil"/>
              <w:right w:val="nil"/>
            </w:tcBorders>
            <w:shd w:val="clear" w:color="000000" w:fill="C00000"/>
            <w:vAlign w:val="center"/>
            <w:hideMark/>
          </w:tcPr>
          <w:p w14:paraId="645797A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Arsyet kryesore për propozimin e projektaktit</w:t>
            </w:r>
          </w:p>
        </w:tc>
        <w:tc>
          <w:tcPr>
            <w:tcW w:w="673" w:type="pct"/>
            <w:tcBorders>
              <w:top w:val="single" w:sz="8" w:space="0" w:color="auto"/>
              <w:left w:val="single" w:sz="4" w:space="0" w:color="FFFFFF"/>
              <w:bottom w:val="nil"/>
              <w:right w:val="single" w:sz="4" w:space="0" w:color="FFFFFF"/>
            </w:tcBorders>
            <w:shd w:val="clear" w:color="000000" w:fill="C00000"/>
            <w:vAlign w:val="center"/>
            <w:hideMark/>
          </w:tcPr>
          <w:p w14:paraId="0F6200F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 xml:space="preserve">Çështjet kryesore që parashikon të rregullojë projektakti </w:t>
            </w:r>
          </w:p>
        </w:tc>
        <w:tc>
          <w:tcPr>
            <w:tcW w:w="328" w:type="pct"/>
            <w:tcBorders>
              <w:top w:val="single" w:sz="8" w:space="0" w:color="auto"/>
              <w:left w:val="nil"/>
              <w:bottom w:val="nil"/>
              <w:right w:val="single" w:sz="4" w:space="0" w:color="FFFFFF"/>
            </w:tcBorders>
            <w:shd w:val="clear" w:color="000000" w:fill="C00000"/>
            <w:vAlign w:val="center"/>
            <w:hideMark/>
          </w:tcPr>
          <w:p w14:paraId="3DCBE40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A është parashikuar projektakti në PKIE?</w:t>
            </w:r>
            <w:r w:rsidRPr="00266759">
              <w:rPr>
                <w:rFonts w:ascii="Arial" w:eastAsia="Times New Roman" w:hAnsi="Arial" w:cs="Arial"/>
                <w:b/>
                <w:bCs/>
                <w:color w:val="FFFFFF"/>
                <w:sz w:val="12"/>
                <w:szCs w:val="12"/>
                <w:bdr w:val="none" w:sz="0" w:space="0" w:color="auto"/>
              </w:rPr>
              <w:br/>
            </w:r>
            <w:r w:rsidRPr="00266759">
              <w:rPr>
                <w:rFonts w:ascii="Arial" w:eastAsia="Times New Roman" w:hAnsi="Arial" w:cs="Arial"/>
                <w:b/>
                <w:bCs/>
                <w:color w:val="FFFFFF"/>
                <w:sz w:val="12"/>
                <w:szCs w:val="12"/>
                <w:bdr w:val="none" w:sz="0" w:space="0" w:color="auto"/>
              </w:rPr>
              <w:br/>
              <w:t>Nëse po, të specifikohet kapitulli përkatës</w:t>
            </w:r>
          </w:p>
        </w:tc>
        <w:tc>
          <w:tcPr>
            <w:tcW w:w="409" w:type="pct"/>
            <w:tcBorders>
              <w:top w:val="single" w:sz="8" w:space="0" w:color="auto"/>
              <w:left w:val="nil"/>
              <w:bottom w:val="nil"/>
              <w:right w:val="single" w:sz="4" w:space="0" w:color="FFFFFF"/>
            </w:tcBorders>
            <w:shd w:val="clear" w:color="000000" w:fill="C00000"/>
            <w:vAlign w:val="center"/>
            <w:hideMark/>
          </w:tcPr>
          <w:p w14:paraId="51F7309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Përputhshmëria e projektaktit me programin politik qeverisës 2021-2025</w:t>
            </w:r>
            <w:r w:rsidRPr="00266759">
              <w:rPr>
                <w:rFonts w:ascii="Arial" w:eastAsia="Times New Roman" w:hAnsi="Arial" w:cs="Arial"/>
                <w:b/>
                <w:bCs/>
                <w:color w:val="FFFFFF"/>
                <w:sz w:val="12"/>
                <w:szCs w:val="12"/>
                <w:bdr w:val="none" w:sz="0" w:space="0" w:color="auto"/>
              </w:rPr>
              <w:br/>
            </w:r>
            <w:r w:rsidRPr="00266759">
              <w:rPr>
                <w:rFonts w:ascii="Arial" w:eastAsia="Times New Roman" w:hAnsi="Arial" w:cs="Arial"/>
                <w:b/>
                <w:bCs/>
                <w:color w:val="FFFFFF"/>
                <w:sz w:val="12"/>
                <w:szCs w:val="12"/>
                <w:bdr w:val="none" w:sz="0" w:space="0" w:color="auto"/>
              </w:rPr>
              <w:br/>
              <w:t>Nëse përputhet, të jepet  referenca e saktë në progam</w:t>
            </w:r>
          </w:p>
        </w:tc>
        <w:tc>
          <w:tcPr>
            <w:tcW w:w="515" w:type="pct"/>
            <w:tcBorders>
              <w:top w:val="single" w:sz="8" w:space="0" w:color="auto"/>
              <w:left w:val="nil"/>
              <w:bottom w:val="nil"/>
              <w:right w:val="single" w:sz="4" w:space="0" w:color="FFFFFF"/>
            </w:tcBorders>
            <w:shd w:val="clear" w:color="000000" w:fill="C00000"/>
            <w:vAlign w:val="center"/>
            <w:hideMark/>
          </w:tcPr>
          <w:p w14:paraId="130FE11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Lidhja e projektaktit me strategjitë kombëtare dhe sektoriale</w:t>
            </w:r>
            <w:r w:rsidRPr="00266759">
              <w:rPr>
                <w:rFonts w:ascii="Arial" w:eastAsia="Times New Roman" w:hAnsi="Arial" w:cs="Arial"/>
                <w:b/>
                <w:bCs/>
                <w:color w:val="FFFFFF"/>
                <w:sz w:val="12"/>
                <w:szCs w:val="12"/>
                <w:bdr w:val="none" w:sz="0" w:space="0" w:color="auto"/>
              </w:rPr>
              <w:br/>
            </w:r>
            <w:r w:rsidRPr="00266759">
              <w:rPr>
                <w:rFonts w:ascii="Arial" w:eastAsia="Times New Roman" w:hAnsi="Arial" w:cs="Arial"/>
                <w:b/>
                <w:bCs/>
                <w:color w:val="FFFFFF"/>
                <w:sz w:val="12"/>
                <w:szCs w:val="12"/>
                <w:bdr w:val="none" w:sz="0" w:space="0" w:color="auto"/>
              </w:rPr>
              <w:br/>
              <w:t>Nëse lidhet, të specifikohen strategjitë</w:t>
            </w:r>
          </w:p>
        </w:tc>
        <w:tc>
          <w:tcPr>
            <w:tcW w:w="332" w:type="pct"/>
            <w:tcBorders>
              <w:top w:val="single" w:sz="8" w:space="0" w:color="auto"/>
              <w:left w:val="nil"/>
              <w:bottom w:val="nil"/>
              <w:right w:val="nil"/>
            </w:tcBorders>
            <w:shd w:val="clear" w:color="000000" w:fill="C00000"/>
            <w:vAlign w:val="center"/>
            <w:hideMark/>
          </w:tcPr>
          <w:p w14:paraId="633B90E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266759">
              <w:rPr>
                <w:rFonts w:ascii="Arial" w:eastAsia="Times New Roman" w:hAnsi="Arial" w:cs="Arial"/>
                <w:b/>
                <w:bCs/>
                <w:color w:val="FFFFFF"/>
                <w:sz w:val="12"/>
                <w:szCs w:val="12"/>
                <w:bdr w:val="none" w:sz="0" w:space="0" w:color="auto"/>
              </w:rPr>
              <w:t>Ndikimet e mundshme ekonomike, financiare, sociale dhe mjedisore</w:t>
            </w:r>
            <w:r w:rsidRPr="00266759">
              <w:rPr>
                <w:rFonts w:ascii="Arial" w:eastAsia="Times New Roman" w:hAnsi="Arial" w:cs="Arial"/>
                <w:b/>
                <w:bCs/>
                <w:color w:val="FFFFFF"/>
                <w:sz w:val="12"/>
                <w:szCs w:val="12"/>
                <w:bdr w:val="none" w:sz="0" w:space="0" w:color="auto"/>
              </w:rPr>
              <w:br/>
            </w:r>
            <w:r w:rsidRPr="00266759">
              <w:rPr>
                <w:rFonts w:ascii="Arial" w:eastAsia="Times New Roman" w:hAnsi="Arial" w:cs="Arial"/>
                <w:b/>
                <w:bCs/>
                <w:color w:val="FFFFFF"/>
                <w:sz w:val="12"/>
                <w:szCs w:val="12"/>
                <w:bdr w:val="none" w:sz="0" w:space="0" w:color="auto"/>
              </w:rPr>
              <w:br/>
              <w:t xml:space="preserve">Përgjigjuni me Po/Jo për ndikimet përkatëse </w:t>
            </w:r>
          </w:p>
        </w:tc>
      </w:tr>
      <w:tr w:rsidR="00266759" w:rsidRPr="00266759" w14:paraId="044102B5" w14:textId="77777777" w:rsidTr="00266759">
        <w:trPr>
          <w:trHeight w:val="180"/>
        </w:trPr>
        <w:tc>
          <w:tcPr>
            <w:tcW w:w="1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65C71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w:t>
            </w:r>
          </w:p>
        </w:tc>
        <w:tc>
          <w:tcPr>
            <w:tcW w:w="783" w:type="pct"/>
            <w:tcBorders>
              <w:top w:val="single" w:sz="4" w:space="0" w:color="auto"/>
              <w:left w:val="nil"/>
              <w:bottom w:val="single" w:sz="4" w:space="0" w:color="auto"/>
              <w:right w:val="single" w:sz="4" w:space="0" w:color="auto"/>
            </w:tcBorders>
            <w:shd w:val="clear" w:color="auto" w:fill="auto"/>
            <w:vAlign w:val="center"/>
            <w:hideMark/>
          </w:tcPr>
          <w:p w14:paraId="2694D8C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disa shtesa dhe ndryshime ne Ligjin nr.10465/2011 "Per sherbimin veterinar ne Republiken e Shqiperise"</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374D7FC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single" w:sz="4" w:space="0" w:color="auto"/>
              <w:left w:val="nil"/>
              <w:bottom w:val="single" w:sz="4" w:space="0" w:color="auto"/>
              <w:right w:val="single" w:sz="4" w:space="0" w:color="auto"/>
            </w:tcBorders>
            <w:shd w:val="clear" w:color="auto" w:fill="auto"/>
            <w:vAlign w:val="center"/>
            <w:hideMark/>
          </w:tcPr>
          <w:p w14:paraId="332B7FDC"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26D4E5D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w:t>
            </w:r>
          </w:p>
        </w:tc>
        <w:tc>
          <w:tcPr>
            <w:tcW w:w="768" w:type="pct"/>
            <w:tcBorders>
              <w:top w:val="single" w:sz="4" w:space="0" w:color="auto"/>
              <w:left w:val="nil"/>
              <w:bottom w:val="single" w:sz="4" w:space="0" w:color="auto"/>
              <w:right w:val="single" w:sz="4" w:space="0" w:color="auto"/>
            </w:tcBorders>
            <w:shd w:val="clear" w:color="auto" w:fill="auto"/>
            <w:vAlign w:val="center"/>
            <w:hideMark/>
          </w:tcPr>
          <w:p w14:paraId="5082A83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Plotësimi I mangësive ligjore të evidentuara në fushes se menaxhimit te mbetjeve ne Shqiperi dhe fushes se produkteve mjekesore veterinare</w:t>
            </w:r>
          </w:p>
        </w:tc>
        <w:tc>
          <w:tcPr>
            <w:tcW w:w="673" w:type="pct"/>
            <w:tcBorders>
              <w:top w:val="single" w:sz="4" w:space="0" w:color="auto"/>
              <w:left w:val="nil"/>
              <w:bottom w:val="single" w:sz="4" w:space="0" w:color="auto"/>
              <w:right w:val="single" w:sz="4" w:space="0" w:color="auto"/>
            </w:tcBorders>
            <w:shd w:val="clear" w:color="auto" w:fill="auto"/>
            <w:vAlign w:val="center"/>
            <w:hideMark/>
          </w:tcPr>
          <w:p w14:paraId="3F7D60B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br/>
              <w:t xml:space="preserve">Plotësimi i kuadrit ligjore lidhur me menaxhimit të mbetjeve, duke përcakuar kriteret e licensimit dhe rregullat që duhen të plotesojnë operatoret që grumbullojnë keto nënprodukte.   </w:t>
            </w:r>
            <w:r w:rsidRPr="00266759">
              <w:rPr>
                <w:rFonts w:ascii="Arial" w:eastAsia="Times New Roman" w:hAnsi="Arial" w:cs="Arial"/>
                <w:sz w:val="12"/>
                <w:szCs w:val="12"/>
                <w:bdr w:val="none" w:sz="0" w:space="0" w:color="auto"/>
              </w:rPr>
              <w:br/>
              <w:t>Ndryshim ne fushën e produkteve mjekesore veterinare duke rregulluar fushen e prodhuesve vendas në përputhje me rregulloren 2019/6. Ligji do te qartesojë me mirë strukturat kompetente në linje me legjislacionin e BE-se dhe do të permbush përcaktimet e nenit 127 te ketij ligji për një shërbim veterinar funksional dhe me varesi vertikale.</w:t>
            </w:r>
            <w:r w:rsidRPr="00266759">
              <w:rPr>
                <w:rFonts w:ascii="Arial" w:eastAsia="Times New Roman" w:hAnsi="Arial" w:cs="Arial"/>
                <w:sz w:val="12"/>
                <w:szCs w:val="12"/>
                <w:bdr w:val="none" w:sz="0" w:space="0" w:color="auto"/>
              </w:rPr>
              <w:br/>
              <w:t xml:space="preserve"> Gjithasht ndryshimet ligjore do të bëjnë të mundur marjen e masave kufizuese ndaj importit jo vetëm nga njoftimet që vijnë nga Organizata Boterore e Shendetit te Kafsheve por edhe nga sistemi  i informacionit të sëmundjeve të kafsheve në BE.</w:t>
            </w:r>
          </w:p>
        </w:tc>
        <w:tc>
          <w:tcPr>
            <w:tcW w:w="328" w:type="pct"/>
            <w:tcBorders>
              <w:top w:val="single" w:sz="4" w:space="0" w:color="auto"/>
              <w:left w:val="nil"/>
              <w:bottom w:val="single" w:sz="4" w:space="0" w:color="auto"/>
              <w:right w:val="single" w:sz="4" w:space="0" w:color="auto"/>
            </w:tcBorders>
            <w:shd w:val="clear" w:color="auto" w:fill="auto"/>
            <w:vAlign w:val="center"/>
            <w:hideMark/>
          </w:tcPr>
          <w:p w14:paraId="47F5030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single" w:sz="4" w:space="0" w:color="auto"/>
              <w:left w:val="nil"/>
              <w:bottom w:val="single" w:sz="4" w:space="0" w:color="auto"/>
              <w:right w:val="single" w:sz="4" w:space="0" w:color="auto"/>
            </w:tcBorders>
            <w:shd w:val="clear" w:color="auto" w:fill="auto"/>
            <w:vAlign w:val="center"/>
            <w:hideMark/>
          </w:tcPr>
          <w:p w14:paraId="1D832C7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single" w:sz="4" w:space="0" w:color="auto"/>
              <w:left w:val="nil"/>
              <w:bottom w:val="single" w:sz="4" w:space="0" w:color="auto"/>
              <w:right w:val="single" w:sz="4" w:space="0" w:color="auto"/>
            </w:tcBorders>
            <w:shd w:val="clear" w:color="auto" w:fill="auto"/>
            <w:vAlign w:val="center"/>
            <w:hideMark/>
          </w:tcPr>
          <w:p w14:paraId="4C4DBF2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single" w:sz="4" w:space="0" w:color="auto"/>
              <w:left w:val="nil"/>
              <w:bottom w:val="single" w:sz="4" w:space="0" w:color="auto"/>
              <w:right w:val="single" w:sz="4" w:space="0" w:color="auto"/>
            </w:tcBorders>
            <w:shd w:val="clear" w:color="auto" w:fill="auto"/>
            <w:vAlign w:val="center"/>
            <w:hideMark/>
          </w:tcPr>
          <w:p w14:paraId="5DAB008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ndikime ekonomike, financiare, sociale dhe mjedisore</w:t>
            </w:r>
          </w:p>
        </w:tc>
      </w:tr>
      <w:tr w:rsidR="00266759" w:rsidRPr="00266759" w14:paraId="740A51F5"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4D11994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2</w:t>
            </w:r>
          </w:p>
        </w:tc>
        <w:tc>
          <w:tcPr>
            <w:tcW w:w="783" w:type="pct"/>
            <w:tcBorders>
              <w:top w:val="nil"/>
              <w:left w:val="nil"/>
              <w:bottom w:val="single" w:sz="4" w:space="0" w:color="auto"/>
              <w:right w:val="single" w:sz="4" w:space="0" w:color="auto"/>
            </w:tcBorders>
            <w:shd w:val="clear" w:color="auto" w:fill="auto"/>
            <w:vAlign w:val="center"/>
            <w:hideMark/>
          </w:tcPr>
          <w:p w14:paraId="3732AD4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disa shtesa dhe ndryshime në ligjin nr. 64/2012 "Për peshkimin", të ndryshuar</w:t>
            </w:r>
          </w:p>
        </w:tc>
        <w:tc>
          <w:tcPr>
            <w:tcW w:w="350" w:type="pct"/>
            <w:tcBorders>
              <w:top w:val="nil"/>
              <w:left w:val="nil"/>
              <w:bottom w:val="single" w:sz="4" w:space="0" w:color="auto"/>
              <w:right w:val="single" w:sz="4" w:space="0" w:color="auto"/>
            </w:tcBorders>
            <w:shd w:val="clear" w:color="auto" w:fill="auto"/>
            <w:vAlign w:val="center"/>
            <w:hideMark/>
          </w:tcPr>
          <w:p w14:paraId="2E2E979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nil"/>
              <w:left w:val="nil"/>
              <w:bottom w:val="single" w:sz="4" w:space="0" w:color="auto"/>
              <w:right w:val="single" w:sz="4" w:space="0" w:color="auto"/>
            </w:tcBorders>
            <w:shd w:val="clear" w:color="auto" w:fill="auto"/>
            <w:vAlign w:val="center"/>
            <w:hideMark/>
          </w:tcPr>
          <w:p w14:paraId="4C7A866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1382CB4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w:t>
            </w:r>
          </w:p>
        </w:tc>
        <w:tc>
          <w:tcPr>
            <w:tcW w:w="768" w:type="pct"/>
            <w:tcBorders>
              <w:top w:val="nil"/>
              <w:left w:val="nil"/>
              <w:bottom w:val="single" w:sz="4" w:space="0" w:color="auto"/>
              <w:right w:val="single" w:sz="4" w:space="0" w:color="auto"/>
            </w:tcBorders>
            <w:shd w:val="clear" w:color="auto" w:fill="auto"/>
            <w:vAlign w:val="center"/>
            <w:hideMark/>
          </w:tcPr>
          <w:p w14:paraId="1BBD1C91"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Përafrim i legjislacionit të BE-së</w:t>
            </w:r>
          </w:p>
        </w:tc>
        <w:tc>
          <w:tcPr>
            <w:tcW w:w="673" w:type="pct"/>
            <w:tcBorders>
              <w:top w:val="nil"/>
              <w:left w:val="nil"/>
              <w:bottom w:val="single" w:sz="4" w:space="0" w:color="auto"/>
              <w:right w:val="single" w:sz="4" w:space="0" w:color="auto"/>
            </w:tcBorders>
            <w:shd w:val="clear" w:color="auto" w:fill="auto"/>
            <w:vAlign w:val="center"/>
            <w:hideMark/>
          </w:tcPr>
          <w:p w14:paraId="40FD9BE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Synon rregullimin e disa dispozitave në përputhje me rekomandimet e lëna nga takimi bilateral</w:t>
            </w:r>
          </w:p>
        </w:tc>
        <w:tc>
          <w:tcPr>
            <w:tcW w:w="328" w:type="pct"/>
            <w:tcBorders>
              <w:top w:val="nil"/>
              <w:left w:val="nil"/>
              <w:bottom w:val="single" w:sz="4" w:space="0" w:color="auto"/>
              <w:right w:val="single" w:sz="4" w:space="0" w:color="auto"/>
            </w:tcBorders>
            <w:shd w:val="clear" w:color="auto" w:fill="auto"/>
            <w:vAlign w:val="center"/>
            <w:hideMark/>
          </w:tcPr>
          <w:p w14:paraId="5C51B8D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kapitulli 13</w:t>
            </w:r>
          </w:p>
        </w:tc>
        <w:tc>
          <w:tcPr>
            <w:tcW w:w="409" w:type="pct"/>
            <w:tcBorders>
              <w:top w:val="nil"/>
              <w:left w:val="nil"/>
              <w:bottom w:val="single" w:sz="4" w:space="0" w:color="auto"/>
              <w:right w:val="single" w:sz="4" w:space="0" w:color="auto"/>
            </w:tcBorders>
            <w:shd w:val="clear" w:color="auto" w:fill="auto"/>
            <w:vAlign w:val="center"/>
            <w:hideMark/>
          </w:tcPr>
          <w:p w14:paraId="462DE3F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698FEB0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strategjia e bujqësisë, zhvillimit rural dhe peshkimit  2021-2027</w:t>
            </w:r>
          </w:p>
        </w:tc>
        <w:tc>
          <w:tcPr>
            <w:tcW w:w="332" w:type="pct"/>
            <w:tcBorders>
              <w:top w:val="nil"/>
              <w:left w:val="nil"/>
              <w:bottom w:val="single" w:sz="4" w:space="0" w:color="auto"/>
              <w:right w:val="single" w:sz="4" w:space="0" w:color="auto"/>
            </w:tcBorders>
            <w:shd w:val="clear" w:color="auto" w:fill="auto"/>
            <w:vAlign w:val="center"/>
            <w:hideMark/>
          </w:tcPr>
          <w:p w14:paraId="5138330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w:t>
            </w:r>
          </w:p>
        </w:tc>
      </w:tr>
      <w:tr w:rsidR="00266759" w:rsidRPr="00266759" w14:paraId="48A66124"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4AF7099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3</w:t>
            </w:r>
          </w:p>
        </w:tc>
        <w:tc>
          <w:tcPr>
            <w:tcW w:w="783" w:type="pct"/>
            <w:tcBorders>
              <w:top w:val="nil"/>
              <w:left w:val="nil"/>
              <w:bottom w:val="single" w:sz="4" w:space="0" w:color="auto"/>
              <w:right w:val="single" w:sz="4" w:space="0" w:color="auto"/>
            </w:tcBorders>
            <w:shd w:val="clear" w:color="auto" w:fill="auto"/>
            <w:vAlign w:val="center"/>
            <w:hideMark/>
          </w:tcPr>
          <w:p w14:paraId="023864D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miratimin e rregullave për prodhimin, tregtimin, ruajtjen, ambalazhimin, etiketimin dhe përdorimin e produkteve plehëruese</w:t>
            </w:r>
          </w:p>
        </w:tc>
        <w:tc>
          <w:tcPr>
            <w:tcW w:w="350" w:type="pct"/>
            <w:tcBorders>
              <w:top w:val="nil"/>
              <w:left w:val="nil"/>
              <w:bottom w:val="single" w:sz="4" w:space="0" w:color="auto"/>
              <w:right w:val="single" w:sz="4" w:space="0" w:color="auto"/>
            </w:tcBorders>
            <w:shd w:val="clear" w:color="auto" w:fill="auto"/>
            <w:vAlign w:val="center"/>
            <w:hideMark/>
          </w:tcPr>
          <w:p w14:paraId="4881444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222620A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2BBF9FF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Katermujori i</w:t>
            </w:r>
          </w:p>
        </w:tc>
        <w:tc>
          <w:tcPr>
            <w:tcW w:w="768" w:type="pct"/>
            <w:tcBorders>
              <w:top w:val="nil"/>
              <w:left w:val="nil"/>
              <w:bottom w:val="single" w:sz="4" w:space="0" w:color="auto"/>
              <w:right w:val="single" w:sz="4" w:space="0" w:color="auto"/>
            </w:tcBorders>
            <w:shd w:val="clear" w:color="auto" w:fill="auto"/>
            <w:vAlign w:val="center"/>
            <w:hideMark/>
          </w:tcPr>
          <w:p w14:paraId="7169169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Plotesim i Ligjit nr. 17/2020, datë 17.2.2020, “Për produktet plehëruese” me akte nenligjore sipas pikës 4, të nenit 17. </w:t>
            </w:r>
          </w:p>
        </w:tc>
        <w:tc>
          <w:tcPr>
            <w:tcW w:w="673" w:type="pct"/>
            <w:tcBorders>
              <w:top w:val="nil"/>
              <w:left w:val="nil"/>
              <w:bottom w:val="single" w:sz="4" w:space="0" w:color="auto"/>
              <w:right w:val="single" w:sz="4" w:space="0" w:color="auto"/>
            </w:tcBorders>
            <w:shd w:val="clear" w:color="auto" w:fill="auto"/>
            <w:vAlign w:val="center"/>
            <w:hideMark/>
          </w:tcPr>
          <w:p w14:paraId="6794270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Percaktimi i rregullave konkrete dhe te detajuar ne procesin e prodhimit, tregtimit, perfshire dhe etiketimin dhe aspektet e tjera.</w:t>
            </w:r>
          </w:p>
        </w:tc>
        <w:tc>
          <w:tcPr>
            <w:tcW w:w="328" w:type="pct"/>
            <w:tcBorders>
              <w:top w:val="nil"/>
              <w:left w:val="nil"/>
              <w:bottom w:val="single" w:sz="4" w:space="0" w:color="auto"/>
              <w:right w:val="single" w:sz="4" w:space="0" w:color="auto"/>
            </w:tcBorders>
            <w:shd w:val="clear" w:color="auto" w:fill="auto"/>
            <w:vAlign w:val="center"/>
            <w:hideMark/>
          </w:tcPr>
          <w:p w14:paraId="39A9E36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4584BDA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106D93F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56D1C60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ekonomike</w:t>
            </w:r>
          </w:p>
        </w:tc>
      </w:tr>
      <w:tr w:rsidR="00266759" w:rsidRPr="00266759" w14:paraId="40F35829"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31E98C2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4</w:t>
            </w:r>
          </w:p>
        </w:tc>
        <w:tc>
          <w:tcPr>
            <w:tcW w:w="783" w:type="pct"/>
            <w:tcBorders>
              <w:top w:val="nil"/>
              <w:left w:val="nil"/>
              <w:bottom w:val="single" w:sz="4" w:space="0" w:color="auto"/>
              <w:right w:val="single" w:sz="4" w:space="0" w:color="auto"/>
            </w:tcBorders>
            <w:shd w:val="clear" w:color="auto" w:fill="auto"/>
            <w:vAlign w:val="center"/>
            <w:hideMark/>
          </w:tcPr>
          <w:p w14:paraId="67B37BF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Per disa shtesa dhe ndryshime ne VKM nr.613, date 27.10.2017 " Per miratimin e listes se inventarit te pronave te paluajtshme shteterore te cilat i kajon e ne pergjegjesi administrimi MBZHR-se, per Drejtorine e Sherbimeve te Peshkimit dhe Akuakultures" te ndryshuar</w:t>
            </w:r>
          </w:p>
        </w:tc>
        <w:tc>
          <w:tcPr>
            <w:tcW w:w="350" w:type="pct"/>
            <w:tcBorders>
              <w:top w:val="nil"/>
              <w:left w:val="nil"/>
              <w:bottom w:val="single" w:sz="4" w:space="0" w:color="auto"/>
              <w:right w:val="single" w:sz="4" w:space="0" w:color="auto"/>
            </w:tcBorders>
            <w:shd w:val="clear" w:color="auto" w:fill="auto"/>
            <w:vAlign w:val="center"/>
            <w:hideMark/>
          </w:tcPr>
          <w:p w14:paraId="6BA819A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2AED3B31"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6A0495B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Katermujori i</w:t>
            </w:r>
          </w:p>
        </w:tc>
        <w:tc>
          <w:tcPr>
            <w:tcW w:w="768" w:type="pct"/>
            <w:tcBorders>
              <w:top w:val="nil"/>
              <w:left w:val="nil"/>
              <w:bottom w:val="single" w:sz="4" w:space="0" w:color="auto"/>
              <w:right w:val="single" w:sz="4" w:space="0" w:color="auto"/>
            </w:tcBorders>
            <w:shd w:val="clear" w:color="auto" w:fill="auto"/>
            <w:vAlign w:val="center"/>
            <w:hideMark/>
          </w:tcPr>
          <w:p w14:paraId="4CEFD82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Aktet me karakter teknik ne zbatim te Ligjit nr.64/2012 "Per peshkimin" te ndryshuar.</w:t>
            </w:r>
          </w:p>
        </w:tc>
        <w:tc>
          <w:tcPr>
            <w:tcW w:w="673" w:type="pct"/>
            <w:tcBorders>
              <w:top w:val="nil"/>
              <w:left w:val="nil"/>
              <w:bottom w:val="single" w:sz="4" w:space="0" w:color="auto"/>
              <w:right w:val="single" w:sz="4" w:space="0" w:color="auto"/>
            </w:tcBorders>
            <w:shd w:val="clear" w:color="auto" w:fill="auto"/>
            <w:vAlign w:val="center"/>
            <w:hideMark/>
          </w:tcPr>
          <w:p w14:paraId="28435D9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Akt me karakter teknik per DSHPA institucioni i percaktuar nga ligji si institucion menaxhues.</w:t>
            </w:r>
          </w:p>
        </w:tc>
        <w:tc>
          <w:tcPr>
            <w:tcW w:w="328" w:type="pct"/>
            <w:tcBorders>
              <w:top w:val="nil"/>
              <w:left w:val="nil"/>
              <w:bottom w:val="single" w:sz="4" w:space="0" w:color="auto"/>
              <w:right w:val="single" w:sz="4" w:space="0" w:color="auto"/>
            </w:tcBorders>
            <w:shd w:val="clear" w:color="auto" w:fill="auto"/>
            <w:vAlign w:val="center"/>
            <w:hideMark/>
          </w:tcPr>
          <w:p w14:paraId="3B6AC13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09829CB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72C2F47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3C2A61B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r>
      <w:tr w:rsidR="00266759" w:rsidRPr="00266759" w14:paraId="79681A6B"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5289FCF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5</w:t>
            </w:r>
          </w:p>
        </w:tc>
        <w:tc>
          <w:tcPr>
            <w:tcW w:w="783" w:type="pct"/>
            <w:tcBorders>
              <w:top w:val="nil"/>
              <w:left w:val="nil"/>
              <w:bottom w:val="single" w:sz="4" w:space="0" w:color="auto"/>
              <w:right w:val="single" w:sz="4" w:space="0" w:color="auto"/>
            </w:tcBorders>
            <w:shd w:val="clear" w:color="auto" w:fill="auto"/>
            <w:vAlign w:val="center"/>
            <w:hideMark/>
          </w:tcPr>
          <w:p w14:paraId="12B9F13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 Për përcaktimin e kritereve bazë të sektorëve që do të mbështeten dhe të masës së financimit nga fondi i programit për bujqësinë e zhvillimin rural, për vitin 2024</w:t>
            </w:r>
          </w:p>
        </w:tc>
        <w:tc>
          <w:tcPr>
            <w:tcW w:w="350" w:type="pct"/>
            <w:tcBorders>
              <w:top w:val="nil"/>
              <w:left w:val="nil"/>
              <w:bottom w:val="single" w:sz="4" w:space="0" w:color="auto"/>
              <w:right w:val="single" w:sz="4" w:space="0" w:color="auto"/>
            </w:tcBorders>
            <w:shd w:val="clear" w:color="auto" w:fill="auto"/>
            <w:vAlign w:val="center"/>
            <w:hideMark/>
          </w:tcPr>
          <w:p w14:paraId="0268676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7A53EE1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00E235D1"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w:t>
            </w:r>
          </w:p>
        </w:tc>
        <w:tc>
          <w:tcPr>
            <w:tcW w:w="768" w:type="pct"/>
            <w:tcBorders>
              <w:top w:val="nil"/>
              <w:left w:val="nil"/>
              <w:bottom w:val="single" w:sz="4" w:space="0" w:color="auto"/>
              <w:right w:val="single" w:sz="4" w:space="0" w:color="auto"/>
            </w:tcBorders>
            <w:shd w:val="clear" w:color="auto" w:fill="auto"/>
            <w:vAlign w:val="center"/>
            <w:hideMark/>
          </w:tcPr>
          <w:p w14:paraId="0137395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Mbështetje për fermerët dhe subjektet në fushën e bujqësisë dhe zhvillimit rural;                      mbeshtetje me naftë për punimet e mekanizuara në bujqësi;                                 vijimi I trajnimeve nga UBT</w:t>
            </w:r>
          </w:p>
        </w:tc>
        <w:tc>
          <w:tcPr>
            <w:tcW w:w="673" w:type="pct"/>
            <w:tcBorders>
              <w:top w:val="nil"/>
              <w:left w:val="nil"/>
              <w:bottom w:val="single" w:sz="4" w:space="0" w:color="auto"/>
              <w:right w:val="single" w:sz="4" w:space="0" w:color="auto"/>
            </w:tcBorders>
            <w:shd w:val="clear" w:color="auto" w:fill="auto"/>
            <w:vAlign w:val="center"/>
            <w:hideMark/>
          </w:tcPr>
          <w:p w14:paraId="3EA0859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Përcaktimi I masave të mbështetjes kombëtare për bujqësinë dhe zhvillimin rural për vitin 2024, kriteret baze4</w:t>
            </w:r>
          </w:p>
        </w:tc>
        <w:tc>
          <w:tcPr>
            <w:tcW w:w="328" w:type="pct"/>
            <w:tcBorders>
              <w:top w:val="nil"/>
              <w:left w:val="nil"/>
              <w:bottom w:val="single" w:sz="4" w:space="0" w:color="auto"/>
              <w:right w:val="single" w:sz="4" w:space="0" w:color="auto"/>
            </w:tcBorders>
            <w:shd w:val="clear" w:color="auto" w:fill="auto"/>
            <w:vAlign w:val="center"/>
            <w:hideMark/>
          </w:tcPr>
          <w:p w14:paraId="2F31F14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2A01B58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Zhvillimi I Bujqësisë dhe Fshatit;               Rritja e mbështetjes ë Bujqësi, Blegtori dhe Zhvillim Rural </w:t>
            </w:r>
          </w:p>
        </w:tc>
        <w:tc>
          <w:tcPr>
            <w:tcW w:w="515" w:type="pct"/>
            <w:tcBorders>
              <w:top w:val="nil"/>
              <w:left w:val="nil"/>
              <w:bottom w:val="single" w:sz="4" w:space="0" w:color="auto"/>
              <w:right w:val="single" w:sz="4" w:space="0" w:color="auto"/>
            </w:tcBorders>
            <w:shd w:val="clear" w:color="auto" w:fill="auto"/>
            <w:vAlign w:val="center"/>
            <w:hideMark/>
          </w:tcPr>
          <w:p w14:paraId="1E9D4D71"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Srategjisë së bujqësisë, zhvillimit rural dhe peshkimit, 2021–2027</w:t>
            </w:r>
          </w:p>
        </w:tc>
        <w:tc>
          <w:tcPr>
            <w:tcW w:w="332" w:type="pct"/>
            <w:tcBorders>
              <w:top w:val="nil"/>
              <w:left w:val="nil"/>
              <w:bottom w:val="single" w:sz="4" w:space="0" w:color="auto"/>
              <w:right w:val="single" w:sz="4" w:space="0" w:color="auto"/>
            </w:tcBorders>
            <w:shd w:val="clear" w:color="auto" w:fill="auto"/>
            <w:vAlign w:val="center"/>
            <w:hideMark/>
          </w:tcPr>
          <w:p w14:paraId="13B09C4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nga buxheti i parashikuar për vitin 2024 për MBZHR-në</w:t>
            </w:r>
          </w:p>
        </w:tc>
      </w:tr>
      <w:tr w:rsidR="00266759" w:rsidRPr="00266759" w14:paraId="3116EF3D"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29CA77C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6</w:t>
            </w:r>
          </w:p>
        </w:tc>
        <w:tc>
          <w:tcPr>
            <w:tcW w:w="783" w:type="pct"/>
            <w:tcBorders>
              <w:top w:val="nil"/>
              <w:left w:val="nil"/>
              <w:bottom w:val="single" w:sz="4" w:space="0" w:color="auto"/>
              <w:right w:val="single" w:sz="4" w:space="0" w:color="auto"/>
            </w:tcBorders>
            <w:shd w:val="clear" w:color="auto" w:fill="auto"/>
            <w:vAlign w:val="center"/>
            <w:hideMark/>
          </w:tcPr>
          <w:p w14:paraId="5761DF5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procedurat, dokumentacionin dhe kriteret për përfundimin e procesit të privatizimit dhe kalimit në pronësi të objekteve të ish-ndërmarrjeve bujqësore”, </w:t>
            </w:r>
          </w:p>
        </w:tc>
        <w:tc>
          <w:tcPr>
            <w:tcW w:w="350" w:type="pct"/>
            <w:tcBorders>
              <w:top w:val="nil"/>
              <w:left w:val="nil"/>
              <w:bottom w:val="single" w:sz="4" w:space="0" w:color="auto"/>
              <w:right w:val="single" w:sz="4" w:space="0" w:color="auto"/>
            </w:tcBorders>
            <w:shd w:val="clear" w:color="auto" w:fill="auto"/>
            <w:vAlign w:val="center"/>
            <w:hideMark/>
          </w:tcPr>
          <w:p w14:paraId="60C1E27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091A1BF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Rural/MFE</w:t>
            </w:r>
          </w:p>
        </w:tc>
        <w:tc>
          <w:tcPr>
            <w:tcW w:w="319" w:type="pct"/>
            <w:tcBorders>
              <w:top w:val="nil"/>
              <w:left w:val="nil"/>
              <w:bottom w:val="single" w:sz="4" w:space="0" w:color="auto"/>
              <w:right w:val="single" w:sz="4" w:space="0" w:color="auto"/>
            </w:tcBorders>
            <w:shd w:val="clear" w:color="auto" w:fill="auto"/>
            <w:vAlign w:val="center"/>
            <w:hideMark/>
          </w:tcPr>
          <w:p w14:paraId="49AEBA2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w:t>
            </w:r>
          </w:p>
        </w:tc>
        <w:tc>
          <w:tcPr>
            <w:tcW w:w="768" w:type="pct"/>
            <w:tcBorders>
              <w:top w:val="nil"/>
              <w:left w:val="nil"/>
              <w:bottom w:val="single" w:sz="4" w:space="0" w:color="auto"/>
              <w:right w:val="single" w:sz="4" w:space="0" w:color="auto"/>
            </w:tcBorders>
            <w:shd w:val="clear" w:color="auto" w:fill="auto"/>
            <w:vAlign w:val="center"/>
            <w:hideMark/>
          </w:tcPr>
          <w:p w14:paraId="4F29311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Synohet plotesimi i ligjit  18/2023 “Për përfundimin e proceseve të privatizimit të ish-ndërrmarrjeve bujqësore”aktet nenligjore</w:t>
            </w:r>
          </w:p>
        </w:tc>
        <w:tc>
          <w:tcPr>
            <w:tcW w:w="673" w:type="pct"/>
            <w:tcBorders>
              <w:top w:val="nil"/>
              <w:left w:val="nil"/>
              <w:bottom w:val="single" w:sz="4" w:space="0" w:color="auto"/>
              <w:right w:val="single" w:sz="4" w:space="0" w:color="auto"/>
            </w:tcBorders>
            <w:shd w:val="clear" w:color="auto" w:fill="auto"/>
            <w:vAlign w:val="center"/>
            <w:hideMark/>
          </w:tcPr>
          <w:p w14:paraId="7A4CB93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Të përcaktojë procedurën, dokumentacionin, kushtet, mënyrën e përllogaritjes së vlerës së pagesës së mbetur dhe afatet e shlyerjes së saj për objektet e ish-Ndërmarrjeve Bujqësore, për të cilat ka filluar procesi i privatizimit nga Agjencia Qendrore e Ristrukturimit dhe Privatizimit të Ndërmarrjeve Bujqësore, kjo në zbatim të parashikimeve të Ligjit  18/2023 </w:t>
            </w:r>
          </w:p>
        </w:tc>
        <w:tc>
          <w:tcPr>
            <w:tcW w:w="328" w:type="pct"/>
            <w:tcBorders>
              <w:top w:val="nil"/>
              <w:left w:val="nil"/>
              <w:bottom w:val="single" w:sz="4" w:space="0" w:color="auto"/>
              <w:right w:val="single" w:sz="4" w:space="0" w:color="auto"/>
            </w:tcBorders>
            <w:shd w:val="clear" w:color="auto" w:fill="auto"/>
            <w:vAlign w:val="center"/>
            <w:hideMark/>
          </w:tcPr>
          <w:p w14:paraId="6C6A2A8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3FED614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10B955C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311C989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r>
      <w:tr w:rsidR="00266759" w:rsidRPr="00266759" w14:paraId="21CD0AB3"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57E4BFD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7</w:t>
            </w:r>
          </w:p>
        </w:tc>
        <w:tc>
          <w:tcPr>
            <w:tcW w:w="783" w:type="pct"/>
            <w:tcBorders>
              <w:top w:val="nil"/>
              <w:left w:val="nil"/>
              <w:bottom w:val="single" w:sz="4" w:space="0" w:color="auto"/>
              <w:right w:val="single" w:sz="4" w:space="0" w:color="auto"/>
            </w:tcBorders>
            <w:shd w:val="clear" w:color="auto" w:fill="auto"/>
            <w:vAlign w:val="center"/>
            <w:hideMark/>
          </w:tcPr>
          <w:p w14:paraId="7DA07C4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Kriteret mbi përdorimin e tokës bujqësore për kryerjen e aktivitetit agrifotovoltaik sipas përcaktimeve të këtij neni dhe atij eolik në tokat bujqësore me bonitet deri në 8, procedurat për monitorimin e ushtrimit të aktivitetit përfshirë masat për shkelje të kushteve të ushtrimit të aktivitetit, si dhe tarifën që paguajnë subjektet që tregtojnë energjinë e prodhuar në centralet e energjisë së rinovueshme agrifotovoltaike në toka bujqësore. </w:t>
            </w:r>
          </w:p>
        </w:tc>
        <w:tc>
          <w:tcPr>
            <w:tcW w:w="350" w:type="pct"/>
            <w:tcBorders>
              <w:top w:val="nil"/>
              <w:left w:val="nil"/>
              <w:bottom w:val="single" w:sz="4" w:space="0" w:color="auto"/>
              <w:right w:val="single" w:sz="4" w:space="0" w:color="auto"/>
            </w:tcBorders>
            <w:shd w:val="clear" w:color="auto" w:fill="auto"/>
            <w:vAlign w:val="center"/>
            <w:hideMark/>
          </w:tcPr>
          <w:p w14:paraId="10CCECE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20A9922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w:t>
            </w:r>
          </w:p>
        </w:tc>
        <w:tc>
          <w:tcPr>
            <w:tcW w:w="319" w:type="pct"/>
            <w:tcBorders>
              <w:top w:val="nil"/>
              <w:left w:val="nil"/>
              <w:bottom w:val="single" w:sz="4" w:space="0" w:color="auto"/>
              <w:right w:val="single" w:sz="4" w:space="0" w:color="auto"/>
            </w:tcBorders>
            <w:shd w:val="clear" w:color="auto" w:fill="auto"/>
            <w:vAlign w:val="center"/>
            <w:hideMark/>
          </w:tcPr>
          <w:p w14:paraId="2459483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w:t>
            </w:r>
          </w:p>
        </w:tc>
        <w:tc>
          <w:tcPr>
            <w:tcW w:w="768" w:type="pct"/>
            <w:tcBorders>
              <w:top w:val="nil"/>
              <w:left w:val="nil"/>
              <w:bottom w:val="single" w:sz="4" w:space="0" w:color="auto"/>
              <w:right w:val="single" w:sz="4" w:space="0" w:color="auto"/>
            </w:tcBorders>
            <w:shd w:val="clear" w:color="auto" w:fill="auto"/>
            <w:vAlign w:val="center"/>
            <w:hideMark/>
          </w:tcPr>
          <w:p w14:paraId="1033986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Synohet plotesimi i ligjit Nr.68/2023 me aktet nenligjore</w:t>
            </w:r>
          </w:p>
        </w:tc>
        <w:tc>
          <w:tcPr>
            <w:tcW w:w="673" w:type="pct"/>
            <w:tcBorders>
              <w:top w:val="nil"/>
              <w:left w:val="nil"/>
              <w:bottom w:val="single" w:sz="4" w:space="0" w:color="auto"/>
              <w:right w:val="single" w:sz="4" w:space="0" w:color="auto"/>
            </w:tcBorders>
            <w:shd w:val="clear" w:color="auto" w:fill="auto"/>
            <w:vAlign w:val="center"/>
            <w:hideMark/>
          </w:tcPr>
          <w:p w14:paraId="266B8DE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 xml:space="preserve">Projektvendimi krijon bazën rregullatore të kryerjes së aktiviteteve të njëkohshme, bujqësi dhe prodhim energji të rinovueshme. </w:t>
            </w:r>
          </w:p>
        </w:tc>
        <w:tc>
          <w:tcPr>
            <w:tcW w:w="328" w:type="pct"/>
            <w:tcBorders>
              <w:top w:val="nil"/>
              <w:left w:val="nil"/>
              <w:bottom w:val="single" w:sz="4" w:space="0" w:color="auto"/>
              <w:right w:val="single" w:sz="4" w:space="0" w:color="auto"/>
            </w:tcBorders>
            <w:shd w:val="clear" w:color="auto" w:fill="auto"/>
            <w:vAlign w:val="center"/>
            <w:hideMark/>
          </w:tcPr>
          <w:p w14:paraId="072EA30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2330A5B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1C5278C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22F1656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7030A0"/>
                <w:sz w:val="12"/>
                <w:szCs w:val="12"/>
                <w:bdr w:val="none" w:sz="0" w:space="0" w:color="auto"/>
              </w:rPr>
            </w:pPr>
            <w:r w:rsidRPr="00266759">
              <w:rPr>
                <w:rFonts w:ascii="Arial" w:eastAsia="Times New Roman" w:hAnsi="Arial" w:cs="Arial"/>
                <w:color w:val="7030A0"/>
                <w:sz w:val="12"/>
                <w:szCs w:val="12"/>
                <w:bdr w:val="none" w:sz="0" w:space="0" w:color="auto"/>
              </w:rPr>
              <w:t>Jo</w:t>
            </w:r>
          </w:p>
        </w:tc>
      </w:tr>
      <w:tr w:rsidR="00266759" w:rsidRPr="00266759" w14:paraId="794ABDBF"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5220316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8</w:t>
            </w:r>
          </w:p>
        </w:tc>
        <w:tc>
          <w:tcPr>
            <w:tcW w:w="783" w:type="pct"/>
            <w:tcBorders>
              <w:top w:val="nil"/>
              <w:left w:val="nil"/>
              <w:bottom w:val="single" w:sz="4" w:space="0" w:color="auto"/>
              <w:right w:val="single" w:sz="4" w:space="0" w:color="auto"/>
            </w:tcBorders>
            <w:shd w:val="clear" w:color="auto" w:fill="auto"/>
            <w:vAlign w:val="center"/>
            <w:hideMark/>
          </w:tcPr>
          <w:p w14:paraId="3814BF2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miratimin, në parim, të marrëveshjes në lidhje me kredinë për “Programin Ekonomia Blu” ndërmjet Këshillit të Ministrave të Republikës së Shqipërisë përfaqësuar nga Ministria e Bujqësisë dhe Zhvillimit Rural dhe Qeverisë së Republikës Italiane përfaqësuar nga Ministria e Punëve të Jashtme dhe Bashkëpunimit Ndërkombëtar”.</w:t>
            </w:r>
          </w:p>
        </w:tc>
        <w:tc>
          <w:tcPr>
            <w:tcW w:w="350" w:type="pct"/>
            <w:tcBorders>
              <w:top w:val="nil"/>
              <w:left w:val="nil"/>
              <w:bottom w:val="single" w:sz="4" w:space="0" w:color="auto"/>
              <w:right w:val="single" w:sz="4" w:space="0" w:color="auto"/>
            </w:tcBorders>
            <w:shd w:val="clear" w:color="auto" w:fill="auto"/>
            <w:vAlign w:val="center"/>
            <w:hideMark/>
          </w:tcPr>
          <w:p w14:paraId="0EF5D02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073F1641"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1A4563E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w:t>
            </w:r>
          </w:p>
        </w:tc>
        <w:tc>
          <w:tcPr>
            <w:tcW w:w="768" w:type="pct"/>
            <w:tcBorders>
              <w:top w:val="nil"/>
              <w:left w:val="nil"/>
              <w:bottom w:val="single" w:sz="4" w:space="0" w:color="auto"/>
              <w:right w:val="single" w:sz="4" w:space="0" w:color="auto"/>
            </w:tcBorders>
            <w:shd w:val="clear" w:color="auto" w:fill="auto"/>
            <w:vAlign w:val="center"/>
            <w:hideMark/>
          </w:tcPr>
          <w:p w14:paraId="73174A4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Miratimin në parim të marrëveshjes së dakordësuar me palën italiane me qëllim nënshkrimin e kësaj marrëveshjeje për financimin me 25 000 000 Euro për Programin “Ekonomia Blu”.</w:t>
            </w:r>
          </w:p>
        </w:tc>
        <w:tc>
          <w:tcPr>
            <w:tcW w:w="673" w:type="pct"/>
            <w:tcBorders>
              <w:top w:val="nil"/>
              <w:left w:val="nil"/>
              <w:bottom w:val="single" w:sz="4" w:space="0" w:color="auto"/>
              <w:right w:val="single" w:sz="4" w:space="0" w:color="auto"/>
            </w:tcBorders>
            <w:shd w:val="clear" w:color="auto" w:fill="auto"/>
            <w:vAlign w:val="center"/>
            <w:hideMark/>
          </w:tcPr>
          <w:p w14:paraId="5F8A1F3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Miratimi në parim i Marrëveshjes së Bashkëpunimit për nënshkrimin e kësaj marrëveshjeje me qëllim financimin prej 25,000,000 Euro për Programin “Ekonomia Blu” nga Qeveria e Republikës Italiane.</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Ky financim ka për qëllim të kontribuojë në zhvillimin e qëndrueshëm të ekonomisë detare dhe bregdetare shqiptare  duke i ofruar institucioneve dhe sektorit privat mundësi të reja lidhur me procesin e anëtarësimit në Bashkimin Evropian. </w:t>
            </w:r>
          </w:p>
        </w:tc>
        <w:tc>
          <w:tcPr>
            <w:tcW w:w="328" w:type="pct"/>
            <w:tcBorders>
              <w:top w:val="nil"/>
              <w:left w:val="nil"/>
              <w:bottom w:val="single" w:sz="4" w:space="0" w:color="auto"/>
              <w:right w:val="single" w:sz="4" w:space="0" w:color="auto"/>
            </w:tcBorders>
            <w:shd w:val="clear" w:color="auto" w:fill="auto"/>
            <w:vAlign w:val="center"/>
            <w:hideMark/>
          </w:tcPr>
          <w:p w14:paraId="50DCB0D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3D78E77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Nuk lidhet drejtëpërdrejtë me këtë program por do të sjellë ndikime në zhvillimin e zonave bregdetare, përdorimin e qëndrueshëm të tyre për rritjen ekonomike, përmirësimin e jetesës dhe punësimit, duke garantuar ruajtjen e ekosistemeve detare.</w:t>
            </w:r>
          </w:p>
        </w:tc>
        <w:tc>
          <w:tcPr>
            <w:tcW w:w="515" w:type="pct"/>
            <w:tcBorders>
              <w:top w:val="nil"/>
              <w:left w:val="nil"/>
              <w:bottom w:val="single" w:sz="4" w:space="0" w:color="auto"/>
              <w:right w:val="single" w:sz="4" w:space="0" w:color="auto"/>
            </w:tcBorders>
            <w:shd w:val="clear" w:color="auto" w:fill="auto"/>
            <w:vAlign w:val="center"/>
            <w:hideMark/>
          </w:tcPr>
          <w:p w14:paraId="6255C03C"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po, Strategjinë Kombëtare për Zhvillim dhe Integrim Evropian (SKZHIE) 2022–2030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Strategjinë për Bujqësinë, Zhvillimin Rural dhe Peshkimin 2021 – 2027, konkretisht me Politikën nr. 2 “Zhvillimi i qëndrueshëm i peshkimit dhe ekonomisë blu</w:t>
            </w:r>
          </w:p>
        </w:tc>
        <w:tc>
          <w:tcPr>
            <w:tcW w:w="332" w:type="pct"/>
            <w:tcBorders>
              <w:top w:val="nil"/>
              <w:left w:val="nil"/>
              <w:bottom w:val="single" w:sz="4" w:space="0" w:color="auto"/>
              <w:right w:val="single" w:sz="4" w:space="0" w:color="auto"/>
            </w:tcBorders>
            <w:shd w:val="clear" w:color="auto" w:fill="auto"/>
            <w:vAlign w:val="center"/>
            <w:hideMark/>
          </w:tcPr>
          <w:p w14:paraId="0EBCBA7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w:t>
            </w:r>
          </w:p>
        </w:tc>
      </w:tr>
      <w:tr w:rsidR="00266759" w:rsidRPr="00266759" w14:paraId="2CCB9137"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435E4A0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9</w:t>
            </w:r>
          </w:p>
        </w:tc>
        <w:tc>
          <w:tcPr>
            <w:tcW w:w="783" w:type="pct"/>
            <w:tcBorders>
              <w:top w:val="nil"/>
              <w:left w:val="nil"/>
              <w:bottom w:val="single" w:sz="4" w:space="0" w:color="auto"/>
              <w:right w:val="single" w:sz="4" w:space="0" w:color="auto"/>
            </w:tcBorders>
            <w:shd w:val="clear" w:color="auto" w:fill="auto"/>
            <w:vAlign w:val="center"/>
            <w:hideMark/>
          </w:tcPr>
          <w:p w14:paraId="134A383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Rregulla të hollësishme për marrjen e masave parandaluese për përhapjen e zjarreve </w:t>
            </w:r>
          </w:p>
        </w:tc>
        <w:tc>
          <w:tcPr>
            <w:tcW w:w="350" w:type="pct"/>
            <w:tcBorders>
              <w:top w:val="nil"/>
              <w:left w:val="nil"/>
              <w:bottom w:val="single" w:sz="4" w:space="0" w:color="auto"/>
              <w:right w:val="single" w:sz="4" w:space="0" w:color="auto"/>
            </w:tcBorders>
            <w:shd w:val="clear" w:color="auto" w:fill="auto"/>
            <w:vAlign w:val="center"/>
            <w:hideMark/>
          </w:tcPr>
          <w:p w14:paraId="215BA21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5366662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1A6AEF6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w:t>
            </w:r>
          </w:p>
        </w:tc>
        <w:tc>
          <w:tcPr>
            <w:tcW w:w="768" w:type="pct"/>
            <w:tcBorders>
              <w:top w:val="nil"/>
              <w:left w:val="nil"/>
              <w:bottom w:val="single" w:sz="4" w:space="0" w:color="auto"/>
              <w:right w:val="single" w:sz="4" w:space="0" w:color="auto"/>
            </w:tcBorders>
            <w:shd w:val="clear" w:color="auto" w:fill="auto"/>
            <w:vAlign w:val="center"/>
            <w:hideMark/>
          </w:tcPr>
          <w:p w14:paraId="136EB2C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Synohet plotesimi i ligjit Nr.68/2023 me aktet nenligjore</w:t>
            </w:r>
          </w:p>
        </w:tc>
        <w:tc>
          <w:tcPr>
            <w:tcW w:w="673" w:type="pct"/>
            <w:tcBorders>
              <w:top w:val="nil"/>
              <w:left w:val="nil"/>
              <w:bottom w:val="single" w:sz="4" w:space="0" w:color="auto"/>
              <w:right w:val="single" w:sz="4" w:space="0" w:color="auto"/>
            </w:tcBorders>
            <w:shd w:val="clear" w:color="auto" w:fill="auto"/>
            <w:vAlign w:val="center"/>
            <w:hideMark/>
          </w:tcPr>
          <w:p w14:paraId="18CC97B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Garantimi i mospërhapjes se zjarreve në rastet kur digjen mbetje bimore në toka bujqësore.</w:t>
            </w:r>
          </w:p>
        </w:tc>
        <w:tc>
          <w:tcPr>
            <w:tcW w:w="328" w:type="pct"/>
            <w:tcBorders>
              <w:top w:val="nil"/>
              <w:left w:val="nil"/>
              <w:bottom w:val="single" w:sz="4" w:space="0" w:color="auto"/>
              <w:right w:val="single" w:sz="4" w:space="0" w:color="auto"/>
            </w:tcBorders>
            <w:shd w:val="clear" w:color="auto" w:fill="auto"/>
            <w:vAlign w:val="center"/>
            <w:hideMark/>
          </w:tcPr>
          <w:p w14:paraId="7BE610A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44193B6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1708670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386599D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r>
      <w:tr w:rsidR="00266759" w:rsidRPr="00266759" w14:paraId="6BC516C9"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188EC91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10</w:t>
            </w:r>
          </w:p>
        </w:tc>
        <w:tc>
          <w:tcPr>
            <w:tcW w:w="783" w:type="pct"/>
            <w:tcBorders>
              <w:top w:val="nil"/>
              <w:left w:val="nil"/>
              <w:bottom w:val="single" w:sz="4" w:space="0" w:color="auto"/>
              <w:right w:val="single" w:sz="4" w:space="0" w:color="auto"/>
            </w:tcBorders>
            <w:shd w:val="clear" w:color="auto" w:fill="auto"/>
            <w:vAlign w:val="center"/>
            <w:hideMark/>
          </w:tcPr>
          <w:p w14:paraId="38C5569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prodhimin biologjik, etiketimin e produkteve biologjike dhe kontrollin e tyre</w:t>
            </w:r>
          </w:p>
        </w:tc>
        <w:tc>
          <w:tcPr>
            <w:tcW w:w="350" w:type="pct"/>
            <w:tcBorders>
              <w:top w:val="nil"/>
              <w:left w:val="nil"/>
              <w:bottom w:val="single" w:sz="4" w:space="0" w:color="auto"/>
              <w:right w:val="single" w:sz="4" w:space="0" w:color="auto"/>
            </w:tcBorders>
            <w:shd w:val="clear" w:color="auto" w:fill="auto"/>
            <w:vAlign w:val="center"/>
            <w:hideMark/>
          </w:tcPr>
          <w:p w14:paraId="0597B38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nil"/>
              <w:left w:val="nil"/>
              <w:bottom w:val="single" w:sz="4" w:space="0" w:color="auto"/>
              <w:right w:val="single" w:sz="4" w:space="0" w:color="auto"/>
            </w:tcBorders>
            <w:shd w:val="clear" w:color="auto" w:fill="auto"/>
            <w:vAlign w:val="center"/>
            <w:hideMark/>
          </w:tcPr>
          <w:p w14:paraId="27CEFF4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4B23702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w:t>
            </w:r>
          </w:p>
        </w:tc>
        <w:tc>
          <w:tcPr>
            <w:tcW w:w="768" w:type="pct"/>
            <w:tcBorders>
              <w:top w:val="nil"/>
              <w:left w:val="nil"/>
              <w:bottom w:val="single" w:sz="4" w:space="0" w:color="auto"/>
              <w:right w:val="single" w:sz="4" w:space="0" w:color="auto"/>
            </w:tcBorders>
            <w:shd w:val="clear" w:color="auto" w:fill="auto"/>
            <w:vAlign w:val="center"/>
            <w:hideMark/>
          </w:tcPr>
          <w:p w14:paraId="2993491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Rregulloren (KE) 2018/848 e Parlamentit Evropian dhe e Këshillit e datës 30 maj 2018 për prodhimin organik dhe etiketimin e produkteve organike dhe shfuqizimin e Rregullores së Këshillit (KE) nr. 834/2007. Numri CELEX: </w:t>
            </w:r>
            <w:r w:rsidRPr="00266759">
              <w:rPr>
                <w:rFonts w:ascii="Arial" w:eastAsia="Times New Roman" w:hAnsi="Arial" w:cs="Arial"/>
                <w:color w:val="333333"/>
                <w:sz w:val="12"/>
                <w:szCs w:val="12"/>
                <w:bdr w:val="none" w:sz="0" w:space="0" w:color="auto"/>
              </w:rPr>
              <w:t>32018R0848</w:t>
            </w:r>
            <w:r w:rsidRPr="00266759">
              <w:rPr>
                <w:rFonts w:ascii="Arial" w:eastAsia="Times New Roman" w:hAnsi="Arial" w:cs="Arial"/>
                <w:i/>
                <w:iCs/>
                <w:color w:val="000000"/>
                <w:sz w:val="12"/>
                <w:szCs w:val="12"/>
                <w:bdr w:val="none" w:sz="0" w:space="0" w:color="auto"/>
              </w:rPr>
              <w:t xml:space="preserve">, </w:t>
            </w:r>
          </w:p>
        </w:tc>
        <w:tc>
          <w:tcPr>
            <w:tcW w:w="673" w:type="pct"/>
            <w:tcBorders>
              <w:top w:val="nil"/>
              <w:left w:val="nil"/>
              <w:bottom w:val="single" w:sz="4" w:space="0" w:color="auto"/>
              <w:right w:val="single" w:sz="4" w:space="0" w:color="auto"/>
            </w:tcBorders>
            <w:shd w:val="clear" w:color="auto" w:fill="auto"/>
            <w:vAlign w:val="center"/>
            <w:hideMark/>
          </w:tcPr>
          <w:p w14:paraId="1267A98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Qëllimi i këtij projektligji është të përcaktojë parimet dhe rregullat për prodhimin biologjik, lidhur me certifikimin dhe përdorimin e treguesve që i referohen prodhimit biologjik në  etiketim dhe reklama, dhe rregullat për kontrollin zyrtar, që të sigurojë bazën për zhvillimin e qëndrueshëm të prodhimit organik, funksionimin efikas të tregut të brendshëm dhe garantimin e konkurrencës së drejtë, besimin dhe mbrojtjen e interesave të konsumatorëve.</w:t>
            </w:r>
          </w:p>
        </w:tc>
        <w:tc>
          <w:tcPr>
            <w:tcW w:w="328" w:type="pct"/>
            <w:tcBorders>
              <w:top w:val="nil"/>
              <w:left w:val="nil"/>
              <w:bottom w:val="single" w:sz="4" w:space="0" w:color="auto"/>
              <w:right w:val="single" w:sz="4" w:space="0" w:color="auto"/>
            </w:tcBorders>
            <w:shd w:val="clear" w:color="auto" w:fill="auto"/>
            <w:vAlign w:val="center"/>
            <w:hideMark/>
          </w:tcPr>
          <w:p w14:paraId="2DE0A14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kapitulli 11</w:t>
            </w:r>
          </w:p>
        </w:tc>
        <w:tc>
          <w:tcPr>
            <w:tcW w:w="409" w:type="pct"/>
            <w:tcBorders>
              <w:top w:val="nil"/>
              <w:left w:val="nil"/>
              <w:bottom w:val="single" w:sz="4" w:space="0" w:color="auto"/>
              <w:right w:val="single" w:sz="4" w:space="0" w:color="auto"/>
            </w:tcBorders>
            <w:shd w:val="clear" w:color="auto" w:fill="auto"/>
            <w:vAlign w:val="center"/>
            <w:hideMark/>
          </w:tcPr>
          <w:p w14:paraId="1D96E6F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4127A65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Srategjisë së bujqësisë, zhvillimit rural dhe peshkimit, 2021–2027</w:t>
            </w:r>
          </w:p>
        </w:tc>
        <w:tc>
          <w:tcPr>
            <w:tcW w:w="332" w:type="pct"/>
            <w:tcBorders>
              <w:top w:val="nil"/>
              <w:left w:val="nil"/>
              <w:bottom w:val="single" w:sz="4" w:space="0" w:color="auto"/>
              <w:right w:val="single" w:sz="4" w:space="0" w:color="auto"/>
            </w:tcBorders>
            <w:shd w:val="clear" w:color="auto" w:fill="auto"/>
            <w:vAlign w:val="center"/>
            <w:hideMark/>
          </w:tcPr>
          <w:p w14:paraId="29242C5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ndikime ekonomike, financiare, sociale dhe mjedisore</w:t>
            </w:r>
          </w:p>
        </w:tc>
      </w:tr>
      <w:tr w:rsidR="00266759" w:rsidRPr="00266759" w14:paraId="4BF84D77"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0308046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11</w:t>
            </w:r>
          </w:p>
        </w:tc>
        <w:tc>
          <w:tcPr>
            <w:tcW w:w="783" w:type="pct"/>
            <w:tcBorders>
              <w:top w:val="nil"/>
              <w:left w:val="nil"/>
              <w:bottom w:val="single" w:sz="4" w:space="0" w:color="auto"/>
              <w:right w:val="single" w:sz="4" w:space="0" w:color="auto"/>
            </w:tcBorders>
            <w:shd w:val="clear" w:color="auto" w:fill="auto"/>
            <w:vAlign w:val="center"/>
            <w:hideMark/>
          </w:tcPr>
          <w:p w14:paraId="659E702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deftesat tregtare mbi produktet bujqesore</w:t>
            </w:r>
          </w:p>
        </w:tc>
        <w:tc>
          <w:tcPr>
            <w:tcW w:w="350" w:type="pct"/>
            <w:tcBorders>
              <w:top w:val="nil"/>
              <w:left w:val="nil"/>
              <w:bottom w:val="single" w:sz="4" w:space="0" w:color="auto"/>
              <w:right w:val="single" w:sz="4" w:space="0" w:color="auto"/>
            </w:tcBorders>
            <w:shd w:val="clear" w:color="auto" w:fill="auto"/>
            <w:vAlign w:val="center"/>
            <w:hideMark/>
          </w:tcPr>
          <w:p w14:paraId="0A42A9D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nil"/>
              <w:left w:val="nil"/>
              <w:bottom w:val="single" w:sz="4" w:space="0" w:color="auto"/>
              <w:right w:val="single" w:sz="4" w:space="0" w:color="auto"/>
            </w:tcBorders>
            <w:shd w:val="clear" w:color="auto" w:fill="auto"/>
            <w:vAlign w:val="center"/>
            <w:hideMark/>
          </w:tcPr>
          <w:p w14:paraId="3A79B99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6AD21A6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w:t>
            </w:r>
          </w:p>
        </w:tc>
        <w:tc>
          <w:tcPr>
            <w:tcW w:w="768" w:type="pct"/>
            <w:tcBorders>
              <w:top w:val="nil"/>
              <w:left w:val="nil"/>
              <w:bottom w:val="single" w:sz="4" w:space="0" w:color="auto"/>
              <w:right w:val="single" w:sz="4" w:space="0" w:color="auto"/>
            </w:tcBorders>
            <w:shd w:val="clear" w:color="auto" w:fill="auto"/>
            <w:vAlign w:val="center"/>
            <w:hideMark/>
          </w:tcPr>
          <w:p w14:paraId="194B592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Krijimi i dy instrumentave te rinj financiar per fermeret me qellim kreditimin e tyre.</w:t>
            </w:r>
          </w:p>
        </w:tc>
        <w:tc>
          <w:tcPr>
            <w:tcW w:w="673" w:type="pct"/>
            <w:tcBorders>
              <w:top w:val="nil"/>
              <w:left w:val="nil"/>
              <w:bottom w:val="single" w:sz="4" w:space="0" w:color="auto"/>
              <w:right w:val="single" w:sz="4" w:space="0" w:color="auto"/>
            </w:tcBorders>
            <w:shd w:val="clear" w:color="auto" w:fill="auto"/>
            <w:vAlign w:val="center"/>
            <w:hideMark/>
          </w:tcPr>
          <w:p w14:paraId="7AA8EE1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Krijon kolateral per fermeret me qellim kreditimin, dhe si kolateral lihet prodhimi bujqesor dhe prodhimi i ardhshem.</w:t>
            </w:r>
          </w:p>
        </w:tc>
        <w:tc>
          <w:tcPr>
            <w:tcW w:w="328" w:type="pct"/>
            <w:tcBorders>
              <w:top w:val="nil"/>
              <w:left w:val="nil"/>
              <w:bottom w:val="single" w:sz="4" w:space="0" w:color="auto"/>
              <w:right w:val="single" w:sz="4" w:space="0" w:color="auto"/>
            </w:tcBorders>
            <w:shd w:val="clear" w:color="auto" w:fill="auto"/>
            <w:vAlign w:val="center"/>
            <w:hideMark/>
          </w:tcPr>
          <w:p w14:paraId="3DC29A8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6DB02E6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1AF0DFB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25C32F3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r>
      <w:tr w:rsidR="00266759" w:rsidRPr="00266759" w14:paraId="0BC79458"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0FC0B64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12</w:t>
            </w:r>
          </w:p>
        </w:tc>
        <w:tc>
          <w:tcPr>
            <w:tcW w:w="783" w:type="pct"/>
            <w:tcBorders>
              <w:top w:val="nil"/>
              <w:left w:val="nil"/>
              <w:bottom w:val="single" w:sz="4" w:space="0" w:color="auto"/>
              <w:right w:val="single" w:sz="4" w:space="0" w:color="auto"/>
            </w:tcBorders>
            <w:shd w:val="clear" w:color="auto" w:fill="auto"/>
            <w:vAlign w:val="center"/>
            <w:hideMark/>
          </w:tcPr>
          <w:p w14:paraId="6F1EB3A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"Per kriteret dhe procedurat për dhënien me qira të sipërfaqeve toke jo bujqesore".</w:t>
            </w:r>
          </w:p>
        </w:tc>
        <w:tc>
          <w:tcPr>
            <w:tcW w:w="350" w:type="pct"/>
            <w:tcBorders>
              <w:top w:val="nil"/>
              <w:left w:val="nil"/>
              <w:bottom w:val="single" w:sz="4" w:space="0" w:color="auto"/>
              <w:right w:val="single" w:sz="4" w:space="0" w:color="auto"/>
            </w:tcBorders>
            <w:shd w:val="clear" w:color="auto" w:fill="auto"/>
            <w:vAlign w:val="center"/>
            <w:hideMark/>
          </w:tcPr>
          <w:p w14:paraId="07DE643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79B81A8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26DF7B6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Katermujori II</w:t>
            </w:r>
          </w:p>
        </w:tc>
        <w:tc>
          <w:tcPr>
            <w:tcW w:w="768" w:type="pct"/>
            <w:tcBorders>
              <w:top w:val="nil"/>
              <w:left w:val="nil"/>
              <w:bottom w:val="single" w:sz="4" w:space="0" w:color="auto"/>
              <w:right w:val="single" w:sz="4" w:space="0" w:color="auto"/>
            </w:tcBorders>
            <w:shd w:val="clear" w:color="auto" w:fill="auto"/>
            <w:vAlign w:val="center"/>
            <w:hideMark/>
          </w:tcPr>
          <w:p w14:paraId="668CD7E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Plotesimi i Ligjit nr.20/2020 "Për përfundimin e proceseve kalimtare të pronësisë në Republikën e Shqipërisë", me aktet nenl;igjore. Hartimi do behet me ASHK dhe MFE, ne grup pune ne MBZHR.</w:t>
            </w:r>
          </w:p>
        </w:tc>
        <w:tc>
          <w:tcPr>
            <w:tcW w:w="673" w:type="pct"/>
            <w:tcBorders>
              <w:top w:val="nil"/>
              <w:left w:val="nil"/>
              <w:bottom w:val="single" w:sz="4" w:space="0" w:color="auto"/>
              <w:right w:val="single" w:sz="4" w:space="0" w:color="auto"/>
            </w:tcBorders>
            <w:shd w:val="clear" w:color="auto" w:fill="auto"/>
            <w:vAlign w:val="center"/>
            <w:hideMark/>
          </w:tcPr>
          <w:p w14:paraId="4444BF4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Percaktimi i menyres se marrjes se tokes jo bujqesore te mbjell, nga poseduesit faktik, dhe rregullimi i ceshtjeve te pageses.</w:t>
            </w:r>
          </w:p>
        </w:tc>
        <w:tc>
          <w:tcPr>
            <w:tcW w:w="328" w:type="pct"/>
            <w:tcBorders>
              <w:top w:val="nil"/>
              <w:left w:val="nil"/>
              <w:bottom w:val="single" w:sz="4" w:space="0" w:color="auto"/>
              <w:right w:val="single" w:sz="4" w:space="0" w:color="auto"/>
            </w:tcBorders>
            <w:shd w:val="clear" w:color="auto" w:fill="auto"/>
            <w:vAlign w:val="center"/>
            <w:hideMark/>
          </w:tcPr>
          <w:p w14:paraId="1C6B876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643718A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30B946B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4ED9921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r>
      <w:tr w:rsidR="00266759" w:rsidRPr="00266759" w14:paraId="52059727"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0292A8B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13</w:t>
            </w:r>
          </w:p>
        </w:tc>
        <w:tc>
          <w:tcPr>
            <w:tcW w:w="783" w:type="pct"/>
            <w:tcBorders>
              <w:top w:val="nil"/>
              <w:left w:val="nil"/>
              <w:bottom w:val="single" w:sz="4" w:space="0" w:color="auto"/>
              <w:right w:val="single" w:sz="4" w:space="0" w:color="auto"/>
            </w:tcBorders>
            <w:shd w:val="clear" w:color="auto" w:fill="auto"/>
            <w:vAlign w:val="center"/>
            <w:hideMark/>
          </w:tcPr>
          <w:p w14:paraId="4F5F6FE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ngritjen e sistemit të inspektimit për parandalimin, shkurajimin dhe eliminimin e peshkimit të paligjshëm, të parregulluar dhe të paraportuar (PPP) dhe krijimin e skemës së certifikimit të zënieve në peshkim</w:t>
            </w:r>
          </w:p>
        </w:tc>
        <w:tc>
          <w:tcPr>
            <w:tcW w:w="350" w:type="pct"/>
            <w:tcBorders>
              <w:top w:val="nil"/>
              <w:left w:val="nil"/>
              <w:bottom w:val="single" w:sz="4" w:space="0" w:color="auto"/>
              <w:right w:val="single" w:sz="4" w:space="0" w:color="auto"/>
            </w:tcBorders>
            <w:shd w:val="clear" w:color="auto" w:fill="auto"/>
            <w:vAlign w:val="center"/>
            <w:hideMark/>
          </w:tcPr>
          <w:p w14:paraId="1B54378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08E2FB4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06CEA65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40D01F6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Krijimi i sistemit te inpsktimit me qëllim garantimin e peshkimit sipas legjislacionit në fuqi.</w:t>
            </w:r>
          </w:p>
        </w:tc>
        <w:tc>
          <w:tcPr>
            <w:tcW w:w="673" w:type="pct"/>
            <w:tcBorders>
              <w:top w:val="nil"/>
              <w:left w:val="nil"/>
              <w:bottom w:val="single" w:sz="4" w:space="0" w:color="auto"/>
              <w:right w:val="single" w:sz="4" w:space="0" w:color="auto"/>
            </w:tcBorders>
            <w:shd w:val="clear" w:color="auto" w:fill="auto"/>
            <w:vAlign w:val="center"/>
            <w:hideMark/>
          </w:tcPr>
          <w:p w14:paraId="0B50F34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Synon rregullimin e disa dispozitave në përputhje me rekomandimet e lëna nga takimi bilateral </w:t>
            </w:r>
          </w:p>
        </w:tc>
        <w:tc>
          <w:tcPr>
            <w:tcW w:w="328" w:type="pct"/>
            <w:tcBorders>
              <w:top w:val="nil"/>
              <w:left w:val="nil"/>
              <w:bottom w:val="single" w:sz="4" w:space="0" w:color="auto"/>
              <w:right w:val="single" w:sz="4" w:space="0" w:color="auto"/>
            </w:tcBorders>
            <w:shd w:val="clear" w:color="auto" w:fill="auto"/>
            <w:vAlign w:val="center"/>
            <w:hideMark/>
          </w:tcPr>
          <w:p w14:paraId="3B90D9B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kapitulli 13</w:t>
            </w:r>
          </w:p>
        </w:tc>
        <w:tc>
          <w:tcPr>
            <w:tcW w:w="409" w:type="pct"/>
            <w:tcBorders>
              <w:top w:val="nil"/>
              <w:left w:val="nil"/>
              <w:bottom w:val="single" w:sz="4" w:space="0" w:color="auto"/>
              <w:right w:val="single" w:sz="4" w:space="0" w:color="auto"/>
            </w:tcBorders>
            <w:shd w:val="clear" w:color="auto" w:fill="auto"/>
            <w:vAlign w:val="center"/>
            <w:hideMark/>
          </w:tcPr>
          <w:p w14:paraId="3EFDC1F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2806CAD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strategjia e bujqësisë, zhvillimit rural dhe peshkimit  2021-2028</w:t>
            </w:r>
          </w:p>
        </w:tc>
        <w:tc>
          <w:tcPr>
            <w:tcW w:w="332" w:type="pct"/>
            <w:tcBorders>
              <w:top w:val="nil"/>
              <w:left w:val="nil"/>
              <w:bottom w:val="single" w:sz="4" w:space="0" w:color="auto"/>
              <w:right w:val="single" w:sz="4" w:space="0" w:color="auto"/>
            </w:tcBorders>
            <w:shd w:val="clear" w:color="auto" w:fill="auto"/>
            <w:vAlign w:val="center"/>
            <w:hideMark/>
          </w:tcPr>
          <w:p w14:paraId="27A0771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w:t>
            </w:r>
          </w:p>
        </w:tc>
      </w:tr>
      <w:tr w:rsidR="00266759" w:rsidRPr="00266759" w14:paraId="5481D833"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3B849F4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14</w:t>
            </w:r>
          </w:p>
        </w:tc>
        <w:tc>
          <w:tcPr>
            <w:tcW w:w="783" w:type="pct"/>
            <w:tcBorders>
              <w:top w:val="nil"/>
              <w:left w:val="nil"/>
              <w:bottom w:val="single" w:sz="4" w:space="0" w:color="auto"/>
              <w:right w:val="single" w:sz="4" w:space="0" w:color="auto"/>
            </w:tcBorders>
            <w:shd w:val="clear" w:color="auto" w:fill="auto"/>
            <w:vAlign w:val="center"/>
            <w:hideMark/>
          </w:tcPr>
          <w:p w14:paraId="69DFB7D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përcaktimin e zonave të prodhimit të rrushit për verë, bazuar në të dhënat e studimit, për “Zonat e kultivimit të vreshtave për verë”.</w:t>
            </w:r>
          </w:p>
        </w:tc>
        <w:tc>
          <w:tcPr>
            <w:tcW w:w="350" w:type="pct"/>
            <w:tcBorders>
              <w:top w:val="nil"/>
              <w:left w:val="nil"/>
              <w:bottom w:val="single" w:sz="4" w:space="0" w:color="auto"/>
              <w:right w:val="single" w:sz="4" w:space="0" w:color="auto"/>
            </w:tcBorders>
            <w:shd w:val="clear" w:color="auto" w:fill="auto"/>
            <w:vAlign w:val="center"/>
            <w:hideMark/>
          </w:tcPr>
          <w:p w14:paraId="469CAAC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034FFE1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w:t>
            </w:r>
          </w:p>
        </w:tc>
        <w:tc>
          <w:tcPr>
            <w:tcW w:w="319" w:type="pct"/>
            <w:tcBorders>
              <w:top w:val="nil"/>
              <w:left w:val="nil"/>
              <w:bottom w:val="single" w:sz="4" w:space="0" w:color="auto"/>
              <w:right w:val="single" w:sz="4" w:space="0" w:color="auto"/>
            </w:tcBorders>
            <w:shd w:val="clear" w:color="auto" w:fill="auto"/>
            <w:vAlign w:val="center"/>
            <w:hideMark/>
          </w:tcPr>
          <w:p w14:paraId="2ED4815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2973BD0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Detyrim qe rrjedh nga pika 6, neni 10, Ligjit Nr. 86/2022;   Baza për përcaktimin e varieteteve të rrushit për verë, sipas karakteristikave përkatëse të zonave të Shqipërisë;                     rritje e prodhimit dhe cilësisë së verës;         rritje e të ardhurave</w:t>
            </w:r>
          </w:p>
        </w:tc>
        <w:tc>
          <w:tcPr>
            <w:tcW w:w="673" w:type="pct"/>
            <w:tcBorders>
              <w:top w:val="nil"/>
              <w:left w:val="nil"/>
              <w:bottom w:val="single" w:sz="4" w:space="0" w:color="auto"/>
              <w:right w:val="single" w:sz="4" w:space="0" w:color="auto"/>
            </w:tcBorders>
            <w:shd w:val="clear" w:color="auto" w:fill="auto"/>
            <w:vAlign w:val="center"/>
            <w:hideMark/>
          </w:tcPr>
          <w:p w14:paraId="5827AA21"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Përcaktimi I zonave të kultivimit të vreshtave për verë, bazuar në treguesit e tokës, klimës, etj</w:t>
            </w:r>
          </w:p>
        </w:tc>
        <w:tc>
          <w:tcPr>
            <w:tcW w:w="328" w:type="pct"/>
            <w:tcBorders>
              <w:top w:val="nil"/>
              <w:left w:val="nil"/>
              <w:bottom w:val="single" w:sz="4" w:space="0" w:color="auto"/>
              <w:right w:val="single" w:sz="4" w:space="0" w:color="auto"/>
            </w:tcBorders>
            <w:shd w:val="clear" w:color="auto" w:fill="auto"/>
            <w:vAlign w:val="center"/>
            <w:hideMark/>
          </w:tcPr>
          <w:p w14:paraId="04B6A61C"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6E0F25C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Zhvillimi I Bujqësisë dhe Fshatit;                       Zhvillimi I fshatit drejt turizmit rural;                    modernizimi për zhvillim</w:t>
            </w:r>
          </w:p>
        </w:tc>
        <w:tc>
          <w:tcPr>
            <w:tcW w:w="515" w:type="pct"/>
            <w:tcBorders>
              <w:top w:val="nil"/>
              <w:left w:val="nil"/>
              <w:bottom w:val="single" w:sz="4" w:space="0" w:color="auto"/>
              <w:right w:val="single" w:sz="4" w:space="0" w:color="auto"/>
            </w:tcBorders>
            <w:shd w:val="clear" w:color="auto" w:fill="auto"/>
            <w:vAlign w:val="center"/>
            <w:hideMark/>
          </w:tcPr>
          <w:p w14:paraId="562970E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strategjia e bujqësisë, zhvillimit rural dhe peshkimit  2021-2028</w:t>
            </w:r>
          </w:p>
        </w:tc>
        <w:tc>
          <w:tcPr>
            <w:tcW w:w="332" w:type="pct"/>
            <w:tcBorders>
              <w:top w:val="nil"/>
              <w:left w:val="nil"/>
              <w:bottom w:val="single" w:sz="4" w:space="0" w:color="auto"/>
              <w:right w:val="single" w:sz="4" w:space="0" w:color="auto"/>
            </w:tcBorders>
            <w:shd w:val="clear" w:color="auto" w:fill="auto"/>
            <w:vAlign w:val="center"/>
            <w:hideMark/>
          </w:tcPr>
          <w:p w14:paraId="0EDD228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w:t>
            </w:r>
          </w:p>
        </w:tc>
      </w:tr>
      <w:tr w:rsidR="00266759" w:rsidRPr="00266759" w14:paraId="7155DF2A"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145009D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15</w:t>
            </w:r>
          </w:p>
        </w:tc>
        <w:tc>
          <w:tcPr>
            <w:tcW w:w="783" w:type="pct"/>
            <w:tcBorders>
              <w:top w:val="nil"/>
              <w:left w:val="nil"/>
              <w:bottom w:val="single" w:sz="4" w:space="0" w:color="auto"/>
              <w:right w:val="single" w:sz="4" w:space="0" w:color="auto"/>
            </w:tcBorders>
            <w:shd w:val="clear" w:color="auto" w:fill="auto"/>
            <w:vAlign w:val="center"/>
            <w:hideMark/>
          </w:tcPr>
          <w:p w14:paraId="5D96A43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përcaktimin e rregullave të funksionimit dhe detyrat e Këshillit Kombëtar të Vitivinikulturës</w:t>
            </w:r>
          </w:p>
        </w:tc>
        <w:tc>
          <w:tcPr>
            <w:tcW w:w="350" w:type="pct"/>
            <w:tcBorders>
              <w:top w:val="nil"/>
              <w:left w:val="nil"/>
              <w:bottom w:val="single" w:sz="4" w:space="0" w:color="auto"/>
              <w:right w:val="single" w:sz="4" w:space="0" w:color="auto"/>
            </w:tcBorders>
            <w:shd w:val="clear" w:color="auto" w:fill="auto"/>
            <w:vAlign w:val="center"/>
            <w:hideMark/>
          </w:tcPr>
          <w:p w14:paraId="7725EE3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0531F02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w:t>
            </w:r>
          </w:p>
        </w:tc>
        <w:tc>
          <w:tcPr>
            <w:tcW w:w="319" w:type="pct"/>
            <w:tcBorders>
              <w:top w:val="nil"/>
              <w:left w:val="nil"/>
              <w:bottom w:val="single" w:sz="4" w:space="0" w:color="auto"/>
              <w:right w:val="single" w:sz="4" w:space="0" w:color="auto"/>
            </w:tcBorders>
            <w:shd w:val="clear" w:color="auto" w:fill="auto"/>
            <w:vAlign w:val="center"/>
            <w:hideMark/>
          </w:tcPr>
          <w:p w14:paraId="67D6FF6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3E1005B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Detyrim pika 3, neni 8, Ligji Nr. 86/2022;                     Rritja e transparencës së sektorit;                   përfshirja e grupeve të interesit në vendimarrje; zhvillimi I qëndrueshëm I sektorit;  </w:t>
            </w:r>
          </w:p>
        </w:tc>
        <w:tc>
          <w:tcPr>
            <w:tcW w:w="673" w:type="pct"/>
            <w:tcBorders>
              <w:top w:val="nil"/>
              <w:left w:val="nil"/>
              <w:bottom w:val="single" w:sz="4" w:space="0" w:color="auto"/>
              <w:right w:val="single" w:sz="4" w:space="0" w:color="auto"/>
            </w:tcBorders>
            <w:shd w:val="clear" w:color="auto" w:fill="auto"/>
            <w:vAlign w:val="center"/>
            <w:hideMark/>
          </w:tcPr>
          <w:p w14:paraId="07B79F9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Këshilli Kombëtar i Vitivinikulturës, këshillon, informon dhe rregullon kur kërkohet, ndryshime ligjore ose rregullatore që ndikojnë drejtpërdrejt në vitivinikulturë; formulon propozime konkrete; përpilon rekomandime për planet e veprimit strategjik;                      propozon veprimet e nevojshme për promovimin e vitivinikulturës;</w:t>
            </w:r>
          </w:p>
        </w:tc>
        <w:tc>
          <w:tcPr>
            <w:tcW w:w="328" w:type="pct"/>
            <w:tcBorders>
              <w:top w:val="nil"/>
              <w:left w:val="nil"/>
              <w:bottom w:val="single" w:sz="4" w:space="0" w:color="auto"/>
              <w:right w:val="single" w:sz="4" w:space="0" w:color="auto"/>
            </w:tcBorders>
            <w:shd w:val="clear" w:color="auto" w:fill="auto"/>
            <w:vAlign w:val="center"/>
            <w:hideMark/>
          </w:tcPr>
          <w:p w14:paraId="2A72052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733B68F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Zhvillimi I Bujqësisë dhe Fshatit</w:t>
            </w:r>
          </w:p>
        </w:tc>
        <w:tc>
          <w:tcPr>
            <w:tcW w:w="515" w:type="pct"/>
            <w:tcBorders>
              <w:top w:val="nil"/>
              <w:left w:val="nil"/>
              <w:bottom w:val="single" w:sz="4" w:space="0" w:color="auto"/>
              <w:right w:val="single" w:sz="4" w:space="0" w:color="auto"/>
            </w:tcBorders>
            <w:shd w:val="clear" w:color="auto" w:fill="auto"/>
            <w:vAlign w:val="center"/>
            <w:hideMark/>
          </w:tcPr>
          <w:p w14:paraId="49371C2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strategjia e bujqësisë, zhvillimit rural dhe peshkimit  2021-2028</w:t>
            </w:r>
          </w:p>
        </w:tc>
        <w:tc>
          <w:tcPr>
            <w:tcW w:w="332" w:type="pct"/>
            <w:tcBorders>
              <w:top w:val="nil"/>
              <w:left w:val="nil"/>
              <w:bottom w:val="single" w:sz="4" w:space="0" w:color="auto"/>
              <w:right w:val="single" w:sz="4" w:space="0" w:color="auto"/>
            </w:tcBorders>
            <w:shd w:val="clear" w:color="auto" w:fill="auto"/>
            <w:vAlign w:val="center"/>
            <w:hideMark/>
          </w:tcPr>
          <w:p w14:paraId="6240F72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r>
      <w:tr w:rsidR="00266759" w:rsidRPr="00266759" w14:paraId="5357242D"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065F4C3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16</w:t>
            </w:r>
          </w:p>
        </w:tc>
        <w:tc>
          <w:tcPr>
            <w:tcW w:w="783" w:type="pct"/>
            <w:tcBorders>
              <w:top w:val="nil"/>
              <w:left w:val="nil"/>
              <w:bottom w:val="single" w:sz="4" w:space="0" w:color="auto"/>
              <w:right w:val="single" w:sz="4" w:space="0" w:color="auto"/>
            </w:tcBorders>
            <w:shd w:val="clear" w:color="auto" w:fill="auto"/>
            <w:vAlign w:val="center"/>
            <w:hideMark/>
          </w:tcPr>
          <w:p w14:paraId="10FB9A7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përcaktimin e funksionimit, kohëzgjatjes, organizimit dhe detyrave të Komisionit të Verës</w:t>
            </w:r>
          </w:p>
        </w:tc>
        <w:tc>
          <w:tcPr>
            <w:tcW w:w="350" w:type="pct"/>
            <w:tcBorders>
              <w:top w:val="nil"/>
              <w:left w:val="nil"/>
              <w:bottom w:val="single" w:sz="4" w:space="0" w:color="auto"/>
              <w:right w:val="single" w:sz="4" w:space="0" w:color="auto"/>
            </w:tcBorders>
            <w:shd w:val="clear" w:color="auto" w:fill="auto"/>
            <w:vAlign w:val="center"/>
            <w:hideMark/>
          </w:tcPr>
          <w:p w14:paraId="1F62BCA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Projektvendim</w:t>
            </w:r>
          </w:p>
        </w:tc>
        <w:tc>
          <w:tcPr>
            <w:tcW w:w="385" w:type="pct"/>
            <w:tcBorders>
              <w:top w:val="nil"/>
              <w:left w:val="nil"/>
              <w:bottom w:val="single" w:sz="4" w:space="0" w:color="auto"/>
              <w:right w:val="single" w:sz="4" w:space="0" w:color="auto"/>
            </w:tcBorders>
            <w:shd w:val="clear" w:color="auto" w:fill="auto"/>
            <w:vAlign w:val="center"/>
            <w:hideMark/>
          </w:tcPr>
          <w:p w14:paraId="29ECF7B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w:t>
            </w:r>
          </w:p>
        </w:tc>
        <w:tc>
          <w:tcPr>
            <w:tcW w:w="319" w:type="pct"/>
            <w:tcBorders>
              <w:top w:val="nil"/>
              <w:left w:val="nil"/>
              <w:bottom w:val="single" w:sz="4" w:space="0" w:color="auto"/>
              <w:right w:val="single" w:sz="4" w:space="0" w:color="auto"/>
            </w:tcBorders>
            <w:shd w:val="clear" w:color="auto" w:fill="auto"/>
            <w:vAlign w:val="center"/>
            <w:hideMark/>
          </w:tcPr>
          <w:p w14:paraId="02E7EA2C"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160F406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Detyrim pika 5, neni 19, Ligji Nr. 86/2022</w:t>
            </w:r>
          </w:p>
        </w:tc>
        <w:tc>
          <w:tcPr>
            <w:tcW w:w="673" w:type="pct"/>
            <w:tcBorders>
              <w:top w:val="nil"/>
              <w:left w:val="nil"/>
              <w:bottom w:val="single" w:sz="4" w:space="0" w:color="auto"/>
              <w:right w:val="single" w:sz="4" w:space="0" w:color="auto"/>
            </w:tcBorders>
            <w:shd w:val="clear" w:color="auto" w:fill="auto"/>
            <w:vAlign w:val="center"/>
            <w:hideMark/>
          </w:tcPr>
          <w:p w14:paraId="6227500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Krijimi dhe funksionimi I Komisionit të Verës, që do të mundësojë ekzaminimin në substancë të specifikimeve të verërave me EO dhe TGJ;                                                 vlerësimin e kërkesave për verërat me term tradicional;                  vlerësimin e ndryshimeve për specifikimet e produktit me term tradicional;                             kundërshtimet e kërkesave për ndryshimin e specifikimeve të verërave me term tradicional dhe verërave me EOM dhe TGJM; regjistrimin e emërtimeve me term tradicional</w:t>
            </w:r>
          </w:p>
        </w:tc>
        <w:tc>
          <w:tcPr>
            <w:tcW w:w="328" w:type="pct"/>
            <w:tcBorders>
              <w:top w:val="nil"/>
              <w:left w:val="nil"/>
              <w:bottom w:val="single" w:sz="4" w:space="0" w:color="auto"/>
              <w:right w:val="single" w:sz="4" w:space="0" w:color="auto"/>
            </w:tcBorders>
            <w:shd w:val="clear" w:color="auto" w:fill="auto"/>
            <w:vAlign w:val="center"/>
            <w:hideMark/>
          </w:tcPr>
          <w:p w14:paraId="19369A8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5ED3E3E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Zhvillimi I Bujqësisë dhe Fshatit</w:t>
            </w:r>
          </w:p>
        </w:tc>
        <w:tc>
          <w:tcPr>
            <w:tcW w:w="515" w:type="pct"/>
            <w:tcBorders>
              <w:top w:val="nil"/>
              <w:left w:val="nil"/>
              <w:bottom w:val="single" w:sz="4" w:space="0" w:color="auto"/>
              <w:right w:val="single" w:sz="4" w:space="0" w:color="auto"/>
            </w:tcBorders>
            <w:shd w:val="clear" w:color="auto" w:fill="auto"/>
            <w:vAlign w:val="center"/>
            <w:hideMark/>
          </w:tcPr>
          <w:p w14:paraId="01DBA04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strategjia e bujqësisë, zhvillimit rural dhe peshkimit  2021-2028</w:t>
            </w:r>
          </w:p>
        </w:tc>
        <w:tc>
          <w:tcPr>
            <w:tcW w:w="332" w:type="pct"/>
            <w:tcBorders>
              <w:top w:val="nil"/>
              <w:left w:val="nil"/>
              <w:bottom w:val="single" w:sz="4" w:space="0" w:color="auto"/>
              <w:right w:val="single" w:sz="4" w:space="0" w:color="auto"/>
            </w:tcBorders>
            <w:shd w:val="clear" w:color="auto" w:fill="auto"/>
            <w:vAlign w:val="center"/>
            <w:hideMark/>
          </w:tcPr>
          <w:p w14:paraId="61A007C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Financiare (pagesa e komisionit)</w:t>
            </w:r>
          </w:p>
        </w:tc>
      </w:tr>
      <w:tr w:rsidR="00266759" w:rsidRPr="00266759" w14:paraId="27B78501"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5113BCB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17</w:t>
            </w:r>
          </w:p>
        </w:tc>
        <w:tc>
          <w:tcPr>
            <w:tcW w:w="783" w:type="pct"/>
            <w:tcBorders>
              <w:top w:val="nil"/>
              <w:left w:val="nil"/>
              <w:bottom w:val="single" w:sz="4" w:space="0" w:color="auto"/>
              <w:right w:val="single" w:sz="4" w:space="0" w:color="auto"/>
            </w:tcBorders>
            <w:shd w:val="clear" w:color="auto" w:fill="auto"/>
            <w:vAlign w:val="center"/>
            <w:hideMark/>
          </w:tcPr>
          <w:p w14:paraId="7D3CC28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shendetin e bimeve</w:t>
            </w:r>
          </w:p>
        </w:tc>
        <w:tc>
          <w:tcPr>
            <w:tcW w:w="350" w:type="pct"/>
            <w:tcBorders>
              <w:top w:val="nil"/>
              <w:left w:val="nil"/>
              <w:bottom w:val="single" w:sz="4" w:space="0" w:color="auto"/>
              <w:right w:val="single" w:sz="4" w:space="0" w:color="auto"/>
            </w:tcBorders>
            <w:shd w:val="clear" w:color="auto" w:fill="auto"/>
            <w:vAlign w:val="center"/>
            <w:hideMark/>
          </w:tcPr>
          <w:p w14:paraId="1EFF986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nil"/>
              <w:left w:val="nil"/>
              <w:bottom w:val="single" w:sz="4" w:space="0" w:color="auto"/>
              <w:right w:val="single" w:sz="4" w:space="0" w:color="auto"/>
            </w:tcBorders>
            <w:shd w:val="clear" w:color="auto" w:fill="auto"/>
            <w:vAlign w:val="center"/>
            <w:hideMark/>
          </w:tcPr>
          <w:p w14:paraId="4E86558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128ADE2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747A338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Përafrimi i legjislacionit shqiptar me acquis të BE-së për shëndetin e bimëve. Plotwsimi i mangwsive nw ligjin ekzistues “Për mbrojtjen e bimëve”, lidhur  për përgatitjen e listës së dëmtuesve karantinorë, mungeswn e përcaktimit të qartë të autoriteteve kompetente qw krijon boshllëqe dhe mbivendosje të detyrave dhe përgjegjësive që lidhen me kontrollin dhe çrrënjosjen e dëmtuesve karantinorë dhe jo vetëm. Forcimi i mbrojtjes kundër dëmtuesve të bimëve është parakusht për të siguruar tregtim të sigurt, si dhe zbut ndikimet e ndryshimeve klimatike në shëndetin e të korrave dhe pyjeve</w:t>
            </w:r>
          </w:p>
        </w:tc>
        <w:tc>
          <w:tcPr>
            <w:tcW w:w="673" w:type="pct"/>
            <w:tcBorders>
              <w:top w:val="nil"/>
              <w:left w:val="nil"/>
              <w:bottom w:val="single" w:sz="4" w:space="0" w:color="auto"/>
              <w:right w:val="single" w:sz="4" w:space="0" w:color="auto"/>
            </w:tcBorders>
            <w:shd w:val="clear" w:color="auto" w:fill="auto"/>
            <w:vAlign w:val="center"/>
            <w:hideMark/>
          </w:tcPr>
          <w:p w14:paraId="0F185B7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br/>
              <w:t xml:space="preserve">Miratimi i rregullave për përcaktimin e risqeve fitosanitare dhe garantimin e mbrojtjes së shëndetit të bimëve nëpërmjet parandalimit të hyrjes dhe përhapjes së dëmtuesve në territorin e vendit;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Përcaktimi i detyrave dhe përgjegjësive të institucioneve të përfshira nëpërmjet rregullimit të organizimit dhe funksionimit të shërbimit të shëndetit të bimëve;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Përkufizimi i dëmtuesve karantinorë dhe jo-karantinorë të rregulluar dhe përcaktimi I veprimeve dhe masave që duhet të ndërmerren për ndalimin dhe kontrollin e përhapjes për këto dëmtues;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Masat në lidhje me importimin, tranzitin dhe lëvizjen e bimëve, produkteve bimore dhe objekteve të tjera;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Rregullimi i regjistrimit të operatorëve profesionistë dhe gjurmueshmërisë;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Certifikimi i bimëve, produkteve bimore dhe objekteve të tjera;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Rritja e gatishmërisë dhe mbikëqyrjes për shpërthimin e dëmtuesve;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Përmirësimi i instrumenteve për monitorimin, kontrollin  dhe çrrënjosjen e dëmtuesve;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Rregullimi i kritereve për pasaportat bimore dhe zonat e mbrojtura; </w:t>
            </w:r>
            <w:r w:rsidRPr="00266759">
              <w:rPr>
                <w:rFonts w:ascii="Arial" w:eastAsia="Times New Roman" w:hAnsi="Arial" w:cs="Arial"/>
                <w:sz w:val="12"/>
                <w:szCs w:val="12"/>
                <w:bdr w:val="none" w:sz="0" w:space="0" w:color="auto"/>
              </w:rPr>
              <w:br/>
            </w:r>
            <w:r w:rsidRPr="00266759">
              <w:rPr>
                <w:rFonts w:ascii="Arial" w:eastAsia="Times New Roman" w:hAnsi="Arial" w:cs="Arial"/>
                <w:sz w:val="12"/>
                <w:szCs w:val="12"/>
                <w:bdr w:val="none" w:sz="0" w:space="0" w:color="auto"/>
              </w:rPr>
              <w:br/>
              <w:t xml:space="preserve">Përmirësimi i  standardeve dhe rritja e besimit në sistemin rregullator kombëtar për shëndetin e bimëve. </w:t>
            </w:r>
          </w:p>
        </w:tc>
        <w:tc>
          <w:tcPr>
            <w:tcW w:w="328" w:type="pct"/>
            <w:tcBorders>
              <w:top w:val="nil"/>
              <w:left w:val="nil"/>
              <w:bottom w:val="single" w:sz="4" w:space="0" w:color="auto"/>
              <w:right w:val="single" w:sz="4" w:space="0" w:color="auto"/>
            </w:tcBorders>
            <w:shd w:val="clear" w:color="auto" w:fill="auto"/>
            <w:vAlign w:val="center"/>
            <w:hideMark/>
          </w:tcPr>
          <w:p w14:paraId="347A141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kapitulli 12</w:t>
            </w:r>
          </w:p>
        </w:tc>
        <w:tc>
          <w:tcPr>
            <w:tcW w:w="409" w:type="pct"/>
            <w:tcBorders>
              <w:top w:val="nil"/>
              <w:left w:val="nil"/>
              <w:bottom w:val="single" w:sz="4" w:space="0" w:color="auto"/>
              <w:right w:val="single" w:sz="4" w:space="0" w:color="auto"/>
            </w:tcBorders>
            <w:shd w:val="clear" w:color="auto" w:fill="auto"/>
            <w:vAlign w:val="center"/>
            <w:hideMark/>
          </w:tcPr>
          <w:p w14:paraId="4A6175B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17EEED7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4419AAB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 Po, Ndikim ekonomik Mjedisor,  social</w:t>
            </w:r>
          </w:p>
        </w:tc>
      </w:tr>
      <w:tr w:rsidR="00266759" w:rsidRPr="00266759" w14:paraId="68FF5273"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46762C43"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18</w:t>
            </w:r>
          </w:p>
        </w:tc>
        <w:tc>
          <w:tcPr>
            <w:tcW w:w="783" w:type="pct"/>
            <w:tcBorders>
              <w:top w:val="nil"/>
              <w:left w:val="nil"/>
              <w:bottom w:val="single" w:sz="4" w:space="0" w:color="auto"/>
              <w:right w:val="single" w:sz="4" w:space="0" w:color="auto"/>
            </w:tcBorders>
            <w:shd w:val="clear" w:color="auto" w:fill="auto"/>
            <w:vAlign w:val="center"/>
            <w:hideMark/>
          </w:tcPr>
          <w:p w14:paraId="3E8CE95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shendetin e kafsheve</w:t>
            </w:r>
          </w:p>
        </w:tc>
        <w:tc>
          <w:tcPr>
            <w:tcW w:w="350" w:type="pct"/>
            <w:tcBorders>
              <w:top w:val="nil"/>
              <w:left w:val="nil"/>
              <w:bottom w:val="single" w:sz="4" w:space="0" w:color="auto"/>
              <w:right w:val="single" w:sz="4" w:space="0" w:color="auto"/>
            </w:tcBorders>
            <w:shd w:val="clear" w:color="auto" w:fill="auto"/>
            <w:vAlign w:val="center"/>
            <w:hideMark/>
          </w:tcPr>
          <w:p w14:paraId="3EDFC69B"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nil"/>
              <w:left w:val="nil"/>
              <w:bottom w:val="single" w:sz="4" w:space="0" w:color="auto"/>
              <w:right w:val="single" w:sz="4" w:space="0" w:color="auto"/>
            </w:tcBorders>
            <w:shd w:val="clear" w:color="auto" w:fill="auto"/>
            <w:vAlign w:val="center"/>
            <w:hideMark/>
          </w:tcPr>
          <w:p w14:paraId="29D2FDA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1E59C53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74F0794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Perarim  Rregullores(BE) 2016/429) për sëmundjet e transmetueshme të kafshëve. Percakton qartë përgjegjësitë për fermerët, veterinerët dhe të tjerët që kanë të bëjnë me kafshët dhe lejon përdorimin më të madh të teknologjive të reja për aktivitetet e shëndetit të kafshëve - mbikëqyrjen e patogjenëve, identifikimin elektronik dhe regjistrimin e kafshëve, si dhe përcakton një bazë më të mirë ligjore për monitorimin e patogjenëve të kafshëve rezistente ndaj agjentëve antimikrobikë.</w:t>
            </w:r>
          </w:p>
        </w:tc>
        <w:tc>
          <w:tcPr>
            <w:tcW w:w="673" w:type="pct"/>
            <w:tcBorders>
              <w:top w:val="nil"/>
              <w:left w:val="nil"/>
              <w:bottom w:val="single" w:sz="4" w:space="0" w:color="auto"/>
              <w:right w:val="single" w:sz="4" w:space="0" w:color="auto"/>
            </w:tcBorders>
            <w:shd w:val="clear" w:color="auto" w:fill="auto"/>
            <w:vAlign w:val="center"/>
            <w:hideMark/>
          </w:tcPr>
          <w:p w14:paraId="48692A2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prioritizimi dhe kategorizimi i sëmundjeve me interes të Unionit</w:t>
            </w:r>
            <w:r w:rsidRPr="00266759">
              <w:rPr>
                <w:rFonts w:ascii="Arial" w:eastAsia="Times New Roman" w:hAnsi="Arial" w:cs="Arial"/>
                <w:sz w:val="12"/>
                <w:szCs w:val="12"/>
                <w:bdr w:val="none" w:sz="0" w:space="0" w:color="auto"/>
              </w:rPr>
              <w:br/>
              <w:t>dhe për vendosjen e përgjegjësive për shëndetin e kafshëve; zbulimin e hershëm, njoftimin dhe raportimin e sëmundjeve,</w:t>
            </w:r>
            <w:r w:rsidRPr="00266759">
              <w:rPr>
                <w:rFonts w:ascii="Arial" w:eastAsia="Times New Roman" w:hAnsi="Arial" w:cs="Arial"/>
                <w:sz w:val="12"/>
                <w:szCs w:val="12"/>
                <w:bdr w:val="none" w:sz="0" w:space="0" w:color="auto"/>
              </w:rPr>
              <w:br/>
              <w:t>mbikqyrja, programet e çrrënjosjes dhe statusi pa sëmundje; ndërgjegjësimi, gatishmëria dhe kontrolli i sëmundjeve; regjistrimin dhe miratimin e stabilimenteve  dhe transportuesve, lëvizjen dhe gjurmueshmërinë e kafshëve, produkteve germinale dhe produkte me origjinë shtazore; hyrjen e kafshëve, produkteve germinale dhe produkteve të kafshëve</w:t>
            </w:r>
            <w:r w:rsidRPr="00266759">
              <w:rPr>
                <w:rFonts w:ascii="Arial" w:eastAsia="Times New Roman" w:hAnsi="Arial" w:cs="Arial"/>
                <w:sz w:val="12"/>
                <w:szCs w:val="12"/>
                <w:bdr w:val="none" w:sz="0" w:space="0" w:color="auto"/>
              </w:rPr>
              <w:br/>
              <w:t>origjinën; non–commercial movements of pet animals; masat emergjente që duhen marrë në rast të një situate emergjente sëmundjeje</w:t>
            </w:r>
          </w:p>
        </w:tc>
        <w:tc>
          <w:tcPr>
            <w:tcW w:w="328" w:type="pct"/>
            <w:tcBorders>
              <w:top w:val="nil"/>
              <w:left w:val="nil"/>
              <w:bottom w:val="single" w:sz="4" w:space="0" w:color="auto"/>
              <w:right w:val="single" w:sz="4" w:space="0" w:color="auto"/>
            </w:tcBorders>
            <w:shd w:val="clear" w:color="auto" w:fill="auto"/>
            <w:vAlign w:val="center"/>
            <w:hideMark/>
          </w:tcPr>
          <w:p w14:paraId="0583DF9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kapitulli 12</w:t>
            </w:r>
          </w:p>
        </w:tc>
        <w:tc>
          <w:tcPr>
            <w:tcW w:w="409" w:type="pct"/>
            <w:tcBorders>
              <w:top w:val="nil"/>
              <w:left w:val="nil"/>
              <w:bottom w:val="single" w:sz="4" w:space="0" w:color="auto"/>
              <w:right w:val="single" w:sz="4" w:space="0" w:color="auto"/>
            </w:tcBorders>
            <w:shd w:val="clear" w:color="auto" w:fill="auto"/>
            <w:vAlign w:val="center"/>
            <w:hideMark/>
          </w:tcPr>
          <w:p w14:paraId="2F252BC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Politika e Sigurisë Agro-Ushqimore</w:t>
            </w:r>
          </w:p>
        </w:tc>
        <w:tc>
          <w:tcPr>
            <w:tcW w:w="515" w:type="pct"/>
            <w:tcBorders>
              <w:top w:val="nil"/>
              <w:left w:val="nil"/>
              <w:bottom w:val="single" w:sz="4" w:space="0" w:color="auto"/>
              <w:right w:val="single" w:sz="4" w:space="0" w:color="auto"/>
            </w:tcBorders>
            <w:shd w:val="clear" w:color="auto" w:fill="auto"/>
            <w:vAlign w:val="center"/>
            <w:hideMark/>
          </w:tcPr>
          <w:p w14:paraId="400E14B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332" w:type="pct"/>
            <w:tcBorders>
              <w:top w:val="nil"/>
              <w:left w:val="nil"/>
              <w:bottom w:val="single" w:sz="4" w:space="0" w:color="auto"/>
              <w:right w:val="single" w:sz="4" w:space="0" w:color="auto"/>
            </w:tcBorders>
            <w:shd w:val="clear" w:color="auto" w:fill="auto"/>
            <w:vAlign w:val="center"/>
            <w:hideMark/>
          </w:tcPr>
          <w:p w14:paraId="773C8D2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ndikim Ekonomik, social dhe mjedisor</w:t>
            </w:r>
          </w:p>
        </w:tc>
      </w:tr>
      <w:tr w:rsidR="00266759" w:rsidRPr="00266759" w14:paraId="1441C99B"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260B04C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19</w:t>
            </w:r>
          </w:p>
        </w:tc>
        <w:tc>
          <w:tcPr>
            <w:tcW w:w="783" w:type="pct"/>
            <w:tcBorders>
              <w:top w:val="nil"/>
              <w:left w:val="nil"/>
              <w:bottom w:val="single" w:sz="4" w:space="0" w:color="auto"/>
              <w:right w:val="single" w:sz="4" w:space="0" w:color="auto"/>
            </w:tcBorders>
            <w:shd w:val="clear" w:color="auto" w:fill="auto"/>
            <w:vAlign w:val="center"/>
            <w:hideMark/>
          </w:tcPr>
          <w:p w14:paraId="0FC341EE"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“Për kontrollet zyrtare dhe veprimtari të tjera zyrtare të kryera për të garantuar zbatimin e legjislacionit mbi ushqimin dhe ushqimin për kafshë, rregullimeve mbi shëndetin dhe mirëqenien e kafshëve si dhe mbi shëndetin e bimëve dhe produkteve për mbrojtjen e bimëve në Republikën e Shqipërisë”</w:t>
            </w:r>
          </w:p>
        </w:tc>
        <w:tc>
          <w:tcPr>
            <w:tcW w:w="350" w:type="pct"/>
            <w:tcBorders>
              <w:top w:val="nil"/>
              <w:left w:val="nil"/>
              <w:bottom w:val="single" w:sz="4" w:space="0" w:color="auto"/>
              <w:right w:val="single" w:sz="4" w:space="0" w:color="auto"/>
            </w:tcBorders>
            <w:shd w:val="clear" w:color="auto" w:fill="auto"/>
            <w:vAlign w:val="center"/>
            <w:hideMark/>
          </w:tcPr>
          <w:p w14:paraId="50C4EFB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nil"/>
              <w:left w:val="nil"/>
              <w:bottom w:val="single" w:sz="4" w:space="0" w:color="auto"/>
              <w:right w:val="single" w:sz="4" w:space="0" w:color="auto"/>
            </w:tcBorders>
            <w:shd w:val="clear" w:color="auto" w:fill="auto"/>
            <w:vAlign w:val="center"/>
            <w:hideMark/>
          </w:tcPr>
          <w:p w14:paraId="2E2C6E4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798EB7B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732AA3DF"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Ky projekt ligj do të përafrohet  pjesërisht me Rregulloren (BE) 2017/625 të Parlamentit Evropian dhe Këshillit të datës 15 mars 2017. Ky projekt ligj përcakton rregullat e përgjithshme dhe të veçanta, parimet dhe kërkesat që lidhen me kontrollet zyrtare dhe veprimtaritë e tjera zyrtare, si dhe përcakton përgjegjësitë, financimin dhe procedurat për kryerjen e kontrolleve zyrtare me qëllim garantimin e një niveli të lartë të mbrojtjes së shëndetit të njerëzve, kafshëve dhe të mjedisit në Republikën e Shqipërisë. Hartimi i ketij projekt ligji ka per qellimin unifikim e kontrolleve zyrtare sipas legjislacionit te BE-së, si dhe ploteismin e rekomandimeve te Raport-progreseve.</w:t>
            </w:r>
          </w:p>
        </w:tc>
        <w:tc>
          <w:tcPr>
            <w:tcW w:w="673" w:type="pct"/>
            <w:tcBorders>
              <w:top w:val="nil"/>
              <w:left w:val="nil"/>
              <w:bottom w:val="single" w:sz="4" w:space="0" w:color="auto"/>
              <w:right w:val="single" w:sz="4" w:space="0" w:color="auto"/>
            </w:tcBorders>
            <w:shd w:val="clear" w:color="auto" w:fill="auto"/>
            <w:vAlign w:val="center"/>
            <w:hideMark/>
          </w:tcPr>
          <w:p w14:paraId="45DD8B70"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Ky projekt ligj parashikon të përcaktoje rregullat për:</w:t>
            </w:r>
            <w:r w:rsidRPr="00266759">
              <w:rPr>
                <w:rFonts w:ascii="Arial" w:eastAsia="Times New Roman" w:hAnsi="Arial" w:cs="Arial"/>
                <w:sz w:val="12"/>
                <w:szCs w:val="12"/>
                <w:bdr w:val="none" w:sz="0" w:space="0" w:color="auto"/>
              </w:rPr>
              <w:br/>
              <w:t>a) kryerjen e kontrolleve zyrtare dhe veprimtari të tjera zyrtare nga institucionet përgjegjëse;</w:t>
            </w:r>
            <w:r w:rsidRPr="00266759">
              <w:rPr>
                <w:rFonts w:ascii="Arial" w:eastAsia="Times New Roman" w:hAnsi="Arial" w:cs="Arial"/>
                <w:sz w:val="12"/>
                <w:szCs w:val="12"/>
                <w:bdr w:val="none" w:sz="0" w:space="0" w:color="auto"/>
              </w:rPr>
              <w:br/>
              <w:t>b) financimin e kontrolleve zyrtare;</w:t>
            </w:r>
            <w:r w:rsidRPr="00266759">
              <w:rPr>
                <w:rFonts w:ascii="Arial" w:eastAsia="Times New Roman" w:hAnsi="Arial" w:cs="Arial"/>
                <w:sz w:val="12"/>
                <w:szCs w:val="12"/>
                <w:bdr w:val="none" w:sz="0" w:space="0" w:color="auto"/>
              </w:rPr>
              <w:br/>
              <w:t>c) miratimin dhe zbatimin e kushteve që duhet të përmbushin kafshët dhe mallrat që hyjnë në territorin e Republikës së Shqipërisë nga shtete që nuk janë shtete anëtare të BE-së;</w:t>
            </w:r>
            <w:r w:rsidRPr="00266759">
              <w:rPr>
                <w:rFonts w:ascii="Arial" w:eastAsia="Times New Roman" w:hAnsi="Arial" w:cs="Arial"/>
                <w:sz w:val="12"/>
                <w:szCs w:val="12"/>
                <w:bdr w:val="none" w:sz="0" w:space="0" w:color="auto"/>
              </w:rPr>
              <w:br/>
              <w:t>d) ngritjen e një sistemi informacioni të kompjuterizuar për të menaxhuar informacionin dhe të dhënat që i përkasin kontrolleve zyrtare;</w:t>
            </w:r>
          </w:p>
        </w:tc>
        <w:tc>
          <w:tcPr>
            <w:tcW w:w="328" w:type="pct"/>
            <w:tcBorders>
              <w:top w:val="nil"/>
              <w:left w:val="nil"/>
              <w:bottom w:val="single" w:sz="4" w:space="0" w:color="auto"/>
              <w:right w:val="single" w:sz="4" w:space="0" w:color="auto"/>
            </w:tcBorders>
            <w:shd w:val="clear" w:color="auto" w:fill="auto"/>
            <w:vAlign w:val="center"/>
            <w:hideMark/>
          </w:tcPr>
          <w:p w14:paraId="5F3B110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kapitujt 11-12</w:t>
            </w:r>
          </w:p>
        </w:tc>
        <w:tc>
          <w:tcPr>
            <w:tcW w:w="409" w:type="pct"/>
            <w:tcBorders>
              <w:top w:val="nil"/>
              <w:left w:val="nil"/>
              <w:bottom w:val="single" w:sz="4" w:space="0" w:color="auto"/>
              <w:right w:val="single" w:sz="4" w:space="0" w:color="auto"/>
            </w:tcBorders>
            <w:shd w:val="clear" w:color="auto" w:fill="auto"/>
            <w:vAlign w:val="center"/>
            <w:hideMark/>
          </w:tcPr>
          <w:p w14:paraId="7809A62A"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515" w:type="pct"/>
            <w:tcBorders>
              <w:top w:val="nil"/>
              <w:left w:val="nil"/>
              <w:bottom w:val="single" w:sz="4" w:space="0" w:color="auto"/>
              <w:right w:val="single" w:sz="4" w:space="0" w:color="auto"/>
            </w:tcBorders>
            <w:shd w:val="clear" w:color="auto" w:fill="auto"/>
            <w:vAlign w:val="center"/>
            <w:hideMark/>
          </w:tcPr>
          <w:p w14:paraId="25388AE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Strategjia Kombetare e Sigurise Ushqimore 2023-2027</w:t>
            </w:r>
          </w:p>
        </w:tc>
        <w:tc>
          <w:tcPr>
            <w:tcW w:w="332" w:type="pct"/>
            <w:tcBorders>
              <w:top w:val="nil"/>
              <w:left w:val="nil"/>
              <w:bottom w:val="single" w:sz="4" w:space="0" w:color="auto"/>
              <w:right w:val="single" w:sz="4" w:space="0" w:color="auto"/>
            </w:tcBorders>
            <w:shd w:val="clear" w:color="auto" w:fill="auto"/>
            <w:vAlign w:val="center"/>
            <w:hideMark/>
          </w:tcPr>
          <w:p w14:paraId="05366EB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 ndikim ekonomik dhe financial</w:t>
            </w:r>
          </w:p>
        </w:tc>
      </w:tr>
      <w:tr w:rsidR="00266759" w:rsidRPr="00266759" w14:paraId="2B915A5A" w14:textId="77777777" w:rsidTr="00266759">
        <w:trPr>
          <w:trHeight w:val="180"/>
        </w:trPr>
        <w:tc>
          <w:tcPr>
            <w:tcW w:w="137" w:type="pct"/>
            <w:tcBorders>
              <w:top w:val="nil"/>
              <w:left w:val="single" w:sz="4" w:space="0" w:color="auto"/>
              <w:bottom w:val="single" w:sz="4" w:space="0" w:color="auto"/>
              <w:right w:val="single" w:sz="4" w:space="0" w:color="auto"/>
            </w:tcBorders>
            <w:shd w:val="clear" w:color="auto" w:fill="auto"/>
            <w:vAlign w:val="center"/>
            <w:hideMark/>
          </w:tcPr>
          <w:p w14:paraId="3AE00D7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266759">
              <w:rPr>
                <w:rFonts w:ascii="Arial" w:eastAsia="Times New Roman" w:hAnsi="Arial" w:cs="Arial"/>
                <w:color w:val="000000"/>
                <w:sz w:val="12"/>
                <w:szCs w:val="12"/>
                <w:bdr w:val="none" w:sz="0" w:space="0" w:color="auto"/>
              </w:rPr>
              <w:t>20</w:t>
            </w:r>
          </w:p>
        </w:tc>
        <w:tc>
          <w:tcPr>
            <w:tcW w:w="783" w:type="pct"/>
            <w:tcBorders>
              <w:top w:val="nil"/>
              <w:left w:val="nil"/>
              <w:bottom w:val="single" w:sz="4" w:space="0" w:color="auto"/>
              <w:right w:val="single" w:sz="4" w:space="0" w:color="auto"/>
            </w:tcBorders>
            <w:shd w:val="clear" w:color="auto" w:fill="auto"/>
            <w:vAlign w:val="center"/>
            <w:hideMark/>
          </w:tcPr>
          <w:p w14:paraId="40712CA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 "Per disa ndryshime në ligjin Nr.10416 per Materialin Mbjelles dhe Shumezues Bimor"</w:t>
            </w:r>
          </w:p>
        </w:tc>
        <w:tc>
          <w:tcPr>
            <w:tcW w:w="350" w:type="pct"/>
            <w:tcBorders>
              <w:top w:val="nil"/>
              <w:left w:val="nil"/>
              <w:bottom w:val="single" w:sz="4" w:space="0" w:color="auto"/>
              <w:right w:val="single" w:sz="4" w:space="0" w:color="auto"/>
            </w:tcBorders>
            <w:shd w:val="clear" w:color="auto" w:fill="auto"/>
            <w:vAlign w:val="center"/>
            <w:hideMark/>
          </w:tcPr>
          <w:p w14:paraId="50CAD2C4"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 xml:space="preserve">Projektligj </w:t>
            </w:r>
          </w:p>
        </w:tc>
        <w:tc>
          <w:tcPr>
            <w:tcW w:w="385" w:type="pct"/>
            <w:tcBorders>
              <w:top w:val="nil"/>
              <w:left w:val="nil"/>
              <w:bottom w:val="single" w:sz="4" w:space="0" w:color="auto"/>
              <w:right w:val="single" w:sz="4" w:space="0" w:color="auto"/>
            </w:tcBorders>
            <w:shd w:val="clear" w:color="auto" w:fill="auto"/>
            <w:vAlign w:val="center"/>
            <w:hideMark/>
          </w:tcPr>
          <w:p w14:paraId="100489B7"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Ministri i Bujqesise dhe Zhvillimit Rural</w:t>
            </w:r>
          </w:p>
        </w:tc>
        <w:tc>
          <w:tcPr>
            <w:tcW w:w="319" w:type="pct"/>
            <w:tcBorders>
              <w:top w:val="nil"/>
              <w:left w:val="nil"/>
              <w:bottom w:val="single" w:sz="4" w:space="0" w:color="auto"/>
              <w:right w:val="single" w:sz="4" w:space="0" w:color="auto"/>
            </w:tcBorders>
            <w:shd w:val="clear" w:color="auto" w:fill="auto"/>
            <w:vAlign w:val="center"/>
            <w:hideMark/>
          </w:tcPr>
          <w:p w14:paraId="1923E329"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Katërmujori III</w:t>
            </w:r>
          </w:p>
        </w:tc>
        <w:tc>
          <w:tcPr>
            <w:tcW w:w="768" w:type="pct"/>
            <w:tcBorders>
              <w:top w:val="nil"/>
              <w:left w:val="nil"/>
              <w:bottom w:val="single" w:sz="4" w:space="0" w:color="auto"/>
              <w:right w:val="single" w:sz="4" w:space="0" w:color="auto"/>
            </w:tcBorders>
            <w:shd w:val="clear" w:color="auto" w:fill="auto"/>
            <w:vAlign w:val="center"/>
            <w:hideMark/>
          </w:tcPr>
          <w:p w14:paraId="10CE5FC8"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Ky ligj do te permiresoje rregullat per sigurimin e cilesise se Materialit Mbjelles dhe Shumezues Bimor per Mbeshtetjen e Prodhimit Bujqesor, Mbrojtjen e mjedisit dhe konsumatorin</w:t>
            </w:r>
          </w:p>
        </w:tc>
        <w:tc>
          <w:tcPr>
            <w:tcW w:w="673" w:type="pct"/>
            <w:tcBorders>
              <w:top w:val="nil"/>
              <w:left w:val="nil"/>
              <w:bottom w:val="single" w:sz="4" w:space="0" w:color="auto"/>
              <w:right w:val="single" w:sz="4" w:space="0" w:color="auto"/>
            </w:tcBorders>
            <w:shd w:val="clear" w:color="auto" w:fill="auto"/>
            <w:vAlign w:val="center"/>
            <w:hideMark/>
          </w:tcPr>
          <w:p w14:paraId="583D44DC"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Ky ligj do te permiresoj rregullat per sigurimin e cilesise se Materialit Mbjelles dhe Shumezues Bimor per Mbeshtetjen e Prodhimit Bujqesor, Mbrojtjen e mjedisit dhe konsumatorin</w:t>
            </w:r>
          </w:p>
        </w:tc>
        <w:tc>
          <w:tcPr>
            <w:tcW w:w="328" w:type="pct"/>
            <w:tcBorders>
              <w:top w:val="nil"/>
              <w:left w:val="nil"/>
              <w:bottom w:val="single" w:sz="4" w:space="0" w:color="auto"/>
              <w:right w:val="single" w:sz="4" w:space="0" w:color="auto"/>
            </w:tcBorders>
            <w:shd w:val="clear" w:color="auto" w:fill="auto"/>
            <w:vAlign w:val="center"/>
            <w:hideMark/>
          </w:tcPr>
          <w:p w14:paraId="41879785"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c>
          <w:tcPr>
            <w:tcW w:w="409" w:type="pct"/>
            <w:tcBorders>
              <w:top w:val="nil"/>
              <w:left w:val="nil"/>
              <w:bottom w:val="single" w:sz="4" w:space="0" w:color="auto"/>
              <w:right w:val="single" w:sz="4" w:space="0" w:color="auto"/>
            </w:tcBorders>
            <w:shd w:val="clear" w:color="auto" w:fill="auto"/>
            <w:vAlign w:val="center"/>
            <w:hideMark/>
          </w:tcPr>
          <w:p w14:paraId="09CC9CDD"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po</w:t>
            </w:r>
          </w:p>
        </w:tc>
        <w:tc>
          <w:tcPr>
            <w:tcW w:w="515" w:type="pct"/>
            <w:tcBorders>
              <w:top w:val="nil"/>
              <w:left w:val="nil"/>
              <w:bottom w:val="single" w:sz="4" w:space="0" w:color="auto"/>
              <w:right w:val="single" w:sz="4" w:space="0" w:color="auto"/>
            </w:tcBorders>
            <w:shd w:val="clear" w:color="auto" w:fill="auto"/>
            <w:vAlign w:val="center"/>
            <w:hideMark/>
          </w:tcPr>
          <w:p w14:paraId="09AA9212"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Strategjia Kombetare e Sigurise Ushqimore 2023-2027</w:t>
            </w:r>
          </w:p>
        </w:tc>
        <w:tc>
          <w:tcPr>
            <w:tcW w:w="332" w:type="pct"/>
            <w:tcBorders>
              <w:top w:val="nil"/>
              <w:left w:val="nil"/>
              <w:bottom w:val="single" w:sz="4" w:space="0" w:color="auto"/>
              <w:right w:val="single" w:sz="4" w:space="0" w:color="auto"/>
            </w:tcBorders>
            <w:shd w:val="clear" w:color="auto" w:fill="auto"/>
            <w:vAlign w:val="center"/>
            <w:hideMark/>
          </w:tcPr>
          <w:p w14:paraId="6FB27076" w14:textId="77777777" w:rsidR="00266759" w:rsidRPr="00266759" w:rsidRDefault="00266759" w:rsidP="00266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266759">
              <w:rPr>
                <w:rFonts w:ascii="Arial" w:eastAsia="Times New Roman" w:hAnsi="Arial" w:cs="Arial"/>
                <w:sz w:val="12"/>
                <w:szCs w:val="12"/>
                <w:bdr w:val="none" w:sz="0" w:space="0" w:color="auto"/>
              </w:rPr>
              <w:t>JO</w:t>
            </w:r>
          </w:p>
        </w:tc>
      </w:tr>
    </w:tbl>
    <w:p w14:paraId="6A6652C0" w14:textId="72818CCD" w:rsidR="00B07E49" w:rsidRDefault="00B07E49" w:rsidP="009F3407">
      <w:pPr>
        <w:pStyle w:val="BodyA"/>
        <w:jc w:val="center"/>
        <w:rPr>
          <w:sz w:val="28"/>
          <w:szCs w:val="28"/>
          <w:lang w:val="it-IT"/>
        </w:rPr>
      </w:pPr>
    </w:p>
    <w:p w14:paraId="6F039ABE" w14:textId="3E7E79C3" w:rsidR="00B07E49" w:rsidRDefault="00B07E49" w:rsidP="009F3407">
      <w:pPr>
        <w:pStyle w:val="BodyA"/>
        <w:jc w:val="center"/>
        <w:rPr>
          <w:sz w:val="28"/>
          <w:szCs w:val="28"/>
          <w:lang w:val="it-IT"/>
        </w:rPr>
      </w:pPr>
    </w:p>
    <w:p w14:paraId="1511F5ED" w14:textId="6D143CEB" w:rsidR="00DC0040" w:rsidRDefault="00DC0040" w:rsidP="009F3407">
      <w:pPr>
        <w:pStyle w:val="BodyA"/>
        <w:jc w:val="center"/>
        <w:rPr>
          <w:sz w:val="28"/>
          <w:szCs w:val="28"/>
          <w:lang w:val="it-IT"/>
        </w:rPr>
      </w:pPr>
    </w:p>
    <w:p w14:paraId="3C71E993" w14:textId="791A7CF2" w:rsidR="00DC0040" w:rsidRDefault="00DC0040" w:rsidP="009F3407">
      <w:pPr>
        <w:pStyle w:val="BodyA"/>
        <w:jc w:val="center"/>
        <w:rPr>
          <w:sz w:val="28"/>
          <w:szCs w:val="28"/>
          <w:lang w:val="it-IT"/>
        </w:rPr>
      </w:pPr>
    </w:p>
    <w:p w14:paraId="08385A3C" w14:textId="74EA6F42" w:rsidR="00DC0040" w:rsidRDefault="00DC0040" w:rsidP="009F3407">
      <w:pPr>
        <w:pStyle w:val="BodyA"/>
        <w:jc w:val="center"/>
        <w:rPr>
          <w:sz w:val="28"/>
          <w:szCs w:val="28"/>
          <w:lang w:val="it-IT"/>
        </w:rPr>
      </w:pPr>
    </w:p>
    <w:p w14:paraId="60BB3168" w14:textId="08635B7F" w:rsidR="00DC0040" w:rsidRDefault="00DC0040" w:rsidP="009F3407">
      <w:pPr>
        <w:pStyle w:val="BodyA"/>
        <w:jc w:val="center"/>
        <w:rPr>
          <w:sz w:val="28"/>
          <w:szCs w:val="28"/>
          <w:lang w:val="it-IT"/>
        </w:rPr>
      </w:pPr>
    </w:p>
    <w:p w14:paraId="66B9BC26" w14:textId="7E73F3AA" w:rsidR="00DC0040" w:rsidRDefault="00DC0040" w:rsidP="009F3407">
      <w:pPr>
        <w:pStyle w:val="BodyA"/>
        <w:jc w:val="center"/>
        <w:rPr>
          <w:sz w:val="28"/>
          <w:szCs w:val="28"/>
          <w:lang w:val="it-IT"/>
        </w:rPr>
      </w:pPr>
    </w:p>
    <w:p w14:paraId="4157B63F" w14:textId="7962E11F" w:rsidR="00DC0040" w:rsidRDefault="00DC0040" w:rsidP="009F3407">
      <w:pPr>
        <w:pStyle w:val="BodyA"/>
        <w:jc w:val="center"/>
        <w:rPr>
          <w:sz w:val="28"/>
          <w:szCs w:val="28"/>
          <w:lang w:val="it-IT"/>
        </w:rPr>
      </w:pPr>
    </w:p>
    <w:p w14:paraId="61636A2E" w14:textId="3DED53BB" w:rsidR="00C43D83" w:rsidRDefault="00C43D83" w:rsidP="009F3407">
      <w:pPr>
        <w:pStyle w:val="BodyA"/>
        <w:jc w:val="center"/>
        <w:rPr>
          <w:sz w:val="28"/>
          <w:szCs w:val="28"/>
          <w:lang w:val="it-IT"/>
        </w:rPr>
      </w:pPr>
    </w:p>
    <w:tbl>
      <w:tblPr>
        <w:tblW w:w="5000" w:type="pct"/>
        <w:tblLook w:val="04A0" w:firstRow="1" w:lastRow="0" w:firstColumn="1" w:lastColumn="0" w:noHBand="0" w:noVBand="1"/>
      </w:tblPr>
      <w:tblGrid>
        <w:gridCol w:w="383"/>
        <w:gridCol w:w="1939"/>
        <w:gridCol w:w="977"/>
        <w:gridCol w:w="1223"/>
        <w:gridCol w:w="963"/>
        <w:gridCol w:w="1428"/>
        <w:gridCol w:w="2587"/>
        <w:gridCol w:w="1190"/>
        <w:gridCol w:w="1130"/>
        <w:gridCol w:w="1242"/>
        <w:gridCol w:w="896"/>
      </w:tblGrid>
      <w:tr w:rsidR="00C43D83" w:rsidRPr="00C43D83" w14:paraId="17887EAA" w14:textId="77777777" w:rsidTr="00C43D83">
        <w:trPr>
          <w:trHeight w:val="180"/>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4F33F69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C43D83">
              <w:rPr>
                <w:rFonts w:ascii="Arial" w:eastAsia="Times New Roman" w:hAnsi="Arial" w:cs="Arial"/>
                <w:b/>
                <w:bCs/>
                <w:color w:val="000000"/>
                <w:sz w:val="12"/>
                <w:szCs w:val="12"/>
                <w:bdr w:val="none" w:sz="0" w:space="0" w:color="auto"/>
              </w:rPr>
              <w:t>Programi i Përgjithshëm Analitik i Projektakteve për vitin 2024</w:t>
            </w:r>
          </w:p>
        </w:tc>
      </w:tr>
      <w:tr w:rsidR="00C43D83" w:rsidRPr="00C43D83" w14:paraId="64854E73" w14:textId="77777777" w:rsidTr="00C43D83">
        <w:trPr>
          <w:trHeight w:val="180"/>
        </w:trPr>
        <w:tc>
          <w:tcPr>
            <w:tcW w:w="5000" w:type="pct"/>
            <w:gridSpan w:val="11"/>
            <w:tcBorders>
              <w:top w:val="single" w:sz="4" w:space="0" w:color="FFFFFF"/>
              <w:left w:val="nil"/>
              <w:bottom w:val="nil"/>
              <w:right w:val="nil"/>
            </w:tcBorders>
            <w:shd w:val="clear" w:color="000000" w:fill="F2F2F2"/>
            <w:vAlign w:val="center"/>
            <w:hideMark/>
          </w:tcPr>
          <w:p w14:paraId="6A6FF7E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C43D83">
              <w:rPr>
                <w:rFonts w:ascii="Arial" w:eastAsia="Times New Roman" w:hAnsi="Arial" w:cs="Arial"/>
                <w:b/>
                <w:bCs/>
                <w:color w:val="000000"/>
                <w:sz w:val="12"/>
                <w:szCs w:val="12"/>
                <w:bdr w:val="none" w:sz="0" w:space="0" w:color="auto"/>
              </w:rPr>
              <w:t>Ministria e Drejtësisë</w:t>
            </w:r>
          </w:p>
        </w:tc>
      </w:tr>
      <w:tr w:rsidR="00C43D83" w:rsidRPr="00C43D83" w14:paraId="6E2A2D05" w14:textId="77777777" w:rsidTr="00C43D83">
        <w:trPr>
          <w:trHeight w:val="180"/>
        </w:trPr>
        <w:tc>
          <w:tcPr>
            <w:tcW w:w="100" w:type="pct"/>
            <w:tcBorders>
              <w:top w:val="single" w:sz="8" w:space="0" w:color="auto"/>
              <w:left w:val="single" w:sz="8" w:space="0" w:color="auto"/>
              <w:bottom w:val="nil"/>
              <w:right w:val="nil"/>
            </w:tcBorders>
            <w:shd w:val="clear" w:color="000000" w:fill="C00000"/>
            <w:vAlign w:val="center"/>
            <w:hideMark/>
          </w:tcPr>
          <w:p w14:paraId="691F783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Nr.</w:t>
            </w:r>
          </w:p>
        </w:tc>
        <w:tc>
          <w:tcPr>
            <w:tcW w:w="735" w:type="pct"/>
            <w:tcBorders>
              <w:top w:val="single" w:sz="8" w:space="0" w:color="auto"/>
              <w:left w:val="single" w:sz="4" w:space="0" w:color="FFFFFF"/>
              <w:bottom w:val="nil"/>
              <w:right w:val="single" w:sz="4" w:space="0" w:color="FFFFFF"/>
            </w:tcBorders>
            <w:shd w:val="clear" w:color="000000" w:fill="C00000"/>
            <w:vAlign w:val="center"/>
            <w:hideMark/>
          </w:tcPr>
          <w:p w14:paraId="7753485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Titulli i projektaktit</w:t>
            </w:r>
          </w:p>
        </w:tc>
        <w:tc>
          <w:tcPr>
            <w:tcW w:w="371" w:type="pct"/>
            <w:tcBorders>
              <w:top w:val="single" w:sz="8" w:space="0" w:color="auto"/>
              <w:left w:val="nil"/>
              <w:bottom w:val="nil"/>
              <w:right w:val="single" w:sz="4" w:space="0" w:color="FFFFFF"/>
            </w:tcBorders>
            <w:shd w:val="clear" w:color="000000" w:fill="C00000"/>
            <w:vAlign w:val="center"/>
            <w:hideMark/>
          </w:tcPr>
          <w:p w14:paraId="510B2F8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Lloji i projektaktit</w:t>
            </w:r>
          </w:p>
        </w:tc>
        <w:tc>
          <w:tcPr>
            <w:tcW w:w="450" w:type="pct"/>
            <w:tcBorders>
              <w:top w:val="single" w:sz="8" w:space="0" w:color="auto"/>
              <w:left w:val="nil"/>
              <w:bottom w:val="nil"/>
              <w:right w:val="nil"/>
            </w:tcBorders>
            <w:shd w:val="clear" w:color="000000" w:fill="C00000"/>
            <w:vAlign w:val="center"/>
            <w:hideMark/>
          </w:tcPr>
          <w:p w14:paraId="352C67D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Ministri propozues</w:t>
            </w:r>
          </w:p>
        </w:tc>
        <w:tc>
          <w:tcPr>
            <w:tcW w:w="284" w:type="pct"/>
            <w:tcBorders>
              <w:top w:val="single" w:sz="8" w:space="0" w:color="auto"/>
              <w:left w:val="single" w:sz="4" w:space="0" w:color="FFFFFF"/>
              <w:bottom w:val="nil"/>
              <w:right w:val="nil"/>
            </w:tcBorders>
            <w:shd w:val="clear" w:color="000000" w:fill="C00000"/>
            <w:vAlign w:val="center"/>
            <w:hideMark/>
          </w:tcPr>
          <w:p w14:paraId="0397F28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Katër mujori</w:t>
            </w:r>
          </w:p>
        </w:tc>
        <w:tc>
          <w:tcPr>
            <w:tcW w:w="599" w:type="pct"/>
            <w:tcBorders>
              <w:top w:val="single" w:sz="8" w:space="0" w:color="auto"/>
              <w:left w:val="single" w:sz="4" w:space="0" w:color="FFFFFF"/>
              <w:bottom w:val="nil"/>
              <w:right w:val="nil"/>
            </w:tcBorders>
            <w:shd w:val="clear" w:color="000000" w:fill="C00000"/>
            <w:vAlign w:val="center"/>
            <w:hideMark/>
          </w:tcPr>
          <w:p w14:paraId="7740F07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Arsyet kryesore për propozimin e projektaktit</w:t>
            </w:r>
          </w:p>
        </w:tc>
        <w:tc>
          <w:tcPr>
            <w:tcW w:w="967" w:type="pct"/>
            <w:tcBorders>
              <w:top w:val="single" w:sz="8" w:space="0" w:color="auto"/>
              <w:left w:val="single" w:sz="4" w:space="0" w:color="FFFFFF"/>
              <w:bottom w:val="nil"/>
              <w:right w:val="single" w:sz="4" w:space="0" w:color="FFFFFF"/>
            </w:tcBorders>
            <w:shd w:val="clear" w:color="000000" w:fill="C00000"/>
            <w:vAlign w:val="center"/>
            <w:hideMark/>
          </w:tcPr>
          <w:p w14:paraId="115554D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 xml:space="preserve">Çështjet kryesore që parashikon të rregullojë projektakti </w:t>
            </w:r>
          </w:p>
        </w:tc>
        <w:tc>
          <w:tcPr>
            <w:tcW w:w="260" w:type="pct"/>
            <w:tcBorders>
              <w:top w:val="single" w:sz="8" w:space="0" w:color="auto"/>
              <w:left w:val="nil"/>
              <w:bottom w:val="nil"/>
              <w:right w:val="single" w:sz="4" w:space="0" w:color="FFFFFF"/>
            </w:tcBorders>
            <w:shd w:val="clear" w:color="000000" w:fill="C00000"/>
            <w:vAlign w:val="center"/>
            <w:hideMark/>
          </w:tcPr>
          <w:p w14:paraId="11A415F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A është parashikuar projektakti në PKIE?</w:t>
            </w:r>
            <w:r w:rsidRPr="00C43D83">
              <w:rPr>
                <w:rFonts w:ascii="Arial" w:eastAsia="Times New Roman" w:hAnsi="Arial" w:cs="Arial"/>
                <w:b/>
                <w:bCs/>
                <w:color w:val="FFFFFF"/>
                <w:sz w:val="12"/>
                <w:szCs w:val="12"/>
                <w:bdr w:val="none" w:sz="0" w:space="0" w:color="auto"/>
              </w:rPr>
              <w:br/>
            </w:r>
            <w:r w:rsidRPr="00C43D83">
              <w:rPr>
                <w:rFonts w:ascii="Arial" w:eastAsia="Times New Roman" w:hAnsi="Arial" w:cs="Arial"/>
                <w:b/>
                <w:bCs/>
                <w:color w:val="FFFFFF"/>
                <w:sz w:val="12"/>
                <w:szCs w:val="12"/>
                <w:bdr w:val="none" w:sz="0" w:space="0" w:color="auto"/>
              </w:rPr>
              <w:br/>
              <w:t>Nëse po, të specifikohet kapitulli përkatës</w:t>
            </w:r>
          </w:p>
        </w:tc>
        <w:tc>
          <w:tcPr>
            <w:tcW w:w="388" w:type="pct"/>
            <w:tcBorders>
              <w:top w:val="single" w:sz="8" w:space="0" w:color="auto"/>
              <w:left w:val="nil"/>
              <w:bottom w:val="nil"/>
              <w:right w:val="single" w:sz="4" w:space="0" w:color="FFFFFF"/>
            </w:tcBorders>
            <w:shd w:val="clear" w:color="000000" w:fill="C00000"/>
            <w:vAlign w:val="center"/>
            <w:hideMark/>
          </w:tcPr>
          <w:p w14:paraId="5EEB9379"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Përputhshmëria e projektaktit me programin politik qeverisës 2021-2025</w:t>
            </w:r>
            <w:r w:rsidRPr="00C43D83">
              <w:rPr>
                <w:rFonts w:ascii="Arial" w:eastAsia="Times New Roman" w:hAnsi="Arial" w:cs="Arial"/>
                <w:b/>
                <w:bCs/>
                <w:color w:val="FFFFFF"/>
                <w:sz w:val="12"/>
                <w:szCs w:val="12"/>
                <w:bdr w:val="none" w:sz="0" w:space="0" w:color="auto"/>
              </w:rPr>
              <w:br/>
            </w:r>
            <w:r w:rsidRPr="00C43D83">
              <w:rPr>
                <w:rFonts w:ascii="Arial" w:eastAsia="Times New Roman" w:hAnsi="Arial" w:cs="Arial"/>
                <w:b/>
                <w:bCs/>
                <w:color w:val="FFFFFF"/>
                <w:sz w:val="12"/>
                <w:szCs w:val="12"/>
                <w:bdr w:val="none" w:sz="0" w:space="0" w:color="auto"/>
              </w:rPr>
              <w:br/>
              <w:t>Nëse përputhet, të jepet  referenca e saktë në progam</w:t>
            </w:r>
          </w:p>
        </w:tc>
        <w:tc>
          <w:tcPr>
            <w:tcW w:w="485" w:type="pct"/>
            <w:tcBorders>
              <w:top w:val="single" w:sz="8" w:space="0" w:color="auto"/>
              <w:left w:val="nil"/>
              <w:bottom w:val="nil"/>
              <w:right w:val="single" w:sz="4" w:space="0" w:color="FFFFFF"/>
            </w:tcBorders>
            <w:shd w:val="clear" w:color="000000" w:fill="C00000"/>
            <w:vAlign w:val="center"/>
            <w:hideMark/>
          </w:tcPr>
          <w:p w14:paraId="0E8574A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Lidhja e projektaktit me strategjitë kombëtare dhe sektoriale</w:t>
            </w:r>
            <w:r w:rsidRPr="00C43D83">
              <w:rPr>
                <w:rFonts w:ascii="Arial" w:eastAsia="Times New Roman" w:hAnsi="Arial" w:cs="Arial"/>
                <w:b/>
                <w:bCs/>
                <w:color w:val="FFFFFF"/>
                <w:sz w:val="12"/>
                <w:szCs w:val="12"/>
                <w:bdr w:val="none" w:sz="0" w:space="0" w:color="auto"/>
              </w:rPr>
              <w:br/>
            </w:r>
            <w:r w:rsidRPr="00C43D83">
              <w:rPr>
                <w:rFonts w:ascii="Arial" w:eastAsia="Times New Roman" w:hAnsi="Arial" w:cs="Arial"/>
                <w:b/>
                <w:bCs/>
                <w:color w:val="FFFFFF"/>
                <w:sz w:val="12"/>
                <w:szCs w:val="12"/>
                <w:bdr w:val="none" w:sz="0" w:space="0" w:color="auto"/>
              </w:rPr>
              <w:br/>
              <w:t>Nëse lidhet, të specifikohen strategjitë</w:t>
            </w:r>
          </w:p>
        </w:tc>
        <w:tc>
          <w:tcPr>
            <w:tcW w:w="360" w:type="pct"/>
            <w:tcBorders>
              <w:top w:val="single" w:sz="8" w:space="0" w:color="auto"/>
              <w:left w:val="nil"/>
              <w:bottom w:val="nil"/>
              <w:right w:val="nil"/>
            </w:tcBorders>
            <w:shd w:val="clear" w:color="000000" w:fill="C00000"/>
            <w:vAlign w:val="center"/>
            <w:hideMark/>
          </w:tcPr>
          <w:p w14:paraId="30D81F0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43D83">
              <w:rPr>
                <w:rFonts w:ascii="Arial" w:eastAsia="Times New Roman" w:hAnsi="Arial" w:cs="Arial"/>
                <w:b/>
                <w:bCs/>
                <w:color w:val="FFFFFF"/>
                <w:sz w:val="12"/>
                <w:szCs w:val="12"/>
                <w:bdr w:val="none" w:sz="0" w:space="0" w:color="auto"/>
              </w:rPr>
              <w:t>Ndikimet e mundshme ekonomike, financiare, sociale dhe mjedisore</w:t>
            </w:r>
            <w:r w:rsidRPr="00C43D83">
              <w:rPr>
                <w:rFonts w:ascii="Arial" w:eastAsia="Times New Roman" w:hAnsi="Arial" w:cs="Arial"/>
                <w:b/>
                <w:bCs/>
                <w:color w:val="FFFFFF"/>
                <w:sz w:val="12"/>
                <w:szCs w:val="12"/>
                <w:bdr w:val="none" w:sz="0" w:space="0" w:color="auto"/>
              </w:rPr>
              <w:br/>
            </w:r>
            <w:r w:rsidRPr="00C43D83">
              <w:rPr>
                <w:rFonts w:ascii="Arial" w:eastAsia="Times New Roman" w:hAnsi="Arial" w:cs="Arial"/>
                <w:b/>
                <w:bCs/>
                <w:color w:val="FFFFFF"/>
                <w:sz w:val="12"/>
                <w:szCs w:val="12"/>
                <w:bdr w:val="none" w:sz="0" w:space="0" w:color="auto"/>
              </w:rPr>
              <w:br/>
              <w:t xml:space="preserve">Përgjigjuni me Po/Jo për ndikimet përkatëse </w:t>
            </w:r>
          </w:p>
        </w:tc>
      </w:tr>
      <w:tr w:rsidR="00C43D83" w:rsidRPr="00C43D83" w14:paraId="2A357094"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630E19D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w:t>
            </w:r>
          </w:p>
        </w:tc>
        <w:tc>
          <w:tcPr>
            <w:tcW w:w="735" w:type="pct"/>
            <w:tcBorders>
              <w:top w:val="single" w:sz="4" w:space="0" w:color="auto"/>
              <w:left w:val="nil"/>
              <w:bottom w:val="single" w:sz="4" w:space="0" w:color="auto"/>
              <w:right w:val="single" w:sz="4" w:space="0" w:color="auto"/>
            </w:tcBorders>
            <w:shd w:val="clear" w:color="auto" w:fill="auto"/>
            <w:vAlign w:val="center"/>
            <w:hideMark/>
          </w:tcPr>
          <w:p w14:paraId="2F02453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disa shtesa dhe ndryshime në ligjin nr. 82/2021, ”Për përkthimin zyrtar dhe profesionin e përkthyesit zyrtar”</w:t>
            </w:r>
          </w:p>
        </w:tc>
        <w:tc>
          <w:tcPr>
            <w:tcW w:w="371" w:type="pct"/>
            <w:tcBorders>
              <w:top w:val="single" w:sz="4" w:space="0" w:color="auto"/>
              <w:left w:val="nil"/>
              <w:bottom w:val="single" w:sz="4" w:space="0" w:color="auto"/>
              <w:right w:val="single" w:sz="4" w:space="0" w:color="auto"/>
            </w:tcBorders>
            <w:shd w:val="clear" w:color="auto" w:fill="auto"/>
            <w:noWrap/>
            <w:vAlign w:val="center"/>
            <w:hideMark/>
          </w:tcPr>
          <w:p w14:paraId="05262F5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24F2E6B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14:paraId="1589A03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5BD5595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Miratimi i këtij projektligji diktohet nga nevoja për adresimin e disa çështjeve që janë evidentuar si problematike gjatë zbatimit të ligjit nr. 82/2021, ”Për përkthimin zyrtar dhe profesionin e përkthyesit zyrtar”, si dhe përafrimi me Direktivën 2010/64/BE e Parlamentit Evropian dhe e Këshillit e datës 20 tetor 2010 mbi të drejtën e interpretimit dhe përkthimit në procesin penal.</w:t>
            </w:r>
          </w:p>
        </w:tc>
        <w:tc>
          <w:tcPr>
            <w:tcW w:w="967" w:type="pct"/>
            <w:tcBorders>
              <w:top w:val="single" w:sz="4" w:space="0" w:color="auto"/>
              <w:left w:val="nil"/>
              <w:bottom w:val="single" w:sz="4" w:space="0" w:color="auto"/>
              <w:right w:val="single" w:sz="4" w:space="0" w:color="auto"/>
            </w:tcBorders>
            <w:shd w:val="clear" w:color="auto" w:fill="auto"/>
            <w:vAlign w:val="center"/>
            <w:hideMark/>
          </w:tcPr>
          <w:p w14:paraId="22D1513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Ky projektligj synon të përmirësojë rregullat e ligjit të përkthimit zyrtar, nisur nga implementimi i tij në praktikë dhe problematikat e evidentuara gjatë aplikimit të këtyre rregullave ligjore, që të sigurojë shërbimin e përkthimit edhe për ato gjuhë për të cilat deri më tani nuk ka përkthyes zyrtar të certifikuar, si dhe të garantojë të drejtën e përkthimit në përputhje me Direktivën 2010/64/BE e Parlamentit Evropian dhe e Këshillit e datës 20 tetor 2010 mbi të drejtën e interpretimit dhe përkthimit në procesin penal.</w:t>
            </w:r>
          </w:p>
        </w:tc>
        <w:tc>
          <w:tcPr>
            <w:tcW w:w="260" w:type="pct"/>
            <w:tcBorders>
              <w:top w:val="single" w:sz="4" w:space="0" w:color="auto"/>
              <w:left w:val="nil"/>
              <w:bottom w:val="single" w:sz="4" w:space="0" w:color="auto"/>
              <w:right w:val="single" w:sz="4" w:space="0" w:color="auto"/>
            </w:tcBorders>
            <w:shd w:val="clear" w:color="auto" w:fill="auto"/>
            <w:vAlign w:val="center"/>
            <w:hideMark/>
          </w:tcPr>
          <w:p w14:paraId="5326B44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 Të drejtat e njeriut</w:t>
            </w:r>
          </w:p>
        </w:tc>
        <w:tc>
          <w:tcPr>
            <w:tcW w:w="388" w:type="pct"/>
            <w:tcBorders>
              <w:top w:val="single" w:sz="4" w:space="0" w:color="auto"/>
              <w:left w:val="nil"/>
              <w:bottom w:val="single" w:sz="4" w:space="0" w:color="auto"/>
              <w:right w:val="single" w:sz="4" w:space="0" w:color="auto"/>
            </w:tcBorders>
            <w:shd w:val="clear" w:color="auto" w:fill="auto"/>
            <w:noWrap/>
            <w:vAlign w:val="center"/>
            <w:hideMark/>
          </w:tcPr>
          <w:p w14:paraId="0EDEF23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14:paraId="19FE18F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PKIE</w:t>
            </w:r>
          </w:p>
        </w:tc>
        <w:tc>
          <w:tcPr>
            <w:tcW w:w="360" w:type="pct"/>
            <w:tcBorders>
              <w:top w:val="single" w:sz="4" w:space="0" w:color="auto"/>
              <w:left w:val="nil"/>
              <w:bottom w:val="single" w:sz="4" w:space="0" w:color="auto"/>
              <w:right w:val="single" w:sz="4" w:space="0" w:color="auto"/>
            </w:tcBorders>
            <w:shd w:val="clear" w:color="auto" w:fill="auto"/>
            <w:noWrap/>
            <w:vAlign w:val="center"/>
            <w:hideMark/>
          </w:tcPr>
          <w:p w14:paraId="440FB8E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7553475F"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5F2C9E8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2</w:t>
            </w:r>
          </w:p>
        </w:tc>
        <w:tc>
          <w:tcPr>
            <w:tcW w:w="735" w:type="pct"/>
            <w:tcBorders>
              <w:top w:val="nil"/>
              <w:left w:val="nil"/>
              <w:bottom w:val="single" w:sz="4" w:space="0" w:color="auto"/>
              <w:right w:val="single" w:sz="4" w:space="0" w:color="auto"/>
            </w:tcBorders>
            <w:shd w:val="clear" w:color="auto" w:fill="auto"/>
            <w:vAlign w:val="center"/>
            <w:hideMark/>
          </w:tcPr>
          <w:p w14:paraId="4DC9924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disa shtesa dhe ndryshime në vendimin nr. 55, datë 6.2.2019, të Këshillit të Ministrave “Për përcaktimin e procedurave dhe dokumentacionit për autorizimin e organizatave jofitimprurëse, që ofrojnë ndihmë juridike parësore të garantuar nga shteti”</w:t>
            </w:r>
          </w:p>
        </w:tc>
        <w:tc>
          <w:tcPr>
            <w:tcW w:w="371" w:type="pct"/>
            <w:tcBorders>
              <w:top w:val="nil"/>
              <w:left w:val="nil"/>
              <w:bottom w:val="single" w:sz="4" w:space="0" w:color="auto"/>
              <w:right w:val="single" w:sz="4" w:space="0" w:color="auto"/>
            </w:tcBorders>
            <w:shd w:val="clear" w:color="auto" w:fill="auto"/>
            <w:noWrap/>
            <w:vAlign w:val="center"/>
            <w:hideMark/>
          </w:tcPr>
          <w:p w14:paraId="48FE933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w:t>
            </w:r>
          </w:p>
        </w:tc>
        <w:tc>
          <w:tcPr>
            <w:tcW w:w="450" w:type="pct"/>
            <w:tcBorders>
              <w:top w:val="nil"/>
              <w:left w:val="nil"/>
              <w:bottom w:val="single" w:sz="4" w:space="0" w:color="auto"/>
              <w:right w:val="single" w:sz="4" w:space="0" w:color="auto"/>
            </w:tcBorders>
            <w:shd w:val="clear" w:color="auto" w:fill="auto"/>
            <w:noWrap/>
            <w:vAlign w:val="center"/>
            <w:hideMark/>
          </w:tcPr>
          <w:p w14:paraId="6961F5B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6E1BBCA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w:t>
            </w:r>
          </w:p>
        </w:tc>
        <w:tc>
          <w:tcPr>
            <w:tcW w:w="599" w:type="pct"/>
            <w:tcBorders>
              <w:top w:val="nil"/>
              <w:left w:val="nil"/>
              <w:bottom w:val="single" w:sz="4" w:space="0" w:color="auto"/>
              <w:right w:val="single" w:sz="4" w:space="0" w:color="auto"/>
            </w:tcBorders>
            <w:shd w:val="clear" w:color="auto" w:fill="auto"/>
            <w:vAlign w:val="center"/>
            <w:hideMark/>
          </w:tcPr>
          <w:p w14:paraId="392035D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Projektvendimi ka si qëllim rishikimin VKM nr. 55/2019, në kuadër të procesit të përqasjes së tij me Kodin e Procedurave Administrative si dhe me procesin e derregullimit duke ndryshuar rrënjësisht qasjen ndaj OJF-ve, duke lehtësuar procedurat dhe mënyrën e ofrimit të shërbimit publik, duke thjeshtëzuar procedurat dhe lehtësuar barrën e tyre për marrjen e autorizimin nga Ministri i Drejtësisë për ofrimin e ndihmës juridike </w:t>
            </w:r>
          </w:p>
        </w:tc>
        <w:tc>
          <w:tcPr>
            <w:tcW w:w="967" w:type="pct"/>
            <w:tcBorders>
              <w:top w:val="nil"/>
              <w:left w:val="nil"/>
              <w:bottom w:val="single" w:sz="4" w:space="0" w:color="auto"/>
              <w:right w:val="single" w:sz="4" w:space="0" w:color="auto"/>
            </w:tcBorders>
            <w:shd w:val="clear" w:color="auto" w:fill="auto"/>
            <w:vAlign w:val="center"/>
            <w:hideMark/>
          </w:tcPr>
          <w:p w14:paraId="23BE72B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Çështjet kryesore që parashikon të rregullojë projektakti lidhen me përputhshmërinë e disa prej dispozitave të VKM nr. 55/2019 me KPA, si dhe me heqjen nga lista e disa dokumenteve të cilat kërkohen të përcillen nga OJF</w:t>
            </w:r>
          </w:p>
        </w:tc>
        <w:tc>
          <w:tcPr>
            <w:tcW w:w="260" w:type="pct"/>
            <w:tcBorders>
              <w:top w:val="nil"/>
              <w:left w:val="nil"/>
              <w:bottom w:val="single" w:sz="4" w:space="0" w:color="auto"/>
              <w:right w:val="single" w:sz="4" w:space="0" w:color="auto"/>
            </w:tcBorders>
            <w:shd w:val="clear" w:color="auto" w:fill="auto"/>
            <w:noWrap/>
            <w:vAlign w:val="center"/>
            <w:hideMark/>
          </w:tcPr>
          <w:p w14:paraId="5C43A8C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2AADB88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658CC04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63BA18B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r>
      <w:tr w:rsidR="00C43D83" w:rsidRPr="00C43D83" w14:paraId="301F2F54"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16E6035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3</w:t>
            </w:r>
          </w:p>
        </w:tc>
        <w:tc>
          <w:tcPr>
            <w:tcW w:w="735" w:type="pct"/>
            <w:tcBorders>
              <w:top w:val="nil"/>
              <w:left w:val="nil"/>
              <w:bottom w:val="single" w:sz="4" w:space="0" w:color="auto"/>
              <w:right w:val="single" w:sz="4" w:space="0" w:color="auto"/>
            </w:tcBorders>
            <w:shd w:val="clear" w:color="auto" w:fill="auto"/>
            <w:vAlign w:val="center"/>
            <w:hideMark/>
          </w:tcPr>
          <w:p w14:paraId="111C10B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miratimin e</w:t>
            </w:r>
            <w:r w:rsidRPr="00C43D83">
              <w:rPr>
                <w:rFonts w:ascii="Arial" w:eastAsia="Times New Roman" w:hAnsi="Arial" w:cs="Arial"/>
                <w:color w:val="000000"/>
                <w:sz w:val="12"/>
                <w:szCs w:val="12"/>
                <w:bdr w:val="none" w:sz="0" w:space="0" w:color="auto"/>
              </w:rPr>
              <w:br/>
              <w:t>rekomandimeve</w:t>
            </w:r>
            <w:r w:rsidRPr="00C43D83">
              <w:rPr>
                <w:rFonts w:ascii="Arial" w:eastAsia="Times New Roman" w:hAnsi="Arial" w:cs="Arial"/>
                <w:color w:val="000000"/>
                <w:sz w:val="12"/>
                <w:szCs w:val="12"/>
                <w:bdr w:val="none" w:sz="0" w:space="0" w:color="auto"/>
              </w:rPr>
              <w:br/>
              <w:t>prioritare për</w:t>
            </w:r>
            <w:r w:rsidRPr="00C43D83">
              <w:rPr>
                <w:rFonts w:ascii="Arial" w:eastAsia="Times New Roman" w:hAnsi="Arial" w:cs="Arial"/>
                <w:color w:val="000000"/>
                <w:sz w:val="12"/>
                <w:szCs w:val="12"/>
                <w:bdr w:val="none" w:sz="0" w:space="0" w:color="auto"/>
              </w:rPr>
              <w:br/>
              <w:t>Prokurorin e</w:t>
            </w:r>
            <w:r w:rsidRPr="00C43D83">
              <w:rPr>
                <w:rFonts w:ascii="Arial" w:eastAsia="Times New Roman" w:hAnsi="Arial" w:cs="Arial"/>
                <w:color w:val="000000"/>
                <w:sz w:val="12"/>
                <w:szCs w:val="12"/>
                <w:bdr w:val="none" w:sz="0" w:space="0" w:color="auto"/>
              </w:rPr>
              <w:br/>
              <w:t>Përgjithshëm,</w:t>
            </w:r>
            <w:r w:rsidRPr="00C43D83">
              <w:rPr>
                <w:rFonts w:ascii="Arial" w:eastAsia="Times New Roman" w:hAnsi="Arial" w:cs="Arial"/>
                <w:color w:val="000000"/>
                <w:sz w:val="12"/>
                <w:szCs w:val="12"/>
                <w:bdr w:val="none" w:sz="0" w:space="0" w:color="auto"/>
              </w:rPr>
              <w:br/>
              <w:t>në luftën kundër</w:t>
            </w:r>
            <w:r w:rsidRPr="00C43D83">
              <w:rPr>
                <w:rFonts w:ascii="Arial" w:eastAsia="Times New Roman" w:hAnsi="Arial" w:cs="Arial"/>
                <w:color w:val="000000"/>
                <w:sz w:val="12"/>
                <w:szCs w:val="12"/>
                <w:bdr w:val="none" w:sz="0" w:space="0" w:color="auto"/>
              </w:rPr>
              <w:br/>
              <w:t>kriminalitetit,</w:t>
            </w:r>
            <w:r w:rsidRPr="00C43D83">
              <w:rPr>
                <w:rFonts w:ascii="Arial" w:eastAsia="Times New Roman" w:hAnsi="Arial" w:cs="Arial"/>
                <w:color w:val="000000"/>
                <w:sz w:val="12"/>
                <w:szCs w:val="12"/>
                <w:bdr w:val="none" w:sz="0" w:space="0" w:color="auto"/>
              </w:rPr>
              <w:br/>
              <w:t>për vitin 2023</w:t>
            </w:r>
          </w:p>
        </w:tc>
        <w:tc>
          <w:tcPr>
            <w:tcW w:w="371" w:type="pct"/>
            <w:tcBorders>
              <w:top w:val="nil"/>
              <w:left w:val="nil"/>
              <w:bottom w:val="single" w:sz="4" w:space="0" w:color="auto"/>
              <w:right w:val="single" w:sz="4" w:space="0" w:color="auto"/>
            </w:tcBorders>
            <w:shd w:val="clear" w:color="auto" w:fill="auto"/>
            <w:noWrap/>
            <w:vAlign w:val="center"/>
            <w:hideMark/>
          </w:tcPr>
          <w:p w14:paraId="7CBA98C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w:t>
            </w:r>
          </w:p>
        </w:tc>
        <w:tc>
          <w:tcPr>
            <w:tcW w:w="450" w:type="pct"/>
            <w:tcBorders>
              <w:top w:val="nil"/>
              <w:left w:val="nil"/>
              <w:bottom w:val="single" w:sz="4" w:space="0" w:color="auto"/>
              <w:right w:val="single" w:sz="4" w:space="0" w:color="auto"/>
            </w:tcBorders>
            <w:shd w:val="clear" w:color="auto" w:fill="auto"/>
            <w:noWrap/>
            <w:vAlign w:val="center"/>
            <w:hideMark/>
          </w:tcPr>
          <w:p w14:paraId="1D83984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5C76C0F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w:t>
            </w:r>
          </w:p>
        </w:tc>
        <w:tc>
          <w:tcPr>
            <w:tcW w:w="599" w:type="pct"/>
            <w:tcBorders>
              <w:top w:val="nil"/>
              <w:left w:val="nil"/>
              <w:bottom w:val="single" w:sz="4" w:space="0" w:color="auto"/>
              <w:right w:val="single" w:sz="4" w:space="0" w:color="auto"/>
            </w:tcBorders>
            <w:shd w:val="clear" w:color="auto" w:fill="auto"/>
            <w:vAlign w:val="center"/>
            <w:hideMark/>
          </w:tcPr>
          <w:p w14:paraId="52D60C1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Rekomandimet kanë për</w:t>
            </w:r>
            <w:r w:rsidRPr="00C43D83">
              <w:rPr>
                <w:rFonts w:ascii="Arial" w:eastAsia="Times New Roman" w:hAnsi="Arial" w:cs="Arial"/>
                <w:color w:val="000000"/>
                <w:sz w:val="12"/>
                <w:szCs w:val="12"/>
                <w:bdr w:val="none" w:sz="0" w:space="0" w:color="auto"/>
              </w:rPr>
              <w:br/>
              <w:t>qëllim dhe synojnë</w:t>
            </w:r>
            <w:r w:rsidRPr="00C43D83">
              <w:rPr>
                <w:rFonts w:ascii="Arial" w:eastAsia="Times New Roman" w:hAnsi="Arial" w:cs="Arial"/>
                <w:color w:val="000000"/>
                <w:sz w:val="12"/>
                <w:szCs w:val="12"/>
                <w:bdr w:val="none" w:sz="0" w:space="0" w:color="auto"/>
              </w:rPr>
              <w:br/>
              <w:t>garantimin e funksionimit</w:t>
            </w:r>
            <w:r w:rsidRPr="00C43D83">
              <w:rPr>
                <w:rFonts w:ascii="Arial" w:eastAsia="Times New Roman" w:hAnsi="Arial" w:cs="Arial"/>
                <w:color w:val="000000"/>
                <w:sz w:val="12"/>
                <w:szCs w:val="12"/>
                <w:bdr w:val="none" w:sz="0" w:space="0" w:color="auto"/>
              </w:rPr>
              <w:br/>
              <w:t>efektiv të organit të</w:t>
            </w:r>
            <w:r w:rsidRPr="00C43D83">
              <w:rPr>
                <w:rFonts w:ascii="Arial" w:eastAsia="Times New Roman" w:hAnsi="Arial" w:cs="Arial"/>
                <w:color w:val="000000"/>
                <w:sz w:val="12"/>
                <w:szCs w:val="12"/>
                <w:bdr w:val="none" w:sz="0" w:space="0" w:color="auto"/>
              </w:rPr>
              <w:br/>
              <w:t>prokurorisë, parandalimit</w:t>
            </w:r>
            <w:r w:rsidRPr="00C43D83">
              <w:rPr>
                <w:rFonts w:ascii="Arial" w:eastAsia="Times New Roman" w:hAnsi="Arial" w:cs="Arial"/>
                <w:color w:val="000000"/>
                <w:sz w:val="12"/>
                <w:szCs w:val="12"/>
                <w:bdr w:val="none" w:sz="0" w:space="0" w:color="auto"/>
              </w:rPr>
              <w:br/>
              <w:t>dhe luftës kundër</w:t>
            </w:r>
            <w:r w:rsidRPr="00C43D83">
              <w:rPr>
                <w:rFonts w:ascii="Arial" w:eastAsia="Times New Roman" w:hAnsi="Arial" w:cs="Arial"/>
                <w:color w:val="000000"/>
                <w:sz w:val="12"/>
                <w:szCs w:val="12"/>
                <w:bdr w:val="none" w:sz="0" w:space="0" w:color="auto"/>
              </w:rPr>
              <w:br/>
              <w:t>korrupsionit, krimit të</w:t>
            </w:r>
            <w:r w:rsidRPr="00C43D83">
              <w:rPr>
                <w:rFonts w:ascii="Arial" w:eastAsia="Times New Roman" w:hAnsi="Arial" w:cs="Arial"/>
                <w:color w:val="000000"/>
                <w:sz w:val="12"/>
                <w:szCs w:val="12"/>
                <w:bdr w:val="none" w:sz="0" w:space="0" w:color="auto"/>
              </w:rPr>
              <w:br/>
              <w:t>organizuar, dhe respektimin</w:t>
            </w:r>
            <w:r w:rsidRPr="00C43D83">
              <w:rPr>
                <w:rFonts w:ascii="Arial" w:eastAsia="Times New Roman" w:hAnsi="Arial" w:cs="Arial"/>
                <w:color w:val="000000"/>
                <w:sz w:val="12"/>
                <w:szCs w:val="12"/>
                <w:bdr w:val="none" w:sz="0" w:space="0" w:color="auto"/>
              </w:rPr>
              <w:br/>
              <w:t>e të drejtave dhe lirive</w:t>
            </w:r>
            <w:r w:rsidRPr="00C43D83">
              <w:rPr>
                <w:rFonts w:ascii="Arial" w:eastAsia="Times New Roman" w:hAnsi="Arial" w:cs="Arial"/>
                <w:color w:val="000000"/>
                <w:sz w:val="12"/>
                <w:szCs w:val="12"/>
                <w:bdr w:val="none" w:sz="0" w:space="0" w:color="auto"/>
              </w:rPr>
              <w:br/>
              <w:t>themelore të të drejtave të</w:t>
            </w:r>
            <w:r w:rsidRPr="00C43D83">
              <w:rPr>
                <w:rFonts w:ascii="Arial" w:eastAsia="Times New Roman" w:hAnsi="Arial" w:cs="Arial"/>
                <w:color w:val="000000"/>
                <w:sz w:val="12"/>
                <w:szCs w:val="12"/>
                <w:bdr w:val="none" w:sz="0" w:space="0" w:color="auto"/>
              </w:rPr>
              <w:br/>
              <w:t>njeriut.</w:t>
            </w:r>
          </w:p>
        </w:tc>
        <w:tc>
          <w:tcPr>
            <w:tcW w:w="967" w:type="pct"/>
            <w:tcBorders>
              <w:top w:val="nil"/>
              <w:left w:val="nil"/>
              <w:bottom w:val="single" w:sz="4" w:space="0" w:color="auto"/>
              <w:right w:val="single" w:sz="4" w:space="0" w:color="auto"/>
            </w:tcBorders>
            <w:shd w:val="clear" w:color="auto" w:fill="auto"/>
            <w:vAlign w:val="center"/>
            <w:hideMark/>
          </w:tcPr>
          <w:p w14:paraId="789A9CF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Përcaktimin e prioriteteve në</w:t>
            </w:r>
            <w:r w:rsidRPr="00C43D83">
              <w:rPr>
                <w:rFonts w:ascii="Arial" w:eastAsia="Times New Roman" w:hAnsi="Arial" w:cs="Arial"/>
                <w:color w:val="000000"/>
                <w:sz w:val="12"/>
                <w:szCs w:val="12"/>
                <w:bdr w:val="none" w:sz="0" w:space="0" w:color="auto"/>
              </w:rPr>
              <w:br/>
              <w:t>luftën kundër korrupsionit dhe</w:t>
            </w:r>
            <w:r w:rsidRPr="00C43D83">
              <w:rPr>
                <w:rFonts w:ascii="Arial" w:eastAsia="Times New Roman" w:hAnsi="Arial" w:cs="Arial"/>
                <w:color w:val="000000"/>
                <w:sz w:val="12"/>
                <w:szCs w:val="12"/>
                <w:bdr w:val="none" w:sz="0" w:space="0" w:color="auto"/>
              </w:rPr>
              <w:br/>
              <w:t>krimit të organizuar, në</w:t>
            </w:r>
            <w:r w:rsidRPr="00C43D83">
              <w:rPr>
                <w:rFonts w:ascii="Arial" w:eastAsia="Times New Roman" w:hAnsi="Arial" w:cs="Arial"/>
                <w:color w:val="000000"/>
                <w:sz w:val="12"/>
                <w:szCs w:val="12"/>
                <w:bdr w:val="none" w:sz="0" w:space="0" w:color="auto"/>
              </w:rPr>
              <w:br/>
              <w:t>përmbushje të detyrimeve të</w:t>
            </w:r>
            <w:r w:rsidRPr="00C43D83">
              <w:rPr>
                <w:rFonts w:ascii="Arial" w:eastAsia="Times New Roman" w:hAnsi="Arial" w:cs="Arial"/>
                <w:color w:val="000000"/>
                <w:sz w:val="12"/>
                <w:szCs w:val="12"/>
                <w:bdr w:val="none" w:sz="0" w:space="0" w:color="auto"/>
              </w:rPr>
              <w:br/>
              <w:t>brendshme ligjore, si dhe</w:t>
            </w:r>
            <w:r w:rsidRPr="00C43D83">
              <w:rPr>
                <w:rFonts w:ascii="Arial" w:eastAsia="Times New Roman" w:hAnsi="Arial" w:cs="Arial"/>
                <w:color w:val="000000"/>
                <w:sz w:val="12"/>
                <w:szCs w:val="12"/>
                <w:bdr w:val="none" w:sz="0" w:space="0" w:color="auto"/>
              </w:rPr>
              <w:br/>
              <w:t>rekomandimeve të organizatave</w:t>
            </w:r>
            <w:r w:rsidRPr="00C43D83">
              <w:rPr>
                <w:rFonts w:ascii="Arial" w:eastAsia="Times New Roman" w:hAnsi="Arial" w:cs="Arial"/>
                <w:color w:val="000000"/>
                <w:sz w:val="12"/>
                <w:szCs w:val="12"/>
                <w:bdr w:val="none" w:sz="0" w:space="0" w:color="auto"/>
              </w:rPr>
              <w:br/>
              <w:t>ndërkombëtare. Këto</w:t>
            </w:r>
            <w:r w:rsidRPr="00C43D83">
              <w:rPr>
                <w:rFonts w:ascii="Arial" w:eastAsia="Times New Roman" w:hAnsi="Arial" w:cs="Arial"/>
                <w:color w:val="000000"/>
                <w:sz w:val="12"/>
                <w:szCs w:val="12"/>
                <w:bdr w:val="none" w:sz="0" w:space="0" w:color="auto"/>
              </w:rPr>
              <w:br/>
              <w:t>rekomandime prioritare i përcillen</w:t>
            </w:r>
            <w:r w:rsidRPr="00C43D83">
              <w:rPr>
                <w:rFonts w:ascii="Arial" w:eastAsia="Times New Roman" w:hAnsi="Arial" w:cs="Arial"/>
                <w:color w:val="000000"/>
                <w:sz w:val="12"/>
                <w:szCs w:val="12"/>
                <w:bdr w:val="none" w:sz="0" w:space="0" w:color="auto"/>
              </w:rPr>
              <w:br/>
              <w:t>organit të</w:t>
            </w:r>
            <w:r w:rsidRPr="00C43D83">
              <w:rPr>
                <w:rFonts w:ascii="Arial" w:eastAsia="Times New Roman" w:hAnsi="Arial" w:cs="Arial"/>
                <w:color w:val="000000"/>
                <w:sz w:val="12"/>
                <w:szCs w:val="12"/>
                <w:bdr w:val="none" w:sz="0" w:space="0" w:color="auto"/>
              </w:rPr>
              <w:br/>
              <w:t>prokurorisë në ushtrim të</w:t>
            </w:r>
            <w:r w:rsidRPr="00C43D83">
              <w:rPr>
                <w:rFonts w:ascii="Arial" w:eastAsia="Times New Roman" w:hAnsi="Arial" w:cs="Arial"/>
                <w:color w:val="000000"/>
                <w:sz w:val="12"/>
                <w:szCs w:val="12"/>
                <w:bdr w:val="none" w:sz="0" w:space="0" w:color="auto"/>
              </w:rPr>
              <w:br/>
              <w:t>përgjegjësisë shtetërore të Këshillit</w:t>
            </w:r>
            <w:r w:rsidRPr="00C43D83">
              <w:rPr>
                <w:rFonts w:ascii="Arial" w:eastAsia="Times New Roman" w:hAnsi="Arial" w:cs="Arial"/>
                <w:color w:val="000000"/>
                <w:sz w:val="12"/>
                <w:szCs w:val="12"/>
                <w:bdr w:val="none" w:sz="0" w:space="0" w:color="auto"/>
              </w:rPr>
              <w:br/>
              <w:t>të Ministrave dhe</w:t>
            </w:r>
            <w:r w:rsidRPr="00C43D83">
              <w:rPr>
                <w:rFonts w:ascii="Arial" w:eastAsia="Times New Roman" w:hAnsi="Arial" w:cs="Arial"/>
                <w:color w:val="000000"/>
                <w:sz w:val="12"/>
                <w:szCs w:val="12"/>
                <w:bdr w:val="none" w:sz="0" w:space="0" w:color="auto"/>
              </w:rPr>
              <w:br/>
              <w:t>Ministrisë së Drejtësisë, për</w:t>
            </w:r>
            <w:r w:rsidRPr="00C43D83">
              <w:rPr>
                <w:rFonts w:ascii="Arial" w:eastAsia="Times New Roman" w:hAnsi="Arial" w:cs="Arial"/>
                <w:color w:val="000000"/>
                <w:sz w:val="12"/>
                <w:szCs w:val="12"/>
                <w:bdr w:val="none" w:sz="0" w:space="0" w:color="auto"/>
              </w:rPr>
              <w:br/>
              <w:t>ndjekjen dhe realizimin e politikës</w:t>
            </w:r>
            <w:r w:rsidRPr="00C43D83">
              <w:rPr>
                <w:rFonts w:ascii="Arial" w:eastAsia="Times New Roman" w:hAnsi="Arial" w:cs="Arial"/>
                <w:color w:val="000000"/>
                <w:sz w:val="12"/>
                <w:szCs w:val="12"/>
                <w:bdr w:val="none" w:sz="0" w:space="0" w:color="auto"/>
              </w:rPr>
              <w:br/>
              <w:t>së përgjithshme</w:t>
            </w:r>
            <w:r w:rsidRPr="00C43D83">
              <w:rPr>
                <w:rFonts w:ascii="Arial" w:eastAsia="Times New Roman" w:hAnsi="Arial" w:cs="Arial"/>
                <w:color w:val="000000"/>
                <w:sz w:val="12"/>
                <w:szCs w:val="12"/>
                <w:bdr w:val="none" w:sz="0" w:space="0" w:color="auto"/>
              </w:rPr>
              <w:br/>
              <w:t>shtetërore në fushën e drejtësisë</w:t>
            </w:r>
            <w:r w:rsidRPr="00C43D83">
              <w:rPr>
                <w:rFonts w:ascii="Arial" w:eastAsia="Times New Roman" w:hAnsi="Arial" w:cs="Arial"/>
                <w:color w:val="000000"/>
                <w:sz w:val="12"/>
                <w:szCs w:val="12"/>
                <w:bdr w:val="none" w:sz="0" w:space="0" w:color="auto"/>
              </w:rPr>
              <w:br/>
              <w:t>dhe në respektim të parimit</w:t>
            </w:r>
            <w:r w:rsidRPr="00C43D83">
              <w:rPr>
                <w:rFonts w:ascii="Arial" w:eastAsia="Times New Roman" w:hAnsi="Arial" w:cs="Arial"/>
                <w:color w:val="000000"/>
                <w:sz w:val="12"/>
                <w:szCs w:val="12"/>
                <w:bdr w:val="none" w:sz="0" w:space="0" w:color="auto"/>
              </w:rPr>
              <w:br/>
              <w:t>themelor të kontrollit dhe</w:t>
            </w:r>
            <w:r w:rsidRPr="00C43D83">
              <w:rPr>
                <w:rFonts w:ascii="Arial" w:eastAsia="Times New Roman" w:hAnsi="Arial" w:cs="Arial"/>
                <w:color w:val="000000"/>
                <w:sz w:val="12"/>
                <w:szCs w:val="12"/>
                <w:bdr w:val="none" w:sz="0" w:space="0" w:color="auto"/>
              </w:rPr>
              <w:br/>
              <w:t>ekuilibrimit reciprok të</w:t>
            </w:r>
            <w:r w:rsidRPr="00C43D83">
              <w:rPr>
                <w:rFonts w:ascii="Arial" w:eastAsia="Times New Roman" w:hAnsi="Arial" w:cs="Arial"/>
                <w:color w:val="000000"/>
                <w:sz w:val="12"/>
                <w:szCs w:val="12"/>
                <w:bdr w:val="none" w:sz="0" w:space="0" w:color="auto"/>
              </w:rPr>
              <w:br/>
              <w:t>pushteteve</w:t>
            </w:r>
          </w:p>
        </w:tc>
        <w:tc>
          <w:tcPr>
            <w:tcW w:w="260" w:type="pct"/>
            <w:tcBorders>
              <w:top w:val="nil"/>
              <w:left w:val="nil"/>
              <w:bottom w:val="single" w:sz="4" w:space="0" w:color="auto"/>
              <w:right w:val="single" w:sz="4" w:space="0" w:color="auto"/>
            </w:tcBorders>
            <w:shd w:val="clear" w:color="auto" w:fill="auto"/>
            <w:noWrap/>
            <w:vAlign w:val="center"/>
            <w:hideMark/>
          </w:tcPr>
          <w:p w14:paraId="5E842B3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0F7B7A89"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0F18962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3D458C2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r>
      <w:tr w:rsidR="00C43D83" w:rsidRPr="00C43D83" w14:paraId="1F394B6C"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37677DF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4</w:t>
            </w:r>
          </w:p>
        </w:tc>
        <w:tc>
          <w:tcPr>
            <w:tcW w:w="735" w:type="pct"/>
            <w:tcBorders>
              <w:top w:val="nil"/>
              <w:left w:val="nil"/>
              <w:bottom w:val="single" w:sz="4" w:space="0" w:color="auto"/>
              <w:right w:val="single" w:sz="4" w:space="0" w:color="auto"/>
            </w:tcBorders>
            <w:shd w:val="clear" w:color="000000" w:fill="FFFFFF"/>
            <w:vAlign w:val="center"/>
            <w:hideMark/>
          </w:tcPr>
          <w:p w14:paraId="1858150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miratimin e Strategjisë Ndërsektoriale kundër korrupsionit 2024 - 2030</w:t>
            </w:r>
          </w:p>
        </w:tc>
        <w:tc>
          <w:tcPr>
            <w:tcW w:w="371" w:type="pct"/>
            <w:tcBorders>
              <w:top w:val="nil"/>
              <w:left w:val="nil"/>
              <w:bottom w:val="single" w:sz="4" w:space="0" w:color="auto"/>
              <w:right w:val="single" w:sz="4" w:space="0" w:color="auto"/>
            </w:tcBorders>
            <w:shd w:val="clear" w:color="auto" w:fill="auto"/>
            <w:noWrap/>
            <w:vAlign w:val="center"/>
            <w:hideMark/>
          </w:tcPr>
          <w:p w14:paraId="062C163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w:t>
            </w:r>
          </w:p>
        </w:tc>
        <w:tc>
          <w:tcPr>
            <w:tcW w:w="450" w:type="pct"/>
            <w:tcBorders>
              <w:top w:val="nil"/>
              <w:left w:val="nil"/>
              <w:bottom w:val="single" w:sz="4" w:space="0" w:color="auto"/>
              <w:right w:val="single" w:sz="4" w:space="0" w:color="auto"/>
            </w:tcBorders>
            <w:shd w:val="clear" w:color="000000" w:fill="FFFFFF"/>
            <w:noWrap/>
            <w:vAlign w:val="center"/>
            <w:hideMark/>
          </w:tcPr>
          <w:p w14:paraId="645C55C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4553966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w:t>
            </w:r>
          </w:p>
        </w:tc>
        <w:tc>
          <w:tcPr>
            <w:tcW w:w="599" w:type="pct"/>
            <w:tcBorders>
              <w:top w:val="nil"/>
              <w:left w:val="nil"/>
              <w:bottom w:val="single" w:sz="4" w:space="0" w:color="auto"/>
              <w:right w:val="single" w:sz="4" w:space="0" w:color="auto"/>
            </w:tcBorders>
            <w:shd w:val="clear" w:color="000000" w:fill="FFFFFF"/>
            <w:vAlign w:val="center"/>
            <w:hideMark/>
          </w:tcPr>
          <w:p w14:paraId="32BE92F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Afati i Strategjisë dërsektoriale kundër korrupsionit dhe planit të saj të veprimit përfundon në vitin 2023, është e nevojshme të miratohet strategjia e re anti-korrupsion në kuadër të koordinimit të prioriteteve dhe objektivave të vendosur në fushën antikorrupsion.</w:t>
            </w:r>
          </w:p>
        </w:tc>
        <w:tc>
          <w:tcPr>
            <w:tcW w:w="967" w:type="pct"/>
            <w:tcBorders>
              <w:top w:val="nil"/>
              <w:left w:val="nil"/>
              <w:bottom w:val="single" w:sz="4" w:space="0" w:color="auto"/>
              <w:right w:val="single" w:sz="4" w:space="0" w:color="auto"/>
            </w:tcBorders>
            <w:shd w:val="clear" w:color="000000" w:fill="FFFFFF"/>
            <w:vAlign w:val="center"/>
            <w:hideMark/>
          </w:tcPr>
          <w:p w14:paraId="5419C10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Planifikimi i objektivave kryesorë në luftën kundër korrupsionit për insitucionet përgjegjëse dhe masave zbatuese përkatëse</w:t>
            </w:r>
          </w:p>
        </w:tc>
        <w:tc>
          <w:tcPr>
            <w:tcW w:w="260" w:type="pct"/>
            <w:tcBorders>
              <w:top w:val="nil"/>
              <w:left w:val="nil"/>
              <w:bottom w:val="single" w:sz="4" w:space="0" w:color="auto"/>
              <w:right w:val="single" w:sz="4" w:space="0" w:color="auto"/>
            </w:tcBorders>
            <w:shd w:val="clear" w:color="000000" w:fill="FFFFFF"/>
            <w:vAlign w:val="center"/>
            <w:hideMark/>
          </w:tcPr>
          <w:p w14:paraId="7B0E666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Po/Antikorrupsioni</w:t>
            </w:r>
          </w:p>
        </w:tc>
        <w:tc>
          <w:tcPr>
            <w:tcW w:w="388" w:type="pct"/>
            <w:tcBorders>
              <w:top w:val="nil"/>
              <w:left w:val="nil"/>
              <w:bottom w:val="single" w:sz="4" w:space="0" w:color="auto"/>
              <w:right w:val="single" w:sz="4" w:space="0" w:color="auto"/>
            </w:tcBorders>
            <w:shd w:val="clear" w:color="000000" w:fill="FFFFFF"/>
            <w:noWrap/>
            <w:vAlign w:val="center"/>
            <w:hideMark/>
          </w:tcPr>
          <w:p w14:paraId="727B873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c>
          <w:tcPr>
            <w:tcW w:w="485" w:type="pct"/>
            <w:tcBorders>
              <w:top w:val="nil"/>
              <w:left w:val="nil"/>
              <w:bottom w:val="single" w:sz="4" w:space="0" w:color="auto"/>
              <w:right w:val="single" w:sz="4" w:space="0" w:color="auto"/>
            </w:tcBorders>
            <w:shd w:val="clear" w:color="000000" w:fill="FFFFFF"/>
            <w:noWrap/>
            <w:vAlign w:val="center"/>
            <w:hideMark/>
          </w:tcPr>
          <w:p w14:paraId="07FEFDF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PKIE</w:t>
            </w:r>
          </w:p>
        </w:tc>
        <w:tc>
          <w:tcPr>
            <w:tcW w:w="360" w:type="pct"/>
            <w:tcBorders>
              <w:top w:val="nil"/>
              <w:left w:val="nil"/>
              <w:bottom w:val="single" w:sz="4" w:space="0" w:color="auto"/>
              <w:right w:val="single" w:sz="4" w:space="0" w:color="auto"/>
            </w:tcBorders>
            <w:shd w:val="clear" w:color="000000" w:fill="FFFFFF"/>
            <w:noWrap/>
            <w:vAlign w:val="center"/>
            <w:hideMark/>
          </w:tcPr>
          <w:p w14:paraId="5C6163A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373B1598"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740F3FD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5</w:t>
            </w:r>
          </w:p>
        </w:tc>
        <w:tc>
          <w:tcPr>
            <w:tcW w:w="735" w:type="pct"/>
            <w:tcBorders>
              <w:top w:val="nil"/>
              <w:left w:val="nil"/>
              <w:bottom w:val="single" w:sz="4" w:space="0" w:color="auto"/>
              <w:right w:val="single" w:sz="4" w:space="0" w:color="auto"/>
            </w:tcBorders>
            <w:shd w:val="clear" w:color="000000" w:fill="FFFFFF"/>
            <w:vAlign w:val="center"/>
            <w:hideMark/>
          </w:tcPr>
          <w:p w14:paraId="0810A0C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disa shtesa dhe ndryshime në ligjin nr.8116, datë 29.3.1996, “Kodi i Procedurës Civile i Republikës së Shqipërisë”, të ndryshuar</w:t>
            </w:r>
          </w:p>
        </w:tc>
        <w:tc>
          <w:tcPr>
            <w:tcW w:w="371" w:type="pct"/>
            <w:tcBorders>
              <w:top w:val="nil"/>
              <w:left w:val="nil"/>
              <w:bottom w:val="single" w:sz="4" w:space="0" w:color="auto"/>
              <w:right w:val="single" w:sz="4" w:space="0" w:color="auto"/>
            </w:tcBorders>
            <w:shd w:val="clear" w:color="000000" w:fill="FFFFFF"/>
            <w:noWrap/>
            <w:vAlign w:val="center"/>
            <w:hideMark/>
          </w:tcPr>
          <w:p w14:paraId="00F5AAD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000000" w:fill="FFFFFF"/>
            <w:noWrap/>
            <w:vAlign w:val="center"/>
            <w:hideMark/>
          </w:tcPr>
          <w:p w14:paraId="6BA705A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019140A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000000" w:fill="FFFFFF"/>
            <w:vAlign w:val="center"/>
            <w:hideMark/>
          </w:tcPr>
          <w:p w14:paraId="3C68EE8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Projektligji ka si qëllim përmbushjen e detyrimit të vendosur nga Gjykata Kushtetuese për plotësimin e ligjit lidhur me përllogaritjen e kamatave në rastet e akteve të dhënies së kredisë bankare ose detyrimeve monetare. Gjithashtu, synon nërmarrjen e masave legjislative për të ulur numrin e çështjeve të prapambetura në gjykata.</w:t>
            </w:r>
          </w:p>
        </w:tc>
        <w:tc>
          <w:tcPr>
            <w:tcW w:w="967" w:type="pct"/>
            <w:tcBorders>
              <w:top w:val="nil"/>
              <w:left w:val="nil"/>
              <w:bottom w:val="single" w:sz="4" w:space="0" w:color="auto"/>
              <w:right w:val="single" w:sz="4" w:space="0" w:color="auto"/>
            </w:tcBorders>
            <w:shd w:val="clear" w:color="000000" w:fill="FFFFFF"/>
            <w:vAlign w:val="center"/>
            <w:hideMark/>
          </w:tcPr>
          <w:p w14:paraId="20927D1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Projektakti synon të rregullojë kryesisht mënyrën e përllogaritjes së kamatave për aktet për dhënie kredie bankare ose detyrime monetare, varësisht nëse janë me natyrë tregtare apo konsumatore. Gjithashtu, synon të rregullojë çështjet të cilat shqyrtohen nga gjykatat me 1 ose 3 gjyqtarë, duke patur në konsideratë uljen e numrit të çështjeve të prapambetura në gjykatë.</w:t>
            </w:r>
          </w:p>
        </w:tc>
        <w:tc>
          <w:tcPr>
            <w:tcW w:w="260" w:type="pct"/>
            <w:tcBorders>
              <w:top w:val="nil"/>
              <w:left w:val="nil"/>
              <w:bottom w:val="single" w:sz="4" w:space="0" w:color="auto"/>
              <w:right w:val="single" w:sz="4" w:space="0" w:color="auto"/>
            </w:tcBorders>
            <w:shd w:val="clear" w:color="000000" w:fill="FFFFFF"/>
            <w:vAlign w:val="center"/>
            <w:hideMark/>
          </w:tcPr>
          <w:p w14:paraId="2ED4CEF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000000" w:fill="FFFFFF"/>
            <w:noWrap/>
            <w:vAlign w:val="center"/>
            <w:hideMark/>
          </w:tcPr>
          <w:p w14:paraId="3513BE4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000000" w:fill="FFFFFF"/>
            <w:noWrap/>
            <w:vAlign w:val="center"/>
            <w:hideMark/>
          </w:tcPr>
          <w:p w14:paraId="5176A12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000000" w:fill="FFFFFF"/>
            <w:noWrap/>
            <w:vAlign w:val="center"/>
            <w:hideMark/>
          </w:tcPr>
          <w:p w14:paraId="4F10167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07CE438F"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70B848C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6</w:t>
            </w:r>
          </w:p>
        </w:tc>
        <w:tc>
          <w:tcPr>
            <w:tcW w:w="735" w:type="pct"/>
            <w:tcBorders>
              <w:top w:val="nil"/>
              <w:left w:val="nil"/>
              <w:bottom w:val="single" w:sz="4" w:space="0" w:color="auto"/>
              <w:right w:val="single" w:sz="4" w:space="0" w:color="auto"/>
            </w:tcBorders>
            <w:shd w:val="clear" w:color="auto" w:fill="auto"/>
            <w:vAlign w:val="center"/>
            <w:hideMark/>
          </w:tcPr>
          <w:p w14:paraId="68CDBF7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Kodi Penal i Republikës së Shqipërisë</w:t>
            </w:r>
          </w:p>
        </w:tc>
        <w:tc>
          <w:tcPr>
            <w:tcW w:w="371" w:type="pct"/>
            <w:tcBorders>
              <w:top w:val="nil"/>
              <w:left w:val="nil"/>
              <w:bottom w:val="single" w:sz="4" w:space="0" w:color="auto"/>
              <w:right w:val="single" w:sz="4" w:space="0" w:color="auto"/>
            </w:tcBorders>
            <w:shd w:val="clear" w:color="auto" w:fill="auto"/>
            <w:noWrap/>
            <w:vAlign w:val="center"/>
            <w:hideMark/>
          </w:tcPr>
          <w:p w14:paraId="3837B7D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auto" w:fill="auto"/>
            <w:noWrap/>
            <w:vAlign w:val="center"/>
            <w:hideMark/>
          </w:tcPr>
          <w:p w14:paraId="4C93702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4F41FD2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3199A679"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Nisma për miratimin e një Kodi të ri Penal ka filluar që në vitin 2020. Grupi i ekspertëve ka hartuar tashmë dokumentin final i cili në vijim duhet t’i nënshtrohet procedurave të mëtejshme të konsultimit të gjerë publik dhe brenda vitit 2024 duhet të miratohet në Këshill të Ministrave.</w:t>
            </w:r>
          </w:p>
        </w:tc>
        <w:tc>
          <w:tcPr>
            <w:tcW w:w="967" w:type="pct"/>
            <w:tcBorders>
              <w:top w:val="nil"/>
              <w:left w:val="nil"/>
              <w:bottom w:val="single" w:sz="4" w:space="0" w:color="auto"/>
              <w:right w:val="single" w:sz="4" w:space="0" w:color="auto"/>
            </w:tcBorders>
            <w:shd w:val="clear" w:color="auto" w:fill="auto"/>
            <w:vAlign w:val="center"/>
            <w:hideMark/>
          </w:tcPr>
          <w:p w14:paraId="6E94399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Rregullimi i instituteve të pjesës së përgjithshme të Kodit Penal në drejtim të respektimit të parimit të ligjshmërisë dhe sigurisë juridike në përputhje me standardet evropiane, rishikimi i politikës penale në kuadër të arritjes së qëllimit të dënimit penale për rehabilitimin e personave dhe parashikimi i veprave penale në mënyrë të detajuar, bazuar në modelet më të mira evropiane, në përputhje me Konventat e detyrueshme për tu bzatuar nga Republika e Shqipërisë si dhe në përputhje me aktet e Bashkimit Evropian, në të cilin Shqipëria aspiron të bëhet pjesë. </w:t>
            </w:r>
          </w:p>
        </w:tc>
        <w:tc>
          <w:tcPr>
            <w:tcW w:w="260" w:type="pct"/>
            <w:tcBorders>
              <w:top w:val="nil"/>
              <w:left w:val="nil"/>
              <w:bottom w:val="single" w:sz="4" w:space="0" w:color="auto"/>
              <w:right w:val="single" w:sz="4" w:space="0" w:color="auto"/>
            </w:tcBorders>
            <w:shd w:val="clear" w:color="auto" w:fill="auto"/>
            <w:vAlign w:val="center"/>
            <w:hideMark/>
          </w:tcPr>
          <w:p w14:paraId="477304B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c>
          <w:tcPr>
            <w:tcW w:w="388" w:type="pct"/>
            <w:tcBorders>
              <w:top w:val="nil"/>
              <w:left w:val="nil"/>
              <w:bottom w:val="single" w:sz="4" w:space="0" w:color="auto"/>
              <w:right w:val="single" w:sz="4" w:space="0" w:color="auto"/>
            </w:tcBorders>
            <w:shd w:val="clear" w:color="auto" w:fill="auto"/>
            <w:noWrap/>
            <w:vAlign w:val="center"/>
            <w:hideMark/>
          </w:tcPr>
          <w:p w14:paraId="2288C1D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7380208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156CBE5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06305BC7"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0F026A6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7</w:t>
            </w:r>
          </w:p>
        </w:tc>
        <w:tc>
          <w:tcPr>
            <w:tcW w:w="735" w:type="pct"/>
            <w:tcBorders>
              <w:top w:val="nil"/>
              <w:left w:val="nil"/>
              <w:bottom w:val="single" w:sz="4" w:space="0" w:color="auto"/>
              <w:right w:val="single" w:sz="4" w:space="0" w:color="auto"/>
            </w:tcBorders>
            <w:shd w:val="clear" w:color="000000" w:fill="FFFFFF"/>
            <w:vAlign w:val="center"/>
            <w:hideMark/>
          </w:tcPr>
          <w:p w14:paraId="6AB9377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disa shtesa dhe ndryshime në ligjin nr.49/2012 "Për gjykatat administrative dhe gjykimin e mosmarrëveshjeve administrative"</w:t>
            </w:r>
          </w:p>
        </w:tc>
        <w:tc>
          <w:tcPr>
            <w:tcW w:w="371" w:type="pct"/>
            <w:tcBorders>
              <w:top w:val="nil"/>
              <w:left w:val="nil"/>
              <w:bottom w:val="single" w:sz="4" w:space="0" w:color="auto"/>
              <w:right w:val="single" w:sz="4" w:space="0" w:color="auto"/>
            </w:tcBorders>
            <w:shd w:val="clear" w:color="000000" w:fill="FFFFFF"/>
            <w:noWrap/>
            <w:vAlign w:val="center"/>
            <w:hideMark/>
          </w:tcPr>
          <w:p w14:paraId="5E9139E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000000" w:fill="FFFFFF"/>
            <w:noWrap/>
            <w:vAlign w:val="center"/>
            <w:hideMark/>
          </w:tcPr>
          <w:p w14:paraId="046727D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046F28B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000000" w:fill="FFFFFF"/>
            <w:vAlign w:val="center"/>
            <w:hideMark/>
          </w:tcPr>
          <w:p w14:paraId="37789E69"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Projektligji ka si qëllim ndërmarrjen e masave legjislative për të ulur numrin e çështjeve të prapambetura në gjykata.</w:t>
            </w:r>
          </w:p>
        </w:tc>
        <w:tc>
          <w:tcPr>
            <w:tcW w:w="967" w:type="pct"/>
            <w:tcBorders>
              <w:top w:val="nil"/>
              <w:left w:val="nil"/>
              <w:bottom w:val="single" w:sz="4" w:space="0" w:color="auto"/>
              <w:right w:val="single" w:sz="4" w:space="0" w:color="auto"/>
            </w:tcBorders>
            <w:shd w:val="clear" w:color="000000" w:fill="FFFFFF"/>
            <w:vAlign w:val="center"/>
            <w:hideMark/>
          </w:tcPr>
          <w:p w14:paraId="2961FE0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Projektakti synon të rregullojë kryesisht  çështjet të cilat shqyrtohen nga gjykatat me 1 ose 3 gjyqtarë, duke patur në konsideratë uljen e numrit të çështjeve të prapambetura në gjykatë, si dhe çështjet ndaj të cilave nuk mund të bëhet ankim apo rekurs.</w:t>
            </w:r>
          </w:p>
        </w:tc>
        <w:tc>
          <w:tcPr>
            <w:tcW w:w="260" w:type="pct"/>
            <w:tcBorders>
              <w:top w:val="nil"/>
              <w:left w:val="nil"/>
              <w:bottom w:val="single" w:sz="4" w:space="0" w:color="auto"/>
              <w:right w:val="single" w:sz="4" w:space="0" w:color="auto"/>
            </w:tcBorders>
            <w:shd w:val="clear" w:color="000000" w:fill="FFFFFF"/>
            <w:vAlign w:val="center"/>
            <w:hideMark/>
          </w:tcPr>
          <w:p w14:paraId="2F5A60B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000000" w:fill="FFFFFF"/>
            <w:noWrap/>
            <w:vAlign w:val="center"/>
            <w:hideMark/>
          </w:tcPr>
          <w:p w14:paraId="393D9CC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000000" w:fill="FFFFFF"/>
            <w:noWrap/>
            <w:vAlign w:val="center"/>
            <w:hideMark/>
          </w:tcPr>
          <w:p w14:paraId="0BB47D0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000000" w:fill="FFFFFF"/>
            <w:noWrap/>
            <w:vAlign w:val="center"/>
            <w:hideMark/>
          </w:tcPr>
          <w:p w14:paraId="262C226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1288855D"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083DA80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8</w:t>
            </w:r>
          </w:p>
        </w:tc>
        <w:tc>
          <w:tcPr>
            <w:tcW w:w="735" w:type="pct"/>
            <w:tcBorders>
              <w:top w:val="nil"/>
              <w:left w:val="nil"/>
              <w:bottom w:val="single" w:sz="4" w:space="0" w:color="auto"/>
              <w:right w:val="single" w:sz="4" w:space="0" w:color="auto"/>
            </w:tcBorders>
            <w:shd w:val="clear" w:color="auto" w:fill="auto"/>
            <w:vAlign w:val="center"/>
            <w:hideMark/>
          </w:tcPr>
          <w:p w14:paraId="4063DA0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mbrojtjen e të dhënave personale</w:t>
            </w:r>
          </w:p>
        </w:tc>
        <w:tc>
          <w:tcPr>
            <w:tcW w:w="371" w:type="pct"/>
            <w:tcBorders>
              <w:top w:val="nil"/>
              <w:left w:val="nil"/>
              <w:bottom w:val="single" w:sz="4" w:space="0" w:color="auto"/>
              <w:right w:val="single" w:sz="4" w:space="0" w:color="auto"/>
            </w:tcBorders>
            <w:shd w:val="clear" w:color="auto" w:fill="auto"/>
            <w:noWrap/>
            <w:vAlign w:val="center"/>
            <w:hideMark/>
          </w:tcPr>
          <w:p w14:paraId="51AF1A73"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auto" w:fill="auto"/>
            <w:noWrap/>
            <w:vAlign w:val="center"/>
            <w:hideMark/>
          </w:tcPr>
          <w:p w14:paraId="45968F8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3C0E3C5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092E865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Harmonizimi me acquis e BE, konkretisht me Rregulloren e Përgjithshme për Mbrojtjen e të Dhënave Personale 2016/679 (GDPR) dhe Direktivën e Policisë 2016/680”, si dhe zbatimi i standardeve të BE në fushën e mbrojtjes së të dhënave personale. Përmirësimi i rregullave për mbrojtjen e individëve në lidhje me përpunimin e të dhënave të tyre.</w:t>
            </w:r>
          </w:p>
        </w:tc>
        <w:tc>
          <w:tcPr>
            <w:tcW w:w="967" w:type="pct"/>
            <w:tcBorders>
              <w:top w:val="nil"/>
              <w:left w:val="nil"/>
              <w:bottom w:val="single" w:sz="4" w:space="0" w:color="auto"/>
              <w:right w:val="single" w:sz="4" w:space="0" w:color="auto"/>
            </w:tcBorders>
            <w:shd w:val="clear" w:color="auto" w:fill="auto"/>
            <w:vAlign w:val="center"/>
            <w:hideMark/>
          </w:tcPr>
          <w:p w14:paraId="58E4872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Garantimi i standardeve më të larta evropiane në fushën e mbrojtjes së të dhënave personale në një kohë kur përpunimi i të dhënave personale në epokën digjitale është shumëfishuar. Qytetarëve u garantohet një nivel më i lartë kontrolli mbi të dhënat e tyre personale. Krijimi i një kuadri ligjor gjithpërfshirës, duke garantuar edhe mbrojtjen e të dhënave personale në lidhje me përpunimin e të dhënave nga autoritetet kompetente për qëllimet e parandalimit, hetimit, zbulimit ose ndjekjes penale të veprave penale ose ekzekutimin e dënimeve penale, dhe lëvizjen e lirë të të dhënave të tilla</w:t>
            </w:r>
          </w:p>
        </w:tc>
        <w:tc>
          <w:tcPr>
            <w:tcW w:w="260" w:type="pct"/>
            <w:tcBorders>
              <w:top w:val="nil"/>
              <w:left w:val="nil"/>
              <w:bottom w:val="single" w:sz="4" w:space="0" w:color="auto"/>
              <w:right w:val="single" w:sz="4" w:space="0" w:color="auto"/>
            </w:tcBorders>
            <w:shd w:val="clear" w:color="auto" w:fill="auto"/>
            <w:vAlign w:val="center"/>
            <w:hideMark/>
          </w:tcPr>
          <w:p w14:paraId="5222C5C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 Të drejtat e njeriut</w:t>
            </w:r>
          </w:p>
        </w:tc>
        <w:tc>
          <w:tcPr>
            <w:tcW w:w="388" w:type="pct"/>
            <w:tcBorders>
              <w:top w:val="nil"/>
              <w:left w:val="nil"/>
              <w:bottom w:val="single" w:sz="4" w:space="0" w:color="auto"/>
              <w:right w:val="single" w:sz="4" w:space="0" w:color="auto"/>
            </w:tcBorders>
            <w:shd w:val="clear" w:color="auto" w:fill="auto"/>
            <w:noWrap/>
            <w:vAlign w:val="center"/>
            <w:hideMark/>
          </w:tcPr>
          <w:p w14:paraId="1B0B3E5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1964370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PKIE</w:t>
            </w:r>
          </w:p>
        </w:tc>
        <w:tc>
          <w:tcPr>
            <w:tcW w:w="360" w:type="pct"/>
            <w:tcBorders>
              <w:top w:val="nil"/>
              <w:left w:val="nil"/>
              <w:bottom w:val="single" w:sz="4" w:space="0" w:color="auto"/>
              <w:right w:val="single" w:sz="4" w:space="0" w:color="auto"/>
            </w:tcBorders>
            <w:shd w:val="clear" w:color="auto" w:fill="auto"/>
            <w:noWrap/>
            <w:vAlign w:val="center"/>
            <w:hideMark/>
          </w:tcPr>
          <w:p w14:paraId="34A0A93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16860CFF"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1A71073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9</w:t>
            </w:r>
          </w:p>
        </w:tc>
        <w:tc>
          <w:tcPr>
            <w:tcW w:w="735" w:type="pct"/>
            <w:tcBorders>
              <w:top w:val="nil"/>
              <w:left w:val="nil"/>
              <w:bottom w:val="single" w:sz="4" w:space="0" w:color="auto"/>
              <w:right w:val="single" w:sz="4" w:space="0" w:color="auto"/>
            </w:tcBorders>
            <w:shd w:val="clear" w:color="auto" w:fill="auto"/>
            <w:vAlign w:val="center"/>
            <w:hideMark/>
          </w:tcPr>
          <w:p w14:paraId="7D2EBF4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disa shtesa dhe ndryshime në ligjin nr. 9831, datë 12.11.2007 “Për dëmshpërblimin e ish të dënuarve politikë të regjimit komunist”, të ndryshuar</w:t>
            </w:r>
          </w:p>
        </w:tc>
        <w:tc>
          <w:tcPr>
            <w:tcW w:w="371" w:type="pct"/>
            <w:tcBorders>
              <w:top w:val="nil"/>
              <w:left w:val="nil"/>
              <w:bottom w:val="single" w:sz="4" w:space="0" w:color="auto"/>
              <w:right w:val="single" w:sz="4" w:space="0" w:color="auto"/>
            </w:tcBorders>
            <w:shd w:val="clear" w:color="auto" w:fill="auto"/>
            <w:noWrap/>
            <w:vAlign w:val="center"/>
            <w:hideMark/>
          </w:tcPr>
          <w:p w14:paraId="056D72D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auto" w:fill="auto"/>
            <w:noWrap/>
            <w:vAlign w:val="center"/>
            <w:hideMark/>
          </w:tcPr>
          <w:p w14:paraId="52DA9C5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27AD467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3D763E2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Kjo nismë ka si qëllim rihapjen e afatit për ish-të dënuarit politikë, të cilët bëjnë pjesë në kategorinë e subjekteve përfituese parësore dhe plotësojnë kriteret. Nisur nga qëllimi i ligjit për dhënien e dëmshpërblimit financiar nga shteti shqiptar për ish të dënuarit politikë të regjimit komunist, si një angazhim i shtetit demokratik në dënimin e krimeve të regjimit totalitar komunist dhe garantimin për ta të një jete më të mirë, është vlerësuar rihapja e afatit për paraqitjen e kërkesave nga subjektet parësore. </w:t>
            </w:r>
          </w:p>
        </w:tc>
        <w:tc>
          <w:tcPr>
            <w:tcW w:w="967" w:type="pct"/>
            <w:tcBorders>
              <w:top w:val="nil"/>
              <w:left w:val="nil"/>
              <w:bottom w:val="single" w:sz="4" w:space="0" w:color="auto"/>
              <w:right w:val="single" w:sz="4" w:space="0" w:color="auto"/>
            </w:tcBorders>
            <w:shd w:val="clear" w:color="auto" w:fill="auto"/>
            <w:vAlign w:val="center"/>
            <w:hideMark/>
          </w:tcPr>
          <w:p w14:paraId="7C3ADA4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Nisma synon të rihapë afatin për ish-të dënuarit politikë, të cilët bëjnë pjesë në kategorinë e subjekteve përfituese parësore dhe plotësojnë kriteret.</w:t>
            </w:r>
          </w:p>
        </w:tc>
        <w:tc>
          <w:tcPr>
            <w:tcW w:w="260" w:type="pct"/>
            <w:tcBorders>
              <w:top w:val="nil"/>
              <w:left w:val="nil"/>
              <w:bottom w:val="single" w:sz="4" w:space="0" w:color="auto"/>
              <w:right w:val="single" w:sz="4" w:space="0" w:color="auto"/>
            </w:tcBorders>
            <w:shd w:val="clear" w:color="auto" w:fill="auto"/>
            <w:vAlign w:val="center"/>
            <w:hideMark/>
          </w:tcPr>
          <w:p w14:paraId="78D4782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0A138B4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2AD3D5E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1BC2AD7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485C1565"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2FAD46C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10</w:t>
            </w:r>
          </w:p>
        </w:tc>
        <w:tc>
          <w:tcPr>
            <w:tcW w:w="735" w:type="pct"/>
            <w:tcBorders>
              <w:top w:val="nil"/>
              <w:left w:val="nil"/>
              <w:bottom w:val="single" w:sz="4" w:space="0" w:color="auto"/>
              <w:right w:val="single" w:sz="4" w:space="0" w:color="auto"/>
            </w:tcBorders>
            <w:shd w:val="clear" w:color="auto" w:fill="auto"/>
            <w:vAlign w:val="center"/>
            <w:hideMark/>
          </w:tcPr>
          <w:p w14:paraId="2581770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ratifikimin e Protokollit për ligjin e zbatueshëm për detyrimet</w:t>
            </w:r>
            <w:r w:rsidRPr="00C43D83">
              <w:rPr>
                <w:rFonts w:ascii="Arial" w:eastAsia="Times New Roman" w:hAnsi="Arial" w:cs="Arial"/>
                <w:color w:val="000000"/>
                <w:sz w:val="12"/>
                <w:szCs w:val="12"/>
                <w:bdr w:val="none" w:sz="0" w:space="0" w:color="auto"/>
              </w:rPr>
              <w:br/>
              <w:t>ushqimore</w:t>
            </w:r>
          </w:p>
        </w:tc>
        <w:tc>
          <w:tcPr>
            <w:tcW w:w="371" w:type="pct"/>
            <w:tcBorders>
              <w:top w:val="nil"/>
              <w:left w:val="nil"/>
              <w:bottom w:val="single" w:sz="4" w:space="0" w:color="auto"/>
              <w:right w:val="single" w:sz="4" w:space="0" w:color="auto"/>
            </w:tcBorders>
            <w:shd w:val="clear" w:color="auto" w:fill="auto"/>
            <w:noWrap/>
            <w:vAlign w:val="center"/>
            <w:hideMark/>
          </w:tcPr>
          <w:p w14:paraId="72C0BBA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auto" w:fill="auto"/>
            <w:noWrap/>
            <w:vAlign w:val="center"/>
            <w:hideMark/>
          </w:tcPr>
          <w:p w14:paraId="66EC13F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09C7C9C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509463E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Miratimi i këtij projektligji diktohet nga ndjekja e procedurës së parashikuar nga ligji nr.43/2016 "Për marrëveshjet ndërkombëtare në Republikën e Shqipërisë, me qëllim shprehjen e pëlqimit që Republika e Shqipërisë të jetë palë e Protokollit për ligjin e zbatueshëm për detyrimet</w:t>
            </w:r>
            <w:r w:rsidRPr="00C43D83">
              <w:rPr>
                <w:rFonts w:ascii="Arial" w:eastAsia="Times New Roman" w:hAnsi="Arial" w:cs="Arial"/>
                <w:color w:val="000000"/>
                <w:sz w:val="12"/>
                <w:szCs w:val="12"/>
                <w:bdr w:val="none" w:sz="0" w:space="0" w:color="auto"/>
              </w:rPr>
              <w:br/>
              <w:t>ushqimore.</w:t>
            </w:r>
          </w:p>
        </w:tc>
        <w:tc>
          <w:tcPr>
            <w:tcW w:w="967" w:type="pct"/>
            <w:tcBorders>
              <w:top w:val="nil"/>
              <w:left w:val="nil"/>
              <w:bottom w:val="single" w:sz="4" w:space="0" w:color="auto"/>
              <w:right w:val="single" w:sz="4" w:space="0" w:color="auto"/>
            </w:tcBorders>
            <w:shd w:val="clear" w:color="auto" w:fill="auto"/>
            <w:vAlign w:val="center"/>
            <w:hideMark/>
          </w:tcPr>
          <w:p w14:paraId="67C89C5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Protokolli mbi ligjin e zbatueshëm për detyrimet ushqimore ka si qëllim përcaktimin e ligjit të zbatueshëm për detyrimet ushqimore që rrjedhin nga një marrëdhënie familjare, prindërore, martese ose lidhje tjetër jo gjinie, duke përfshirë detyrimin për ushqim në lidhje me një fëmijë, pavarësisht nga statusi martesor i prindërve. Ky Protokoll ka parashikuar disa rregulla të veçanta favorizuese ndaj disa përfituesve, si në rastet kur detyrimi për ushqim është nga prindërit ndaj fëmijëve të tyre, personave të tjerë, përveç prindërve, ndaj personave që kanë mbushur moshën 21 vjeç, fëmijëve ndaj prindërve të tyre, si dhe ndërmjet bashkëshortëve ose ish-bashkëshortëve. Miratimi i këtij projektligji do të ndikojë edhe në nxitjen e procesit të anëtarësimit në Bashkimin Evropian, duke qenë se Protokolli është bërë pjesë e acquis dhe ratifikimi i tij është një nga detyrat e lëna për Shqipërinë në Progres Raportin e vitit 2022.</w:t>
            </w:r>
          </w:p>
        </w:tc>
        <w:tc>
          <w:tcPr>
            <w:tcW w:w="260" w:type="pct"/>
            <w:tcBorders>
              <w:top w:val="nil"/>
              <w:left w:val="nil"/>
              <w:bottom w:val="single" w:sz="4" w:space="0" w:color="auto"/>
              <w:right w:val="single" w:sz="4" w:space="0" w:color="auto"/>
            </w:tcBorders>
            <w:shd w:val="clear" w:color="auto" w:fill="auto"/>
            <w:vAlign w:val="center"/>
            <w:hideMark/>
          </w:tcPr>
          <w:p w14:paraId="1623454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6226403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707A3C0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1C5D74F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556C44F5"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0FADA759"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11</w:t>
            </w:r>
          </w:p>
        </w:tc>
        <w:tc>
          <w:tcPr>
            <w:tcW w:w="735" w:type="pct"/>
            <w:tcBorders>
              <w:top w:val="nil"/>
              <w:left w:val="nil"/>
              <w:bottom w:val="single" w:sz="4" w:space="0" w:color="auto"/>
              <w:right w:val="single" w:sz="4" w:space="0" w:color="auto"/>
            </w:tcBorders>
            <w:shd w:val="clear" w:color="auto" w:fill="auto"/>
            <w:vAlign w:val="center"/>
            <w:hideMark/>
          </w:tcPr>
          <w:p w14:paraId="13F9CB2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ratifikimin e Konventës së Hagës për marrëveshjet për zgjedhjen e gjykatës</w:t>
            </w:r>
          </w:p>
        </w:tc>
        <w:tc>
          <w:tcPr>
            <w:tcW w:w="371" w:type="pct"/>
            <w:tcBorders>
              <w:top w:val="nil"/>
              <w:left w:val="nil"/>
              <w:bottom w:val="single" w:sz="4" w:space="0" w:color="auto"/>
              <w:right w:val="single" w:sz="4" w:space="0" w:color="auto"/>
            </w:tcBorders>
            <w:shd w:val="clear" w:color="auto" w:fill="auto"/>
            <w:noWrap/>
            <w:vAlign w:val="center"/>
            <w:hideMark/>
          </w:tcPr>
          <w:p w14:paraId="70F2D45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auto" w:fill="auto"/>
            <w:noWrap/>
            <w:vAlign w:val="center"/>
            <w:hideMark/>
          </w:tcPr>
          <w:p w14:paraId="2EC899D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60C1D82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078DC88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Miratimi i këtij projektligji diktohet nga ndjekja e procedurës së parashikuar nga ligji nr.43/2016 "Për marrëveshjet ndërkombëtare në Republikën e Shqipërisë, me qëllim shprehjen e pëlqimit që Republika e Shqipërisë të jetë palë e Konventës së Hagës për marrëveshjet për zgjedhjen e gjykatës</w:t>
            </w:r>
          </w:p>
        </w:tc>
        <w:tc>
          <w:tcPr>
            <w:tcW w:w="967" w:type="pct"/>
            <w:tcBorders>
              <w:top w:val="nil"/>
              <w:left w:val="nil"/>
              <w:bottom w:val="single" w:sz="4" w:space="0" w:color="auto"/>
              <w:right w:val="single" w:sz="4" w:space="0" w:color="auto"/>
            </w:tcBorders>
            <w:shd w:val="clear" w:color="auto" w:fill="auto"/>
            <w:vAlign w:val="center"/>
            <w:hideMark/>
          </w:tcPr>
          <w:p w14:paraId="6552A8A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Konventa ka për qëllim sigurimin e efektivitetit të zbatimit të marrëveshjes së përzgjedhjes së gjykatës (e njohur ndryshe si “forumi i klauzolës efektive” ose “klauzola e juridiksionit”, ndërmjet palëve të transaksioneve tregtare ndërkombëtare. Nevoja për të ratifikuar këtë Konventë lidhet me domosdoshmërinë e miratimit të masave për zhvillimin e bashkëpunimit gjyqësor në çështjet civile dhe tregtare, me qëllim nxitjen dhe mbështetjen e veprimtarisë së Shteteve Anëtare në fushën e përmirësimit dhe zhvillimit të klimës së biznesit, marrëdhënieve tregtare, si dhe nxitjes së investimeve direkte të huaja. Objektivat kryesore lidhur me ratifikimin e kësaj Konvente lidhen me nxitjen e procesit të anëtarësimit në Bashkimin Evropian, përmirësimin e klimës së biznesit, marrëdhëniet tregtare dhe nxitjen e investimeve direkte të huaja, si dhe ofrimin e sigurisë dhe parashikueshmërisë ligjore.Palë e Konventës është edhe Bashkimi Evropian, duke e bërë atë pjesë të acquis, ndaj vlerësojmë ratifikimin e saj një hap në drejtim të procesit të integrimit drejt BE-së.</w:t>
            </w:r>
          </w:p>
        </w:tc>
        <w:tc>
          <w:tcPr>
            <w:tcW w:w="260" w:type="pct"/>
            <w:tcBorders>
              <w:top w:val="nil"/>
              <w:left w:val="nil"/>
              <w:bottom w:val="single" w:sz="4" w:space="0" w:color="auto"/>
              <w:right w:val="single" w:sz="4" w:space="0" w:color="auto"/>
            </w:tcBorders>
            <w:shd w:val="clear" w:color="auto" w:fill="auto"/>
            <w:vAlign w:val="center"/>
            <w:hideMark/>
          </w:tcPr>
          <w:p w14:paraId="2F1CDEB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019805D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4024E54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627C4B9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3B09E1D3"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359E3CD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12</w:t>
            </w:r>
          </w:p>
        </w:tc>
        <w:tc>
          <w:tcPr>
            <w:tcW w:w="735" w:type="pct"/>
            <w:tcBorders>
              <w:top w:val="nil"/>
              <w:left w:val="nil"/>
              <w:bottom w:val="single" w:sz="4" w:space="0" w:color="auto"/>
              <w:right w:val="single" w:sz="4" w:space="0" w:color="auto"/>
            </w:tcBorders>
            <w:shd w:val="clear" w:color="auto" w:fill="auto"/>
            <w:vAlign w:val="center"/>
            <w:hideMark/>
          </w:tcPr>
          <w:p w14:paraId="129051F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organizimin dhe funksionimin e shërbimit të mjekësisë ligjore në Republikën e Shqipërisë</w:t>
            </w:r>
          </w:p>
        </w:tc>
        <w:tc>
          <w:tcPr>
            <w:tcW w:w="371" w:type="pct"/>
            <w:tcBorders>
              <w:top w:val="nil"/>
              <w:left w:val="nil"/>
              <w:bottom w:val="single" w:sz="4" w:space="0" w:color="auto"/>
              <w:right w:val="single" w:sz="4" w:space="0" w:color="auto"/>
            </w:tcBorders>
            <w:shd w:val="clear" w:color="auto" w:fill="auto"/>
            <w:noWrap/>
            <w:vAlign w:val="center"/>
            <w:hideMark/>
          </w:tcPr>
          <w:p w14:paraId="45A5D02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Projektligj</w:t>
            </w:r>
          </w:p>
        </w:tc>
        <w:tc>
          <w:tcPr>
            <w:tcW w:w="450" w:type="pct"/>
            <w:tcBorders>
              <w:top w:val="nil"/>
              <w:left w:val="nil"/>
              <w:bottom w:val="single" w:sz="4" w:space="0" w:color="auto"/>
              <w:right w:val="single" w:sz="4" w:space="0" w:color="auto"/>
            </w:tcBorders>
            <w:shd w:val="clear" w:color="auto" w:fill="auto"/>
            <w:noWrap/>
            <w:vAlign w:val="center"/>
            <w:hideMark/>
          </w:tcPr>
          <w:p w14:paraId="052FCE2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1603669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1B8259F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Kjo nismë ndërmerret në kuadër të reformimit të Institutit të Mjekësisë Ligjore në Republikën e Shqipërisë si institucioni i vetëm përgjegjës për kryerjen e ekspertimeve mjeko-ligjore. Për shkak të vështirësive praktike dhe faktit se ky shërbim ofrohet bazuar në një vendim të Këshillit të Ministrave, është diktuar nevoja për hartimin për here të parë të një ligji që rregullon këtë fushë duke ofruar zbatim më të gjerë dhe rregullim më të detajuar në kuadër të përmirësimit të ofrimit të shërbimit në mbështetjen e institucioneve të drejtësisë. </w:t>
            </w:r>
          </w:p>
        </w:tc>
        <w:tc>
          <w:tcPr>
            <w:tcW w:w="967" w:type="pct"/>
            <w:tcBorders>
              <w:top w:val="nil"/>
              <w:left w:val="nil"/>
              <w:bottom w:val="single" w:sz="4" w:space="0" w:color="auto"/>
              <w:right w:val="single" w:sz="4" w:space="0" w:color="auto"/>
            </w:tcBorders>
            <w:shd w:val="clear" w:color="auto" w:fill="auto"/>
            <w:vAlign w:val="center"/>
            <w:hideMark/>
          </w:tcPr>
          <w:p w14:paraId="72C2F0C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Përcaktimi i mënyrës së organizimit dhe funksionimit të shërbimit të mjekësisë ligjore, mënyra e oragnizimit të Institutit të Mjekësisë Ligjore, emërimi, lirimi dhe shkarkimi i ekspertëve, rregullimi i maarëdhënieve të punës, trajtimi financiar, të drejtat e detyrimet e tjera, rregullat mbi kryerjen e ekspertimeve dhe bashkëpunimin me institucionet e treta, administrimin e morgjeve si dhe rregullat e sjelljes dhe masat disiplinore.  </w:t>
            </w:r>
          </w:p>
        </w:tc>
        <w:tc>
          <w:tcPr>
            <w:tcW w:w="260" w:type="pct"/>
            <w:tcBorders>
              <w:top w:val="nil"/>
              <w:left w:val="nil"/>
              <w:bottom w:val="single" w:sz="4" w:space="0" w:color="auto"/>
              <w:right w:val="single" w:sz="4" w:space="0" w:color="auto"/>
            </w:tcBorders>
            <w:shd w:val="clear" w:color="auto" w:fill="auto"/>
            <w:vAlign w:val="center"/>
            <w:hideMark/>
          </w:tcPr>
          <w:p w14:paraId="3B9D345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18EE43F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07B29B2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69F6C5A9"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75195559"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0529380B"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13</w:t>
            </w:r>
          </w:p>
        </w:tc>
        <w:tc>
          <w:tcPr>
            <w:tcW w:w="735" w:type="pct"/>
            <w:tcBorders>
              <w:top w:val="nil"/>
              <w:left w:val="nil"/>
              <w:bottom w:val="single" w:sz="4" w:space="0" w:color="auto"/>
              <w:right w:val="single" w:sz="4" w:space="0" w:color="auto"/>
            </w:tcBorders>
            <w:shd w:val="clear" w:color="auto" w:fill="auto"/>
            <w:vAlign w:val="center"/>
            <w:hideMark/>
          </w:tcPr>
          <w:p w14:paraId="1957B00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Per percaktimin e kushteve per punonjësit në Policinë e Burgjeve qe mbajnë armën në përdorim personal</w:t>
            </w:r>
          </w:p>
        </w:tc>
        <w:tc>
          <w:tcPr>
            <w:tcW w:w="371" w:type="pct"/>
            <w:tcBorders>
              <w:top w:val="nil"/>
              <w:left w:val="nil"/>
              <w:bottom w:val="single" w:sz="4" w:space="0" w:color="auto"/>
              <w:right w:val="single" w:sz="4" w:space="0" w:color="auto"/>
            </w:tcBorders>
            <w:shd w:val="clear" w:color="auto" w:fill="auto"/>
            <w:noWrap/>
            <w:vAlign w:val="center"/>
            <w:hideMark/>
          </w:tcPr>
          <w:p w14:paraId="5409A31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w:t>
            </w:r>
          </w:p>
        </w:tc>
        <w:tc>
          <w:tcPr>
            <w:tcW w:w="450" w:type="pct"/>
            <w:tcBorders>
              <w:top w:val="nil"/>
              <w:left w:val="nil"/>
              <w:bottom w:val="single" w:sz="4" w:space="0" w:color="auto"/>
              <w:right w:val="single" w:sz="4" w:space="0" w:color="auto"/>
            </w:tcBorders>
            <w:shd w:val="clear" w:color="auto" w:fill="auto"/>
            <w:noWrap/>
            <w:vAlign w:val="center"/>
            <w:hideMark/>
          </w:tcPr>
          <w:p w14:paraId="10C25DF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0B9B471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5F03E57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Miratimi i këtij projektvendimi vjen në kuadër të ndryshimeve të bëra në ligjin nr. 80/2020 "Per policine e Burgjeve"  nëpërmjet ligjit nr. 39/2023 me qëllim përcaktimin e kushteve për mbajtjen e armës nga Policia e Burgjeve</w:t>
            </w:r>
          </w:p>
        </w:tc>
        <w:tc>
          <w:tcPr>
            <w:tcW w:w="967" w:type="pct"/>
            <w:tcBorders>
              <w:top w:val="nil"/>
              <w:left w:val="nil"/>
              <w:bottom w:val="single" w:sz="4" w:space="0" w:color="auto"/>
              <w:right w:val="single" w:sz="4" w:space="0" w:color="auto"/>
            </w:tcBorders>
            <w:shd w:val="clear" w:color="auto" w:fill="auto"/>
            <w:vAlign w:val="center"/>
            <w:hideMark/>
          </w:tcPr>
          <w:p w14:paraId="338726C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 Prcaktimi i kushteve për mbajtjen e armës nga Policia e Burgjeve</w:t>
            </w:r>
          </w:p>
        </w:tc>
        <w:tc>
          <w:tcPr>
            <w:tcW w:w="260" w:type="pct"/>
            <w:tcBorders>
              <w:top w:val="nil"/>
              <w:left w:val="nil"/>
              <w:bottom w:val="single" w:sz="4" w:space="0" w:color="auto"/>
              <w:right w:val="single" w:sz="4" w:space="0" w:color="auto"/>
            </w:tcBorders>
            <w:shd w:val="clear" w:color="auto" w:fill="auto"/>
            <w:vAlign w:val="center"/>
            <w:hideMark/>
          </w:tcPr>
          <w:p w14:paraId="62E86A20"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093C3DC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671B6B5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21F2A7B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3A85EC95"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67EC1BC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14</w:t>
            </w:r>
          </w:p>
        </w:tc>
        <w:tc>
          <w:tcPr>
            <w:tcW w:w="735" w:type="pct"/>
            <w:tcBorders>
              <w:top w:val="nil"/>
              <w:left w:val="nil"/>
              <w:bottom w:val="single" w:sz="4" w:space="0" w:color="auto"/>
              <w:right w:val="single" w:sz="4" w:space="0" w:color="auto"/>
            </w:tcBorders>
            <w:shd w:val="clear" w:color="auto" w:fill="auto"/>
            <w:vAlign w:val="center"/>
            <w:hideMark/>
          </w:tcPr>
          <w:p w14:paraId="67F3C45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Per percaktimin e kritereve dhe procedures për përfitimin e kredisë me kushte lehtësuese dhe masa e saj</w:t>
            </w:r>
          </w:p>
        </w:tc>
        <w:tc>
          <w:tcPr>
            <w:tcW w:w="371" w:type="pct"/>
            <w:tcBorders>
              <w:top w:val="nil"/>
              <w:left w:val="nil"/>
              <w:bottom w:val="single" w:sz="4" w:space="0" w:color="auto"/>
              <w:right w:val="single" w:sz="4" w:space="0" w:color="auto"/>
            </w:tcBorders>
            <w:shd w:val="clear" w:color="auto" w:fill="auto"/>
            <w:noWrap/>
            <w:vAlign w:val="center"/>
            <w:hideMark/>
          </w:tcPr>
          <w:p w14:paraId="0DC120C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w:t>
            </w:r>
          </w:p>
        </w:tc>
        <w:tc>
          <w:tcPr>
            <w:tcW w:w="450" w:type="pct"/>
            <w:tcBorders>
              <w:top w:val="nil"/>
              <w:left w:val="nil"/>
              <w:bottom w:val="single" w:sz="4" w:space="0" w:color="auto"/>
              <w:right w:val="single" w:sz="4" w:space="0" w:color="auto"/>
            </w:tcBorders>
            <w:shd w:val="clear" w:color="auto" w:fill="auto"/>
            <w:noWrap/>
            <w:vAlign w:val="center"/>
            <w:hideMark/>
          </w:tcPr>
          <w:p w14:paraId="4512D82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7EFACE3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76C61ED2"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Miratimi i këtij projektvendimi vjen në kuadër të ndryshimeve të bëra në ligjin nr. 80/2020 "Per policine e Burgjeve"  nëpërmjet ligjit nr. 39/2023 për përcaktimin e kritereve dhe procedurës për përfitimin e kredisë me kushte lehtësuese </w:t>
            </w:r>
          </w:p>
        </w:tc>
        <w:tc>
          <w:tcPr>
            <w:tcW w:w="967" w:type="pct"/>
            <w:tcBorders>
              <w:top w:val="nil"/>
              <w:left w:val="nil"/>
              <w:bottom w:val="single" w:sz="4" w:space="0" w:color="auto"/>
              <w:right w:val="single" w:sz="4" w:space="0" w:color="auto"/>
            </w:tcBorders>
            <w:shd w:val="clear" w:color="auto" w:fill="auto"/>
            <w:vAlign w:val="center"/>
            <w:hideMark/>
          </w:tcPr>
          <w:p w14:paraId="29994E7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 Përcaktimi i kritereve dhe procedurës për përfitimin e kredisë me kushte lehtësuese </w:t>
            </w:r>
          </w:p>
        </w:tc>
        <w:tc>
          <w:tcPr>
            <w:tcW w:w="260" w:type="pct"/>
            <w:tcBorders>
              <w:top w:val="nil"/>
              <w:left w:val="nil"/>
              <w:bottom w:val="single" w:sz="4" w:space="0" w:color="auto"/>
              <w:right w:val="single" w:sz="4" w:space="0" w:color="auto"/>
            </w:tcBorders>
            <w:shd w:val="clear" w:color="auto" w:fill="auto"/>
            <w:vAlign w:val="center"/>
            <w:hideMark/>
          </w:tcPr>
          <w:p w14:paraId="7963B53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012B1F1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6E53E28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23276CC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73D8C2BA"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3ED1F07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15</w:t>
            </w:r>
          </w:p>
        </w:tc>
        <w:tc>
          <w:tcPr>
            <w:tcW w:w="735" w:type="pct"/>
            <w:tcBorders>
              <w:top w:val="nil"/>
              <w:left w:val="nil"/>
              <w:bottom w:val="single" w:sz="4" w:space="0" w:color="auto"/>
              <w:right w:val="single" w:sz="4" w:space="0" w:color="auto"/>
            </w:tcBorders>
            <w:shd w:val="clear" w:color="auto" w:fill="auto"/>
            <w:vAlign w:val="center"/>
            <w:hideMark/>
          </w:tcPr>
          <w:p w14:paraId="1703B58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Per miratimin e rregullave për ekuivalentimin e gradave të Forcave të Armatosura të Republikës së Shqipërisë, Policisë së Shtetit, Gardës së Republikës dhe punonjësit e Shërbimit të Mbrojtjes nga Zjarri dhe Shpëtimi me gradat e Policisë së Burgjeve</w:t>
            </w:r>
          </w:p>
        </w:tc>
        <w:tc>
          <w:tcPr>
            <w:tcW w:w="371" w:type="pct"/>
            <w:tcBorders>
              <w:top w:val="nil"/>
              <w:left w:val="nil"/>
              <w:bottom w:val="single" w:sz="4" w:space="0" w:color="auto"/>
              <w:right w:val="single" w:sz="4" w:space="0" w:color="auto"/>
            </w:tcBorders>
            <w:shd w:val="clear" w:color="auto" w:fill="auto"/>
            <w:noWrap/>
            <w:vAlign w:val="center"/>
            <w:hideMark/>
          </w:tcPr>
          <w:p w14:paraId="0457551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w:t>
            </w:r>
          </w:p>
        </w:tc>
        <w:tc>
          <w:tcPr>
            <w:tcW w:w="450" w:type="pct"/>
            <w:tcBorders>
              <w:top w:val="nil"/>
              <w:left w:val="nil"/>
              <w:bottom w:val="single" w:sz="4" w:space="0" w:color="auto"/>
              <w:right w:val="single" w:sz="4" w:space="0" w:color="auto"/>
            </w:tcBorders>
            <w:shd w:val="clear" w:color="auto" w:fill="auto"/>
            <w:noWrap/>
            <w:vAlign w:val="center"/>
            <w:hideMark/>
          </w:tcPr>
          <w:p w14:paraId="2567CF1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1A804B4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46D46C7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Miratimi i këtij projektvendimi vjen në kuadër të ndryshimeve të bëra në ligjin nr. 80/2020 "Per policine e Burgjeve"  nëpërmjet ligjit nr. 39/2023 me qllim ekuvalentimin e gradave të punonjësve në detyra të ngjashme me Policinë e Burgjeve </w:t>
            </w:r>
          </w:p>
        </w:tc>
        <w:tc>
          <w:tcPr>
            <w:tcW w:w="967" w:type="pct"/>
            <w:tcBorders>
              <w:top w:val="nil"/>
              <w:left w:val="nil"/>
              <w:bottom w:val="single" w:sz="4" w:space="0" w:color="auto"/>
              <w:right w:val="single" w:sz="4" w:space="0" w:color="auto"/>
            </w:tcBorders>
            <w:shd w:val="clear" w:color="auto" w:fill="auto"/>
            <w:vAlign w:val="center"/>
            <w:hideMark/>
          </w:tcPr>
          <w:p w14:paraId="5E51AEE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 xml:space="preserve">Përcaktimi i rregullave për ekuvalentimin e gradave të punonjësve në detyra të ngjashme me Policinë e Burgjeve dhe konkretisht punonjësit e Forcave të Armatosura të Republikës së Shqipërisë, Policisë së Shtetit, Gardës së Republikës dhe punonjësit e Shërbimit të Mbrojtjes nga Zjarri dhe Shpëtimi </w:t>
            </w:r>
          </w:p>
        </w:tc>
        <w:tc>
          <w:tcPr>
            <w:tcW w:w="260" w:type="pct"/>
            <w:tcBorders>
              <w:top w:val="nil"/>
              <w:left w:val="nil"/>
              <w:bottom w:val="single" w:sz="4" w:space="0" w:color="auto"/>
              <w:right w:val="single" w:sz="4" w:space="0" w:color="auto"/>
            </w:tcBorders>
            <w:shd w:val="clear" w:color="auto" w:fill="auto"/>
            <w:vAlign w:val="center"/>
            <w:hideMark/>
          </w:tcPr>
          <w:p w14:paraId="7EAFAB0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344241C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noWrap/>
            <w:vAlign w:val="center"/>
            <w:hideMark/>
          </w:tcPr>
          <w:p w14:paraId="6CE35047"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60" w:type="pct"/>
            <w:tcBorders>
              <w:top w:val="nil"/>
              <w:left w:val="nil"/>
              <w:bottom w:val="single" w:sz="4" w:space="0" w:color="auto"/>
              <w:right w:val="single" w:sz="4" w:space="0" w:color="auto"/>
            </w:tcBorders>
            <w:shd w:val="clear" w:color="auto" w:fill="auto"/>
            <w:noWrap/>
            <w:vAlign w:val="center"/>
            <w:hideMark/>
          </w:tcPr>
          <w:p w14:paraId="678BA8D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r w:rsidR="00C43D83" w:rsidRPr="00C43D83" w14:paraId="231D266A" w14:textId="77777777" w:rsidTr="00C43D83">
        <w:trPr>
          <w:trHeight w:val="180"/>
        </w:trPr>
        <w:tc>
          <w:tcPr>
            <w:tcW w:w="100" w:type="pct"/>
            <w:tcBorders>
              <w:top w:val="nil"/>
              <w:left w:val="nil"/>
              <w:bottom w:val="single" w:sz="4" w:space="0" w:color="auto"/>
              <w:right w:val="single" w:sz="4" w:space="0" w:color="auto"/>
            </w:tcBorders>
            <w:shd w:val="clear" w:color="auto" w:fill="auto"/>
            <w:noWrap/>
            <w:vAlign w:val="center"/>
            <w:hideMark/>
          </w:tcPr>
          <w:p w14:paraId="5DB3411F"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16</w:t>
            </w:r>
          </w:p>
        </w:tc>
        <w:tc>
          <w:tcPr>
            <w:tcW w:w="735" w:type="pct"/>
            <w:tcBorders>
              <w:top w:val="nil"/>
              <w:left w:val="nil"/>
              <w:bottom w:val="single" w:sz="4" w:space="0" w:color="auto"/>
              <w:right w:val="single" w:sz="4" w:space="0" w:color="auto"/>
            </w:tcBorders>
            <w:shd w:val="clear" w:color="auto" w:fill="auto"/>
            <w:vAlign w:val="center"/>
            <w:hideMark/>
          </w:tcPr>
          <w:p w14:paraId="40D61D4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Për miratimin e Strategjisë Ndërsektoriale të Drejtësisë 2024-2030 dhe të planit të saj të veprimit</w:t>
            </w:r>
          </w:p>
        </w:tc>
        <w:tc>
          <w:tcPr>
            <w:tcW w:w="371" w:type="pct"/>
            <w:tcBorders>
              <w:top w:val="nil"/>
              <w:left w:val="nil"/>
              <w:bottom w:val="single" w:sz="4" w:space="0" w:color="auto"/>
              <w:right w:val="single" w:sz="4" w:space="0" w:color="auto"/>
            </w:tcBorders>
            <w:shd w:val="clear" w:color="auto" w:fill="auto"/>
            <w:noWrap/>
            <w:vAlign w:val="center"/>
            <w:hideMark/>
          </w:tcPr>
          <w:p w14:paraId="712EE10C"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w:t>
            </w:r>
          </w:p>
        </w:tc>
        <w:tc>
          <w:tcPr>
            <w:tcW w:w="450" w:type="pct"/>
            <w:tcBorders>
              <w:top w:val="nil"/>
              <w:left w:val="nil"/>
              <w:bottom w:val="single" w:sz="4" w:space="0" w:color="auto"/>
              <w:right w:val="single" w:sz="4" w:space="0" w:color="auto"/>
            </w:tcBorders>
            <w:shd w:val="clear" w:color="auto" w:fill="auto"/>
            <w:noWrap/>
            <w:vAlign w:val="center"/>
            <w:hideMark/>
          </w:tcPr>
          <w:p w14:paraId="2E7C6D8A"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Ministri i Drejtësisë</w:t>
            </w:r>
          </w:p>
        </w:tc>
        <w:tc>
          <w:tcPr>
            <w:tcW w:w="284" w:type="pct"/>
            <w:tcBorders>
              <w:top w:val="nil"/>
              <w:left w:val="nil"/>
              <w:bottom w:val="single" w:sz="4" w:space="0" w:color="auto"/>
              <w:right w:val="single" w:sz="4" w:space="0" w:color="auto"/>
            </w:tcBorders>
            <w:shd w:val="clear" w:color="auto" w:fill="auto"/>
            <w:noWrap/>
            <w:vAlign w:val="center"/>
            <w:hideMark/>
          </w:tcPr>
          <w:p w14:paraId="76831B6D"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Katërmujori III</w:t>
            </w:r>
          </w:p>
        </w:tc>
        <w:tc>
          <w:tcPr>
            <w:tcW w:w="599" w:type="pct"/>
            <w:tcBorders>
              <w:top w:val="nil"/>
              <w:left w:val="nil"/>
              <w:bottom w:val="single" w:sz="4" w:space="0" w:color="auto"/>
              <w:right w:val="single" w:sz="4" w:space="0" w:color="auto"/>
            </w:tcBorders>
            <w:shd w:val="clear" w:color="auto" w:fill="auto"/>
            <w:vAlign w:val="center"/>
            <w:hideMark/>
          </w:tcPr>
          <w:p w14:paraId="1EC00BB4"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Hartimi i një strategjie të re sektoriale të drejtësisë e cila është në përputhje me udhërrëfyesin për shtetin e së drejtës dhe vizionin e Republikës së Shqipërisë për integrimin evropian në fushën e drejtësisë</w:t>
            </w:r>
          </w:p>
        </w:tc>
        <w:tc>
          <w:tcPr>
            <w:tcW w:w="967" w:type="pct"/>
            <w:tcBorders>
              <w:top w:val="nil"/>
              <w:left w:val="nil"/>
              <w:bottom w:val="single" w:sz="4" w:space="0" w:color="auto"/>
              <w:right w:val="single" w:sz="4" w:space="0" w:color="auto"/>
            </w:tcBorders>
            <w:shd w:val="clear" w:color="auto" w:fill="auto"/>
            <w:vAlign w:val="center"/>
            <w:hideMark/>
          </w:tcPr>
          <w:p w14:paraId="488DA978"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Projektvendimi synon adresimin e politikave të sistemit të drejtësisë të bazuara sipas masave strategjike të parashikuara në Udhërrëfyesin për Shtetin e së Drejtës – Kapitullin 23 “Gjyqësori dhe të drejtat themelore”, si dhe do të adresojë politika që lidhen me Edukimin Ligjor të Publikut në fushën e drejtësisë.</w:t>
            </w:r>
          </w:p>
        </w:tc>
        <w:tc>
          <w:tcPr>
            <w:tcW w:w="260" w:type="pct"/>
            <w:tcBorders>
              <w:top w:val="nil"/>
              <w:left w:val="nil"/>
              <w:bottom w:val="single" w:sz="4" w:space="0" w:color="auto"/>
              <w:right w:val="single" w:sz="4" w:space="0" w:color="auto"/>
            </w:tcBorders>
            <w:shd w:val="clear" w:color="auto" w:fill="auto"/>
            <w:vAlign w:val="center"/>
            <w:hideMark/>
          </w:tcPr>
          <w:p w14:paraId="7DAB3975"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388" w:type="pct"/>
            <w:tcBorders>
              <w:top w:val="nil"/>
              <w:left w:val="nil"/>
              <w:bottom w:val="single" w:sz="4" w:space="0" w:color="auto"/>
              <w:right w:val="single" w:sz="4" w:space="0" w:color="auto"/>
            </w:tcBorders>
            <w:shd w:val="clear" w:color="auto" w:fill="auto"/>
            <w:noWrap/>
            <w:vAlign w:val="center"/>
            <w:hideMark/>
          </w:tcPr>
          <w:p w14:paraId="2CC827AE"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Jo</w:t>
            </w:r>
          </w:p>
        </w:tc>
        <w:tc>
          <w:tcPr>
            <w:tcW w:w="485" w:type="pct"/>
            <w:tcBorders>
              <w:top w:val="nil"/>
              <w:left w:val="nil"/>
              <w:bottom w:val="single" w:sz="4" w:space="0" w:color="auto"/>
              <w:right w:val="single" w:sz="4" w:space="0" w:color="auto"/>
            </w:tcBorders>
            <w:shd w:val="clear" w:color="auto" w:fill="auto"/>
            <w:vAlign w:val="center"/>
            <w:hideMark/>
          </w:tcPr>
          <w:p w14:paraId="15A70086"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Po/Udhërrëfyesi për Shtetin e së Drejtës – Kapitullin 23 “Gjyqësori dhe të drejtat themelore</w:t>
            </w:r>
          </w:p>
        </w:tc>
        <w:tc>
          <w:tcPr>
            <w:tcW w:w="360" w:type="pct"/>
            <w:tcBorders>
              <w:top w:val="nil"/>
              <w:left w:val="nil"/>
              <w:bottom w:val="single" w:sz="4" w:space="0" w:color="auto"/>
              <w:right w:val="single" w:sz="4" w:space="0" w:color="auto"/>
            </w:tcBorders>
            <w:shd w:val="clear" w:color="auto" w:fill="auto"/>
            <w:noWrap/>
            <w:vAlign w:val="center"/>
            <w:hideMark/>
          </w:tcPr>
          <w:p w14:paraId="42CBE501" w14:textId="77777777" w:rsidR="00C43D83" w:rsidRPr="00C43D83" w:rsidRDefault="00C43D83" w:rsidP="00C43D8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43D83">
              <w:rPr>
                <w:rFonts w:ascii="Arial" w:eastAsia="Times New Roman" w:hAnsi="Arial" w:cs="Arial"/>
                <w:color w:val="000000"/>
                <w:sz w:val="12"/>
                <w:szCs w:val="12"/>
                <w:bdr w:val="none" w:sz="0" w:space="0" w:color="auto"/>
              </w:rPr>
              <w:t>Po</w:t>
            </w:r>
          </w:p>
        </w:tc>
      </w:tr>
    </w:tbl>
    <w:p w14:paraId="54B211C9" w14:textId="60FC4781" w:rsidR="00C43D83" w:rsidRDefault="00C43D83" w:rsidP="009F3407">
      <w:pPr>
        <w:pStyle w:val="BodyA"/>
        <w:jc w:val="center"/>
        <w:rPr>
          <w:sz w:val="28"/>
          <w:szCs w:val="28"/>
          <w:lang w:val="it-IT"/>
        </w:rPr>
      </w:pPr>
    </w:p>
    <w:p w14:paraId="49500D55" w14:textId="1F1C5E2E" w:rsidR="00561601" w:rsidRDefault="00561601" w:rsidP="009F3407">
      <w:pPr>
        <w:pStyle w:val="BodyA"/>
        <w:jc w:val="center"/>
        <w:rPr>
          <w:sz w:val="28"/>
          <w:szCs w:val="28"/>
          <w:lang w:val="it-IT"/>
        </w:rPr>
      </w:pPr>
    </w:p>
    <w:p w14:paraId="1E55DE8F" w14:textId="5F47D13D" w:rsidR="00561601" w:rsidRDefault="00561601" w:rsidP="009F3407">
      <w:pPr>
        <w:pStyle w:val="BodyA"/>
        <w:jc w:val="center"/>
        <w:rPr>
          <w:sz w:val="28"/>
          <w:szCs w:val="28"/>
          <w:lang w:val="it-IT"/>
        </w:rPr>
      </w:pPr>
    </w:p>
    <w:p w14:paraId="61330153" w14:textId="7CC6CA21" w:rsidR="00561601" w:rsidRDefault="00561601" w:rsidP="009F3407">
      <w:pPr>
        <w:pStyle w:val="BodyA"/>
        <w:jc w:val="center"/>
        <w:rPr>
          <w:sz w:val="28"/>
          <w:szCs w:val="28"/>
          <w:lang w:val="it-IT"/>
        </w:rPr>
      </w:pPr>
    </w:p>
    <w:p w14:paraId="7145534A" w14:textId="0B992F1A" w:rsidR="00561601" w:rsidRDefault="00561601" w:rsidP="009F3407">
      <w:pPr>
        <w:pStyle w:val="BodyA"/>
        <w:jc w:val="center"/>
        <w:rPr>
          <w:sz w:val="28"/>
          <w:szCs w:val="28"/>
          <w:lang w:val="it-IT"/>
        </w:rPr>
      </w:pPr>
    </w:p>
    <w:p w14:paraId="0EB0BD9C" w14:textId="39DA1C7C" w:rsidR="00561601" w:rsidRDefault="00561601" w:rsidP="009F3407">
      <w:pPr>
        <w:pStyle w:val="BodyA"/>
        <w:jc w:val="center"/>
        <w:rPr>
          <w:sz w:val="28"/>
          <w:szCs w:val="28"/>
          <w:lang w:val="it-IT"/>
        </w:rPr>
      </w:pPr>
    </w:p>
    <w:p w14:paraId="7F83969D" w14:textId="66E7A5DD" w:rsidR="00CD6382" w:rsidRDefault="00CD6382" w:rsidP="009F3407">
      <w:pPr>
        <w:pStyle w:val="BodyA"/>
        <w:jc w:val="center"/>
        <w:rPr>
          <w:sz w:val="28"/>
          <w:szCs w:val="28"/>
          <w:lang w:val="it-IT"/>
        </w:rPr>
      </w:pPr>
    </w:p>
    <w:p w14:paraId="5FD30DFD" w14:textId="3ECC82AB" w:rsidR="00CD6382" w:rsidRDefault="00CD6382" w:rsidP="009F3407">
      <w:pPr>
        <w:pStyle w:val="BodyA"/>
        <w:jc w:val="center"/>
        <w:rPr>
          <w:sz w:val="28"/>
          <w:szCs w:val="28"/>
          <w:lang w:val="it-IT"/>
        </w:rPr>
      </w:pPr>
    </w:p>
    <w:p w14:paraId="46BDB934" w14:textId="77777777" w:rsidR="00CD6382" w:rsidRDefault="00CD6382" w:rsidP="009F3407">
      <w:pPr>
        <w:pStyle w:val="BodyA"/>
        <w:jc w:val="center"/>
        <w:rPr>
          <w:sz w:val="28"/>
          <w:szCs w:val="28"/>
          <w:lang w:val="it-IT"/>
        </w:rPr>
      </w:pPr>
    </w:p>
    <w:tbl>
      <w:tblPr>
        <w:tblW w:w="5000" w:type="pct"/>
        <w:jc w:val="center"/>
        <w:tblLook w:val="04A0" w:firstRow="1" w:lastRow="0" w:firstColumn="1" w:lastColumn="0" w:noHBand="0" w:noVBand="1"/>
      </w:tblPr>
      <w:tblGrid>
        <w:gridCol w:w="528"/>
        <w:gridCol w:w="1602"/>
        <w:gridCol w:w="1357"/>
        <w:gridCol w:w="1108"/>
        <w:gridCol w:w="1170"/>
        <w:gridCol w:w="1496"/>
        <w:gridCol w:w="1404"/>
        <w:gridCol w:w="1248"/>
        <w:gridCol w:w="1555"/>
        <w:gridCol w:w="1284"/>
        <w:gridCol w:w="1206"/>
      </w:tblGrid>
      <w:tr w:rsidR="00CD6382" w:rsidRPr="00CD6382" w14:paraId="6AD8ECF2" w14:textId="77777777" w:rsidTr="00CD6382">
        <w:trPr>
          <w:trHeight w:val="180"/>
          <w:jc w:val="center"/>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41A4D054"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CD6382">
              <w:rPr>
                <w:rFonts w:ascii="Arial" w:eastAsia="Times New Roman" w:hAnsi="Arial" w:cs="Arial"/>
                <w:b/>
                <w:bCs/>
                <w:color w:val="000000"/>
                <w:sz w:val="12"/>
                <w:szCs w:val="12"/>
                <w:bdr w:val="none" w:sz="0" w:space="0" w:color="auto"/>
              </w:rPr>
              <w:t>Programi i Përgjithshëm Analitik i Projektakteve për vitin 2024</w:t>
            </w:r>
          </w:p>
        </w:tc>
      </w:tr>
      <w:tr w:rsidR="00CD6382" w:rsidRPr="00CD6382" w14:paraId="6920E1B7" w14:textId="77777777" w:rsidTr="00CD6382">
        <w:trPr>
          <w:trHeight w:val="180"/>
          <w:jc w:val="center"/>
        </w:trPr>
        <w:tc>
          <w:tcPr>
            <w:tcW w:w="5000" w:type="pct"/>
            <w:gridSpan w:val="11"/>
            <w:tcBorders>
              <w:top w:val="single" w:sz="4" w:space="0" w:color="FFFFFF"/>
              <w:left w:val="nil"/>
              <w:bottom w:val="nil"/>
              <w:right w:val="nil"/>
            </w:tcBorders>
            <w:shd w:val="clear" w:color="000000" w:fill="F2F2F2"/>
            <w:vAlign w:val="center"/>
            <w:hideMark/>
          </w:tcPr>
          <w:p w14:paraId="1F06F63A"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CD6382">
              <w:rPr>
                <w:rFonts w:ascii="Arial" w:eastAsia="Times New Roman" w:hAnsi="Arial" w:cs="Arial"/>
                <w:b/>
                <w:bCs/>
                <w:color w:val="000000"/>
                <w:sz w:val="12"/>
                <w:szCs w:val="12"/>
                <w:bdr w:val="none" w:sz="0" w:space="0" w:color="auto"/>
              </w:rPr>
              <w:t>Ministri për Evropën dhe Punët e Jashtme</w:t>
            </w:r>
          </w:p>
        </w:tc>
      </w:tr>
      <w:tr w:rsidR="00CD6382" w:rsidRPr="00CD6382" w14:paraId="7CF5DFFD" w14:textId="77777777" w:rsidTr="00CD6382">
        <w:trPr>
          <w:trHeight w:val="180"/>
          <w:jc w:val="center"/>
        </w:trPr>
        <w:tc>
          <w:tcPr>
            <w:tcW w:w="189"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2D8010B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Nr.</w:t>
            </w:r>
          </w:p>
        </w:tc>
        <w:tc>
          <w:tcPr>
            <w:tcW w:w="574" w:type="pct"/>
            <w:tcBorders>
              <w:top w:val="single" w:sz="4" w:space="0" w:color="auto"/>
              <w:left w:val="nil"/>
              <w:bottom w:val="single" w:sz="4" w:space="0" w:color="auto"/>
              <w:right w:val="single" w:sz="4" w:space="0" w:color="auto"/>
            </w:tcBorders>
            <w:shd w:val="clear" w:color="000000" w:fill="C00000"/>
            <w:vAlign w:val="center"/>
            <w:hideMark/>
          </w:tcPr>
          <w:p w14:paraId="250EBB5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Titulli i projektaktit</w:t>
            </w:r>
          </w:p>
        </w:tc>
        <w:tc>
          <w:tcPr>
            <w:tcW w:w="486" w:type="pct"/>
            <w:tcBorders>
              <w:top w:val="single" w:sz="4" w:space="0" w:color="auto"/>
              <w:left w:val="nil"/>
              <w:bottom w:val="single" w:sz="4" w:space="0" w:color="auto"/>
              <w:right w:val="single" w:sz="4" w:space="0" w:color="auto"/>
            </w:tcBorders>
            <w:shd w:val="clear" w:color="000000" w:fill="C00000"/>
            <w:vAlign w:val="center"/>
            <w:hideMark/>
          </w:tcPr>
          <w:p w14:paraId="4134BCB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Lloji i projektaktit</w:t>
            </w:r>
          </w:p>
        </w:tc>
        <w:tc>
          <w:tcPr>
            <w:tcW w:w="397" w:type="pct"/>
            <w:tcBorders>
              <w:top w:val="single" w:sz="4" w:space="0" w:color="auto"/>
              <w:left w:val="nil"/>
              <w:bottom w:val="single" w:sz="4" w:space="0" w:color="auto"/>
              <w:right w:val="single" w:sz="4" w:space="0" w:color="auto"/>
            </w:tcBorders>
            <w:shd w:val="clear" w:color="000000" w:fill="C00000"/>
            <w:vAlign w:val="center"/>
            <w:hideMark/>
          </w:tcPr>
          <w:p w14:paraId="1F37708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Ministri propozues</w:t>
            </w:r>
          </w:p>
        </w:tc>
        <w:tc>
          <w:tcPr>
            <w:tcW w:w="419" w:type="pct"/>
            <w:tcBorders>
              <w:top w:val="single" w:sz="4" w:space="0" w:color="auto"/>
              <w:left w:val="nil"/>
              <w:bottom w:val="single" w:sz="4" w:space="0" w:color="auto"/>
              <w:right w:val="single" w:sz="4" w:space="0" w:color="auto"/>
            </w:tcBorders>
            <w:shd w:val="clear" w:color="000000" w:fill="C00000"/>
            <w:vAlign w:val="center"/>
            <w:hideMark/>
          </w:tcPr>
          <w:p w14:paraId="2CE399B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Katër mujori</w:t>
            </w:r>
          </w:p>
        </w:tc>
        <w:tc>
          <w:tcPr>
            <w:tcW w:w="536" w:type="pct"/>
            <w:tcBorders>
              <w:top w:val="single" w:sz="4" w:space="0" w:color="auto"/>
              <w:left w:val="nil"/>
              <w:bottom w:val="single" w:sz="4" w:space="0" w:color="auto"/>
              <w:right w:val="single" w:sz="4" w:space="0" w:color="auto"/>
            </w:tcBorders>
            <w:shd w:val="clear" w:color="000000" w:fill="C00000"/>
            <w:vAlign w:val="center"/>
            <w:hideMark/>
          </w:tcPr>
          <w:p w14:paraId="328C082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Arsyet kryesore për propozimin e projektaktit</w:t>
            </w:r>
          </w:p>
        </w:tc>
        <w:tc>
          <w:tcPr>
            <w:tcW w:w="503" w:type="pct"/>
            <w:tcBorders>
              <w:top w:val="single" w:sz="4" w:space="0" w:color="auto"/>
              <w:left w:val="nil"/>
              <w:bottom w:val="single" w:sz="4" w:space="0" w:color="auto"/>
              <w:right w:val="single" w:sz="4" w:space="0" w:color="auto"/>
            </w:tcBorders>
            <w:shd w:val="clear" w:color="000000" w:fill="C00000"/>
            <w:vAlign w:val="center"/>
            <w:hideMark/>
          </w:tcPr>
          <w:p w14:paraId="412256E7"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 xml:space="preserve">Çështjet kryesore që parashikon të rregullojë projektakti </w:t>
            </w:r>
          </w:p>
        </w:tc>
        <w:tc>
          <w:tcPr>
            <w:tcW w:w="447" w:type="pct"/>
            <w:tcBorders>
              <w:top w:val="single" w:sz="4" w:space="0" w:color="auto"/>
              <w:left w:val="nil"/>
              <w:bottom w:val="single" w:sz="4" w:space="0" w:color="auto"/>
              <w:right w:val="single" w:sz="4" w:space="0" w:color="auto"/>
            </w:tcBorders>
            <w:shd w:val="clear" w:color="000000" w:fill="C00000"/>
            <w:vAlign w:val="center"/>
            <w:hideMark/>
          </w:tcPr>
          <w:p w14:paraId="5D6CAA5E"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A është parashikuar projektakti në PKIE?</w:t>
            </w:r>
            <w:r w:rsidRPr="00CD6382">
              <w:rPr>
                <w:rFonts w:ascii="Arial" w:eastAsia="Times New Roman" w:hAnsi="Arial" w:cs="Arial"/>
                <w:b/>
                <w:bCs/>
                <w:color w:val="FFFFFF"/>
                <w:sz w:val="12"/>
                <w:szCs w:val="12"/>
                <w:bdr w:val="none" w:sz="0" w:space="0" w:color="auto"/>
              </w:rPr>
              <w:br/>
            </w:r>
            <w:r w:rsidRPr="00CD6382">
              <w:rPr>
                <w:rFonts w:ascii="Arial" w:eastAsia="Times New Roman" w:hAnsi="Arial" w:cs="Arial"/>
                <w:b/>
                <w:bCs/>
                <w:color w:val="FFFFFF"/>
                <w:sz w:val="12"/>
                <w:szCs w:val="12"/>
                <w:bdr w:val="none" w:sz="0" w:space="0" w:color="auto"/>
              </w:rPr>
              <w:br/>
              <w:t>Nëse po, të specifikohet kapitulli përkatës</w:t>
            </w:r>
          </w:p>
        </w:tc>
        <w:tc>
          <w:tcPr>
            <w:tcW w:w="557" w:type="pct"/>
            <w:tcBorders>
              <w:top w:val="single" w:sz="4" w:space="0" w:color="auto"/>
              <w:left w:val="nil"/>
              <w:bottom w:val="single" w:sz="4" w:space="0" w:color="auto"/>
              <w:right w:val="single" w:sz="4" w:space="0" w:color="auto"/>
            </w:tcBorders>
            <w:shd w:val="clear" w:color="000000" w:fill="C00000"/>
            <w:vAlign w:val="center"/>
            <w:hideMark/>
          </w:tcPr>
          <w:p w14:paraId="2CD0B8CF"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Përputhshmëria e projektaktit me programin politik qeverisës 2021-2025</w:t>
            </w:r>
            <w:r w:rsidRPr="00CD6382">
              <w:rPr>
                <w:rFonts w:ascii="Arial" w:eastAsia="Times New Roman" w:hAnsi="Arial" w:cs="Arial"/>
                <w:b/>
                <w:bCs/>
                <w:color w:val="FFFFFF"/>
                <w:sz w:val="12"/>
                <w:szCs w:val="12"/>
                <w:bdr w:val="none" w:sz="0" w:space="0" w:color="auto"/>
              </w:rPr>
              <w:br/>
            </w:r>
            <w:r w:rsidRPr="00CD6382">
              <w:rPr>
                <w:rFonts w:ascii="Arial" w:eastAsia="Times New Roman" w:hAnsi="Arial" w:cs="Arial"/>
                <w:b/>
                <w:bCs/>
                <w:color w:val="FFFFFF"/>
                <w:sz w:val="12"/>
                <w:szCs w:val="12"/>
                <w:bdr w:val="none" w:sz="0" w:space="0" w:color="auto"/>
              </w:rPr>
              <w:br/>
              <w:t>Nëse përputhet, të jepet  referenca e saktë në progam</w:t>
            </w:r>
          </w:p>
        </w:tc>
        <w:tc>
          <w:tcPr>
            <w:tcW w:w="460" w:type="pct"/>
            <w:tcBorders>
              <w:top w:val="single" w:sz="4" w:space="0" w:color="auto"/>
              <w:left w:val="nil"/>
              <w:bottom w:val="single" w:sz="4" w:space="0" w:color="auto"/>
              <w:right w:val="single" w:sz="4" w:space="0" w:color="auto"/>
            </w:tcBorders>
            <w:shd w:val="clear" w:color="000000" w:fill="C00000"/>
            <w:vAlign w:val="center"/>
            <w:hideMark/>
          </w:tcPr>
          <w:p w14:paraId="5E4E9CD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Lidhja e projektaktit me strategjitë kombëtare dhe sektoriale</w:t>
            </w:r>
            <w:r w:rsidRPr="00CD6382">
              <w:rPr>
                <w:rFonts w:ascii="Arial" w:eastAsia="Times New Roman" w:hAnsi="Arial" w:cs="Arial"/>
                <w:b/>
                <w:bCs/>
                <w:color w:val="FFFFFF"/>
                <w:sz w:val="12"/>
                <w:szCs w:val="12"/>
                <w:bdr w:val="none" w:sz="0" w:space="0" w:color="auto"/>
              </w:rPr>
              <w:br/>
            </w:r>
            <w:r w:rsidRPr="00CD6382">
              <w:rPr>
                <w:rFonts w:ascii="Arial" w:eastAsia="Times New Roman" w:hAnsi="Arial" w:cs="Arial"/>
                <w:b/>
                <w:bCs/>
                <w:color w:val="FFFFFF"/>
                <w:sz w:val="12"/>
                <w:szCs w:val="12"/>
                <w:bdr w:val="none" w:sz="0" w:space="0" w:color="auto"/>
              </w:rPr>
              <w:br/>
              <w:t>Nëse lidhet, të specifikohen strategjitë</w:t>
            </w:r>
          </w:p>
        </w:tc>
        <w:tc>
          <w:tcPr>
            <w:tcW w:w="431" w:type="pct"/>
            <w:tcBorders>
              <w:top w:val="single" w:sz="4" w:space="0" w:color="auto"/>
              <w:left w:val="nil"/>
              <w:bottom w:val="single" w:sz="4" w:space="0" w:color="auto"/>
              <w:right w:val="single" w:sz="4" w:space="0" w:color="auto"/>
            </w:tcBorders>
            <w:shd w:val="clear" w:color="000000" w:fill="C00000"/>
            <w:vAlign w:val="center"/>
            <w:hideMark/>
          </w:tcPr>
          <w:p w14:paraId="08E2B99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CD6382">
              <w:rPr>
                <w:rFonts w:ascii="Arial" w:eastAsia="Times New Roman" w:hAnsi="Arial" w:cs="Arial"/>
                <w:b/>
                <w:bCs/>
                <w:color w:val="FFFFFF"/>
                <w:sz w:val="12"/>
                <w:szCs w:val="12"/>
                <w:bdr w:val="none" w:sz="0" w:space="0" w:color="auto"/>
              </w:rPr>
              <w:t>Ndikimet e mundshme ekonomike, financiare, sociale dhe mjedisore</w:t>
            </w:r>
            <w:r w:rsidRPr="00CD6382">
              <w:rPr>
                <w:rFonts w:ascii="Arial" w:eastAsia="Times New Roman" w:hAnsi="Arial" w:cs="Arial"/>
                <w:b/>
                <w:bCs/>
                <w:color w:val="FFFFFF"/>
                <w:sz w:val="12"/>
                <w:szCs w:val="12"/>
                <w:bdr w:val="none" w:sz="0" w:space="0" w:color="auto"/>
              </w:rPr>
              <w:br/>
            </w:r>
            <w:r w:rsidRPr="00CD6382">
              <w:rPr>
                <w:rFonts w:ascii="Arial" w:eastAsia="Times New Roman" w:hAnsi="Arial" w:cs="Arial"/>
                <w:b/>
                <w:bCs/>
                <w:color w:val="FFFFFF"/>
                <w:sz w:val="12"/>
                <w:szCs w:val="12"/>
                <w:bdr w:val="none" w:sz="0" w:space="0" w:color="auto"/>
              </w:rPr>
              <w:br/>
              <w:t xml:space="preserve">Përgjigjuni me Po/Jo për ndikimet përkatëse </w:t>
            </w:r>
          </w:p>
        </w:tc>
      </w:tr>
      <w:tr w:rsidR="00CD6382" w:rsidRPr="00CD6382" w14:paraId="1DA21459" w14:textId="77777777" w:rsidTr="00CD6382">
        <w:trPr>
          <w:trHeight w:val="180"/>
          <w:jc w:val="center"/>
        </w:trPr>
        <w:tc>
          <w:tcPr>
            <w:tcW w:w="189" w:type="pct"/>
            <w:tcBorders>
              <w:top w:val="nil"/>
              <w:left w:val="single" w:sz="4" w:space="0" w:color="auto"/>
              <w:bottom w:val="single" w:sz="4" w:space="0" w:color="auto"/>
              <w:right w:val="single" w:sz="4" w:space="0" w:color="auto"/>
            </w:tcBorders>
            <w:shd w:val="clear" w:color="auto" w:fill="auto"/>
            <w:vAlign w:val="center"/>
            <w:hideMark/>
          </w:tcPr>
          <w:p w14:paraId="7F9EF7D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1</w:t>
            </w:r>
          </w:p>
        </w:tc>
        <w:tc>
          <w:tcPr>
            <w:tcW w:w="574" w:type="pct"/>
            <w:tcBorders>
              <w:top w:val="nil"/>
              <w:left w:val="nil"/>
              <w:bottom w:val="single" w:sz="4" w:space="0" w:color="auto"/>
              <w:right w:val="single" w:sz="4" w:space="0" w:color="auto"/>
            </w:tcBorders>
            <w:shd w:val="clear" w:color="auto" w:fill="auto"/>
            <w:vAlign w:val="center"/>
            <w:hideMark/>
          </w:tcPr>
          <w:p w14:paraId="109650DE"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 disa shtesa në Vendimin nr.1128, datë 30.12.2020 e Këshillit të Ministrave, “Për zbatimin nga Republika e Shqipërisë të vendimeve të Këshillit të Bashkimit Evropian, për vendosjen, ndryshimin dhe shfuqizimin e masave shtrënguese ndërkombëtare, të ndryshuara"</w:t>
            </w:r>
          </w:p>
        </w:tc>
        <w:tc>
          <w:tcPr>
            <w:tcW w:w="486" w:type="pct"/>
            <w:tcBorders>
              <w:top w:val="nil"/>
              <w:left w:val="nil"/>
              <w:bottom w:val="single" w:sz="4" w:space="0" w:color="auto"/>
              <w:right w:val="single" w:sz="4" w:space="0" w:color="auto"/>
            </w:tcBorders>
            <w:shd w:val="clear" w:color="auto" w:fill="auto"/>
            <w:vAlign w:val="center"/>
            <w:hideMark/>
          </w:tcPr>
          <w:p w14:paraId="71A907D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Projektvendim</w:t>
            </w:r>
          </w:p>
        </w:tc>
        <w:tc>
          <w:tcPr>
            <w:tcW w:w="397" w:type="pct"/>
            <w:tcBorders>
              <w:top w:val="nil"/>
              <w:left w:val="nil"/>
              <w:bottom w:val="single" w:sz="4" w:space="0" w:color="auto"/>
              <w:right w:val="single" w:sz="4" w:space="0" w:color="auto"/>
            </w:tcBorders>
            <w:shd w:val="clear" w:color="auto" w:fill="auto"/>
            <w:vAlign w:val="center"/>
            <w:hideMark/>
          </w:tcPr>
          <w:p w14:paraId="7C9E05D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Ministri për Evropën dhe Punët e Jashtme</w:t>
            </w:r>
          </w:p>
        </w:tc>
        <w:tc>
          <w:tcPr>
            <w:tcW w:w="419" w:type="pct"/>
            <w:tcBorders>
              <w:top w:val="nil"/>
              <w:left w:val="nil"/>
              <w:bottom w:val="single" w:sz="4" w:space="0" w:color="auto"/>
              <w:right w:val="single" w:sz="4" w:space="0" w:color="auto"/>
            </w:tcBorders>
            <w:shd w:val="clear" w:color="auto" w:fill="auto"/>
            <w:vAlign w:val="center"/>
            <w:hideMark/>
          </w:tcPr>
          <w:p w14:paraId="5551E696"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Katërmujori I</w:t>
            </w:r>
          </w:p>
        </w:tc>
        <w:tc>
          <w:tcPr>
            <w:tcW w:w="536" w:type="pct"/>
            <w:tcBorders>
              <w:top w:val="nil"/>
              <w:left w:val="nil"/>
              <w:bottom w:val="single" w:sz="4" w:space="0" w:color="auto"/>
              <w:right w:val="single" w:sz="4" w:space="0" w:color="auto"/>
            </w:tcBorders>
            <w:shd w:val="clear" w:color="auto" w:fill="auto"/>
            <w:vAlign w:val="center"/>
            <w:hideMark/>
          </w:tcPr>
          <w:p w14:paraId="4207E33B"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Përmbushjen e detyrimeve sipas parashikimeve të ligjit nr.72/2019 "Për masat shtrënguese ndërkombëtare në Republikën e Shqipërisë".</w:t>
            </w:r>
          </w:p>
        </w:tc>
        <w:tc>
          <w:tcPr>
            <w:tcW w:w="503" w:type="pct"/>
            <w:tcBorders>
              <w:top w:val="nil"/>
              <w:left w:val="nil"/>
              <w:bottom w:val="single" w:sz="4" w:space="0" w:color="auto"/>
              <w:right w:val="single" w:sz="4" w:space="0" w:color="auto"/>
            </w:tcBorders>
            <w:shd w:val="clear" w:color="auto" w:fill="auto"/>
            <w:vAlign w:val="center"/>
            <w:hideMark/>
          </w:tcPr>
          <w:p w14:paraId="43A5270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Përditësimin e listës së sanksioneve të shpallura nga Këshilli i Bashkimit Evropian</w:t>
            </w:r>
          </w:p>
        </w:tc>
        <w:tc>
          <w:tcPr>
            <w:tcW w:w="447" w:type="pct"/>
            <w:tcBorders>
              <w:top w:val="nil"/>
              <w:left w:val="nil"/>
              <w:bottom w:val="single" w:sz="4" w:space="0" w:color="auto"/>
              <w:right w:val="single" w:sz="4" w:space="0" w:color="auto"/>
            </w:tcBorders>
            <w:shd w:val="clear" w:color="auto" w:fill="auto"/>
            <w:vAlign w:val="center"/>
            <w:hideMark/>
          </w:tcPr>
          <w:p w14:paraId="31D5F94D"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Po, Kapitulli 31</w:t>
            </w:r>
          </w:p>
        </w:tc>
        <w:tc>
          <w:tcPr>
            <w:tcW w:w="557" w:type="pct"/>
            <w:tcBorders>
              <w:top w:val="nil"/>
              <w:left w:val="nil"/>
              <w:bottom w:val="single" w:sz="4" w:space="0" w:color="auto"/>
              <w:right w:val="single" w:sz="4" w:space="0" w:color="auto"/>
            </w:tcBorders>
            <w:shd w:val="clear" w:color="auto" w:fill="auto"/>
            <w:vAlign w:val="center"/>
            <w:hideMark/>
          </w:tcPr>
          <w:p w14:paraId="78C9D1B1"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Po, fusha Integrimi Evropian</w:t>
            </w:r>
          </w:p>
        </w:tc>
        <w:tc>
          <w:tcPr>
            <w:tcW w:w="460" w:type="pct"/>
            <w:tcBorders>
              <w:top w:val="nil"/>
              <w:left w:val="nil"/>
              <w:bottom w:val="single" w:sz="4" w:space="0" w:color="auto"/>
              <w:right w:val="single" w:sz="4" w:space="0" w:color="auto"/>
            </w:tcBorders>
            <w:shd w:val="clear" w:color="auto" w:fill="auto"/>
            <w:vAlign w:val="center"/>
            <w:hideMark/>
          </w:tcPr>
          <w:p w14:paraId="717E6185"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Jo</w:t>
            </w:r>
          </w:p>
        </w:tc>
        <w:tc>
          <w:tcPr>
            <w:tcW w:w="431" w:type="pct"/>
            <w:tcBorders>
              <w:top w:val="nil"/>
              <w:left w:val="nil"/>
              <w:bottom w:val="single" w:sz="4" w:space="0" w:color="auto"/>
              <w:right w:val="single" w:sz="4" w:space="0" w:color="auto"/>
            </w:tcBorders>
            <w:shd w:val="clear" w:color="auto" w:fill="auto"/>
            <w:vAlign w:val="center"/>
            <w:hideMark/>
          </w:tcPr>
          <w:p w14:paraId="18700CA7"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Jo</w:t>
            </w:r>
          </w:p>
        </w:tc>
      </w:tr>
      <w:tr w:rsidR="00CD6382" w:rsidRPr="00CD6382" w14:paraId="79695E2F" w14:textId="77777777" w:rsidTr="00CD6382">
        <w:trPr>
          <w:trHeight w:val="180"/>
          <w:jc w:val="center"/>
        </w:trPr>
        <w:tc>
          <w:tcPr>
            <w:tcW w:w="189" w:type="pct"/>
            <w:tcBorders>
              <w:top w:val="nil"/>
              <w:left w:val="single" w:sz="4" w:space="0" w:color="auto"/>
              <w:bottom w:val="single" w:sz="4" w:space="0" w:color="auto"/>
              <w:right w:val="single" w:sz="4" w:space="0" w:color="auto"/>
            </w:tcBorders>
            <w:shd w:val="clear" w:color="auto" w:fill="auto"/>
            <w:vAlign w:val="center"/>
            <w:hideMark/>
          </w:tcPr>
          <w:p w14:paraId="6DF35E37"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2</w:t>
            </w:r>
          </w:p>
        </w:tc>
        <w:tc>
          <w:tcPr>
            <w:tcW w:w="574" w:type="pct"/>
            <w:tcBorders>
              <w:top w:val="nil"/>
              <w:left w:val="nil"/>
              <w:bottom w:val="single" w:sz="4" w:space="0" w:color="auto"/>
              <w:right w:val="single" w:sz="4" w:space="0" w:color="auto"/>
            </w:tcBorders>
            <w:shd w:val="clear" w:color="auto" w:fill="auto"/>
            <w:vAlign w:val="center"/>
            <w:hideMark/>
          </w:tcPr>
          <w:p w14:paraId="2C72538D"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Pēr shtesa/ndryshime në Vendimin nr. 420, datë 8.6. 2016  të Këshillit të Ministrave "Për miratimin e ceremonialit të Republikës sē Shqipërisē" i ndryshuar</w:t>
            </w:r>
          </w:p>
        </w:tc>
        <w:tc>
          <w:tcPr>
            <w:tcW w:w="486" w:type="pct"/>
            <w:tcBorders>
              <w:top w:val="nil"/>
              <w:left w:val="nil"/>
              <w:bottom w:val="single" w:sz="4" w:space="0" w:color="auto"/>
              <w:right w:val="single" w:sz="4" w:space="0" w:color="auto"/>
            </w:tcBorders>
            <w:shd w:val="clear" w:color="auto" w:fill="auto"/>
            <w:vAlign w:val="center"/>
            <w:hideMark/>
          </w:tcPr>
          <w:p w14:paraId="38FC0D88"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Projektvendim</w:t>
            </w:r>
          </w:p>
        </w:tc>
        <w:tc>
          <w:tcPr>
            <w:tcW w:w="397" w:type="pct"/>
            <w:tcBorders>
              <w:top w:val="nil"/>
              <w:left w:val="nil"/>
              <w:bottom w:val="single" w:sz="4" w:space="0" w:color="auto"/>
              <w:right w:val="single" w:sz="4" w:space="0" w:color="auto"/>
            </w:tcBorders>
            <w:shd w:val="clear" w:color="auto" w:fill="auto"/>
            <w:vAlign w:val="center"/>
            <w:hideMark/>
          </w:tcPr>
          <w:p w14:paraId="389FF4E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Ministri për Evropën dhe Punët e Jashtme</w:t>
            </w:r>
          </w:p>
        </w:tc>
        <w:tc>
          <w:tcPr>
            <w:tcW w:w="419" w:type="pct"/>
            <w:tcBorders>
              <w:top w:val="nil"/>
              <w:left w:val="nil"/>
              <w:bottom w:val="single" w:sz="4" w:space="0" w:color="auto"/>
              <w:right w:val="single" w:sz="4" w:space="0" w:color="auto"/>
            </w:tcBorders>
            <w:shd w:val="clear" w:color="auto" w:fill="auto"/>
            <w:vAlign w:val="center"/>
            <w:hideMark/>
          </w:tcPr>
          <w:p w14:paraId="6B83C564"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Katërmujori I</w:t>
            </w:r>
          </w:p>
        </w:tc>
        <w:tc>
          <w:tcPr>
            <w:tcW w:w="536" w:type="pct"/>
            <w:tcBorders>
              <w:top w:val="nil"/>
              <w:left w:val="nil"/>
              <w:bottom w:val="single" w:sz="4" w:space="0" w:color="auto"/>
              <w:right w:val="single" w:sz="4" w:space="0" w:color="auto"/>
            </w:tcBorders>
            <w:shd w:val="clear" w:color="auto" w:fill="auto"/>
            <w:vAlign w:val="center"/>
            <w:hideMark/>
          </w:tcPr>
          <w:p w14:paraId="39388E5B"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Reflektimin në të i ndryshimeve të ligjit nr.7651, datë 21.12.1992 “Për festat zyrtare e ditët përkujtimore”, i ndryshuar”.</w:t>
            </w:r>
          </w:p>
        </w:tc>
        <w:tc>
          <w:tcPr>
            <w:tcW w:w="503" w:type="pct"/>
            <w:tcBorders>
              <w:top w:val="nil"/>
              <w:left w:val="nil"/>
              <w:bottom w:val="single" w:sz="4" w:space="0" w:color="auto"/>
              <w:right w:val="single" w:sz="4" w:space="0" w:color="auto"/>
            </w:tcBorders>
            <w:shd w:val="clear" w:color="auto" w:fill="auto"/>
            <w:vAlign w:val="center"/>
            <w:hideMark/>
          </w:tcPr>
          <w:p w14:paraId="49BA0ACE"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Ndryshimet në VKM 420/2016 synojnë reflektimin  e ndryshimeve të ligjit nr. 7651/1992, i ndryshuar,  lidhur me shtimin e datës 22 nēntor si festē zyrtare.</w:t>
            </w:r>
          </w:p>
        </w:tc>
        <w:tc>
          <w:tcPr>
            <w:tcW w:w="447" w:type="pct"/>
            <w:tcBorders>
              <w:top w:val="nil"/>
              <w:left w:val="nil"/>
              <w:bottom w:val="single" w:sz="4" w:space="0" w:color="auto"/>
              <w:right w:val="single" w:sz="4" w:space="0" w:color="auto"/>
            </w:tcBorders>
            <w:shd w:val="clear" w:color="auto" w:fill="auto"/>
            <w:vAlign w:val="center"/>
            <w:hideMark/>
          </w:tcPr>
          <w:p w14:paraId="013D613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557" w:type="pct"/>
            <w:tcBorders>
              <w:top w:val="nil"/>
              <w:left w:val="nil"/>
              <w:bottom w:val="single" w:sz="4" w:space="0" w:color="auto"/>
              <w:right w:val="single" w:sz="4" w:space="0" w:color="auto"/>
            </w:tcBorders>
            <w:shd w:val="clear" w:color="auto" w:fill="auto"/>
            <w:vAlign w:val="center"/>
            <w:hideMark/>
          </w:tcPr>
          <w:p w14:paraId="2AC68545"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Jo</w:t>
            </w:r>
          </w:p>
        </w:tc>
        <w:tc>
          <w:tcPr>
            <w:tcW w:w="460" w:type="pct"/>
            <w:tcBorders>
              <w:top w:val="nil"/>
              <w:left w:val="nil"/>
              <w:bottom w:val="single" w:sz="4" w:space="0" w:color="auto"/>
              <w:right w:val="single" w:sz="4" w:space="0" w:color="auto"/>
            </w:tcBorders>
            <w:shd w:val="clear" w:color="auto" w:fill="auto"/>
            <w:vAlign w:val="center"/>
            <w:hideMark/>
          </w:tcPr>
          <w:p w14:paraId="1CF3743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431" w:type="pct"/>
            <w:tcBorders>
              <w:top w:val="nil"/>
              <w:left w:val="nil"/>
              <w:bottom w:val="single" w:sz="4" w:space="0" w:color="auto"/>
              <w:right w:val="single" w:sz="4" w:space="0" w:color="auto"/>
            </w:tcBorders>
            <w:shd w:val="clear" w:color="auto" w:fill="auto"/>
            <w:vAlign w:val="center"/>
            <w:hideMark/>
          </w:tcPr>
          <w:p w14:paraId="42BD761F"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Jo</w:t>
            </w:r>
          </w:p>
        </w:tc>
      </w:tr>
      <w:tr w:rsidR="00CD6382" w:rsidRPr="00CD6382" w14:paraId="76CC137C" w14:textId="77777777" w:rsidTr="00CD6382">
        <w:trPr>
          <w:trHeight w:val="180"/>
          <w:jc w:val="center"/>
        </w:trPr>
        <w:tc>
          <w:tcPr>
            <w:tcW w:w="189" w:type="pct"/>
            <w:tcBorders>
              <w:top w:val="nil"/>
              <w:left w:val="single" w:sz="4" w:space="0" w:color="auto"/>
              <w:bottom w:val="single" w:sz="4" w:space="0" w:color="auto"/>
              <w:right w:val="single" w:sz="4" w:space="0" w:color="auto"/>
            </w:tcBorders>
            <w:shd w:val="clear" w:color="auto" w:fill="auto"/>
            <w:vAlign w:val="center"/>
            <w:hideMark/>
          </w:tcPr>
          <w:p w14:paraId="5A4F2E34"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3</w:t>
            </w:r>
          </w:p>
        </w:tc>
        <w:tc>
          <w:tcPr>
            <w:tcW w:w="574" w:type="pct"/>
            <w:tcBorders>
              <w:top w:val="nil"/>
              <w:left w:val="nil"/>
              <w:bottom w:val="single" w:sz="4" w:space="0" w:color="auto"/>
              <w:right w:val="single" w:sz="4" w:space="0" w:color="auto"/>
            </w:tcBorders>
            <w:shd w:val="clear" w:color="auto" w:fill="auto"/>
            <w:vAlign w:val="center"/>
            <w:hideMark/>
          </w:tcPr>
          <w:p w14:paraId="2AAC67EB"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 disa ndryshime në Vendimin nr.718, datë 29.10.2004 të Këshillit të Ministrave "Mbi listën e personave të shpallur financues të terrorizmit, të ndryshuar</w:t>
            </w:r>
          </w:p>
        </w:tc>
        <w:tc>
          <w:tcPr>
            <w:tcW w:w="486" w:type="pct"/>
            <w:tcBorders>
              <w:top w:val="nil"/>
              <w:left w:val="nil"/>
              <w:bottom w:val="single" w:sz="4" w:space="0" w:color="auto"/>
              <w:right w:val="single" w:sz="4" w:space="0" w:color="auto"/>
            </w:tcBorders>
            <w:shd w:val="clear" w:color="auto" w:fill="auto"/>
            <w:vAlign w:val="center"/>
            <w:hideMark/>
          </w:tcPr>
          <w:p w14:paraId="331B72D8"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Projektvendim</w:t>
            </w:r>
          </w:p>
        </w:tc>
        <w:tc>
          <w:tcPr>
            <w:tcW w:w="397" w:type="pct"/>
            <w:tcBorders>
              <w:top w:val="nil"/>
              <w:left w:val="nil"/>
              <w:bottom w:val="single" w:sz="4" w:space="0" w:color="auto"/>
              <w:right w:val="single" w:sz="4" w:space="0" w:color="auto"/>
            </w:tcBorders>
            <w:shd w:val="clear" w:color="auto" w:fill="auto"/>
            <w:vAlign w:val="center"/>
            <w:hideMark/>
          </w:tcPr>
          <w:p w14:paraId="3F11A575"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Ministri për Evropën dhe Punët e Jashtme</w:t>
            </w:r>
          </w:p>
        </w:tc>
        <w:tc>
          <w:tcPr>
            <w:tcW w:w="419" w:type="pct"/>
            <w:tcBorders>
              <w:top w:val="nil"/>
              <w:left w:val="nil"/>
              <w:bottom w:val="single" w:sz="4" w:space="0" w:color="auto"/>
              <w:right w:val="single" w:sz="4" w:space="0" w:color="auto"/>
            </w:tcBorders>
            <w:shd w:val="clear" w:color="auto" w:fill="auto"/>
            <w:vAlign w:val="center"/>
            <w:hideMark/>
          </w:tcPr>
          <w:p w14:paraId="23053CF1"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Katërmujori II</w:t>
            </w:r>
          </w:p>
        </w:tc>
        <w:tc>
          <w:tcPr>
            <w:tcW w:w="536" w:type="pct"/>
            <w:tcBorders>
              <w:top w:val="nil"/>
              <w:left w:val="nil"/>
              <w:bottom w:val="single" w:sz="4" w:space="0" w:color="auto"/>
              <w:right w:val="single" w:sz="4" w:space="0" w:color="auto"/>
            </w:tcBorders>
            <w:shd w:val="clear" w:color="auto" w:fill="auto"/>
            <w:vAlign w:val="center"/>
            <w:hideMark/>
          </w:tcPr>
          <w:p w14:paraId="1AFFAF5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Përmbushjen e detyrimeve ligjore,  ligji nr. 157/2013 "Për ndalimin e financimit të terrorizmit", i ndryshuar,  në varësi të shpalljeve nga KS i OKB.</w:t>
            </w:r>
          </w:p>
        </w:tc>
        <w:tc>
          <w:tcPr>
            <w:tcW w:w="503" w:type="pct"/>
            <w:tcBorders>
              <w:top w:val="nil"/>
              <w:left w:val="nil"/>
              <w:bottom w:val="single" w:sz="4" w:space="0" w:color="auto"/>
              <w:right w:val="single" w:sz="4" w:space="0" w:color="auto"/>
            </w:tcBorders>
            <w:shd w:val="clear" w:color="auto" w:fill="auto"/>
            <w:vAlign w:val="center"/>
            <w:hideMark/>
          </w:tcPr>
          <w:p w14:paraId="5DF547A8"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Projektvendimi konsiston në përditësimin e listës së sanksioneve të shpallura nga Komiteti I Këshillit të Sigurimit të Kombeve të Bashkuara.</w:t>
            </w:r>
          </w:p>
        </w:tc>
        <w:tc>
          <w:tcPr>
            <w:tcW w:w="447" w:type="pct"/>
            <w:tcBorders>
              <w:top w:val="nil"/>
              <w:left w:val="nil"/>
              <w:bottom w:val="single" w:sz="4" w:space="0" w:color="auto"/>
              <w:right w:val="single" w:sz="4" w:space="0" w:color="auto"/>
            </w:tcBorders>
            <w:shd w:val="clear" w:color="auto" w:fill="auto"/>
            <w:vAlign w:val="center"/>
            <w:hideMark/>
          </w:tcPr>
          <w:p w14:paraId="25CAEFB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557" w:type="pct"/>
            <w:tcBorders>
              <w:top w:val="nil"/>
              <w:left w:val="nil"/>
              <w:bottom w:val="single" w:sz="4" w:space="0" w:color="auto"/>
              <w:right w:val="single" w:sz="4" w:space="0" w:color="auto"/>
            </w:tcBorders>
            <w:shd w:val="clear" w:color="auto" w:fill="auto"/>
            <w:vAlign w:val="center"/>
            <w:hideMark/>
          </w:tcPr>
          <w:p w14:paraId="755A3635"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Po, fusha Integrimi Evropian</w:t>
            </w:r>
          </w:p>
        </w:tc>
        <w:tc>
          <w:tcPr>
            <w:tcW w:w="460" w:type="pct"/>
            <w:tcBorders>
              <w:top w:val="nil"/>
              <w:left w:val="nil"/>
              <w:bottom w:val="single" w:sz="4" w:space="0" w:color="auto"/>
              <w:right w:val="single" w:sz="4" w:space="0" w:color="auto"/>
            </w:tcBorders>
            <w:shd w:val="clear" w:color="auto" w:fill="auto"/>
            <w:vAlign w:val="center"/>
            <w:hideMark/>
          </w:tcPr>
          <w:p w14:paraId="20DE987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431" w:type="pct"/>
            <w:tcBorders>
              <w:top w:val="nil"/>
              <w:left w:val="nil"/>
              <w:bottom w:val="single" w:sz="4" w:space="0" w:color="auto"/>
              <w:right w:val="single" w:sz="4" w:space="0" w:color="auto"/>
            </w:tcBorders>
            <w:shd w:val="clear" w:color="auto" w:fill="auto"/>
            <w:vAlign w:val="center"/>
            <w:hideMark/>
          </w:tcPr>
          <w:p w14:paraId="168B3DB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Jo</w:t>
            </w:r>
          </w:p>
        </w:tc>
      </w:tr>
      <w:tr w:rsidR="00CD6382" w:rsidRPr="00CD6382" w14:paraId="1001A0E8" w14:textId="77777777" w:rsidTr="00CD6382">
        <w:trPr>
          <w:trHeight w:val="180"/>
          <w:jc w:val="center"/>
        </w:trPr>
        <w:tc>
          <w:tcPr>
            <w:tcW w:w="189" w:type="pct"/>
            <w:tcBorders>
              <w:top w:val="nil"/>
              <w:left w:val="single" w:sz="4" w:space="0" w:color="auto"/>
              <w:bottom w:val="single" w:sz="4" w:space="0" w:color="auto"/>
              <w:right w:val="single" w:sz="4" w:space="0" w:color="auto"/>
            </w:tcBorders>
            <w:shd w:val="clear" w:color="auto" w:fill="auto"/>
            <w:vAlign w:val="center"/>
            <w:hideMark/>
          </w:tcPr>
          <w:p w14:paraId="0E14731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4</w:t>
            </w:r>
          </w:p>
        </w:tc>
        <w:tc>
          <w:tcPr>
            <w:tcW w:w="574" w:type="pct"/>
            <w:tcBorders>
              <w:top w:val="nil"/>
              <w:left w:val="nil"/>
              <w:bottom w:val="single" w:sz="4" w:space="0" w:color="auto"/>
              <w:right w:val="single" w:sz="4" w:space="0" w:color="auto"/>
            </w:tcBorders>
            <w:shd w:val="clear" w:color="auto" w:fill="auto"/>
            <w:vAlign w:val="center"/>
            <w:hideMark/>
          </w:tcPr>
          <w:p w14:paraId="4190C4C6"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 zonën ekonomike ekskluzive</w:t>
            </w:r>
          </w:p>
        </w:tc>
        <w:tc>
          <w:tcPr>
            <w:tcW w:w="486" w:type="pct"/>
            <w:tcBorders>
              <w:top w:val="nil"/>
              <w:left w:val="nil"/>
              <w:bottom w:val="single" w:sz="4" w:space="0" w:color="auto"/>
              <w:right w:val="single" w:sz="4" w:space="0" w:color="auto"/>
            </w:tcBorders>
            <w:shd w:val="clear" w:color="auto" w:fill="auto"/>
            <w:vAlign w:val="center"/>
            <w:hideMark/>
          </w:tcPr>
          <w:p w14:paraId="69D9C455"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Projektligj </w:t>
            </w:r>
          </w:p>
        </w:tc>
        <w:tc>
          <w:tcPr>
            <w:tcW w:w="397" w:type="pct"/>
            <w:tcBorders>
              <w:top w:val="nil"/>
              <w:left w:val="nil"/>
              <w:bottom w:val="single" w:sz="4" w:space="0" w:color="auto"/>
              <w:right w:val="single" w:sz="4" w:space="0" w:color="auto"/>
            </w:tcBorders>
            <w:shd w:val="clear" w:color="auto" w:fill="auto"/>
            <w:vAlign w:val="center"/>
            <w:hideMark/>
          </w:tcPr>
          <w:p w14:paraId="624DDA0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Ministri për Evropën dhe Punët e Jashtme</w:t>
            </w:r>
          </w:p>
        </w:tc>
        <w:tc>
          <w:tcPr>
            <w:tcW w:w="419" w:type="pct"/>
            <w:tcBorders>
              <w:top w:val="nil"/>
              <w:left w:val="nil"/>
              <w:bottom w:val="single" w:sz="4" w:space="0" w:color="auto"/>
              <w:right w:val="single" w:sz="4" w:space="0" w:color="auto"/>
            </w:tcBorders>
            <w:shd w:val="clear" w:color="auto" w:fill="auto"/>
            <w:vAlign w:val="center"/>
            <w:hideMark/>
          </w:tcPr>
          <w:p w14:paraId="5FB12C2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Katërmujori III</w:t>
            </w:r>
          </w:p>
        </w:tc>
        <w:tc>
          <w:tcPr>
            <w:tcW w:w="536" w:type="pct"/>
            <w:tcBorders>
              <w:top w:val="nil"/>
              <w:left w:val="nil"/>
              <w:bottom w:val="single" w:sz="4" w:space="0" w:color="auto"/>
              <w:right w:val="single" w:sz="4" w:space="0" w:color="auto"/>
            </w:tcBorders>
            <w:shd w:val="clear" w:color="auto" w:fill="auto"/>
            <w:vAlign w:val="center"/>
            <w:hideMark/>
          </w:tcPr>
          <w:p w14:paraId="2AF6F10A"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br/>
              <w:t>Shpallja e ZEE është në përputhje me KDD (UNCLOS) dhe do të mundësojë që Shqipëria të ushtrojë të drejtat sovrane në ZEE e saj. Pra, Shqipëria do të ketë mundësi shfrytëzimi, kërkimi dhe eksplorimi në ZEE. Akti parashikohet të paraqitet si bashkëpropozim me MBRZH dhe MM.</w:t>
            </w:r>
          </w:p>
        </w:tc>
        <w:tc>
          <w:tcPr>
            <w:tcW w:w="503" w:type="pct"/>
            <w:tcBorders>
              <w:top w:val="nil"/>
              <w:left w:val="nil"/>
              <w:bottom w:val="single" w:sz="4" w:space="0" w:color="auto"/>
              <w:right w:val="single" w:sz="4" w:space="0" w:color="auto"/>
            </w:tcBorders>
            <w:shd w:val="clear" w:color="auto" w:fill="auto"/>
            <w:vAlign w:val="center"/>
            <w:hideMark/>
          </w:tcPr>
          <w:p w14:paraId="5E89DA8F"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Mundësin e ushtrimit nga Shqipëria të të drejtave sovrane për shfrytëzimin, kërkimin dhe eksplorimin e ZEE, si dhe mbrojtjen e mjedisit detar në ZEE-në e Shqipërisë.</w:t>
            </w:r>
          </w:p>
        </w:tc>
        <w:tc>
          <w:tcPr>
            <w:tcW w:w="447" w:type="pct"/>
            <w:tcBorders>
              <w:top w:val="nil"/>
              <w:left w:val="nil"/>
              <w:bottom w:val="single" w:sz="4" w:space="0" w:color="auto"/>
              <w:right w:val="single" w:sz="4" w:space="0" w:color="auto"/>
            </w:tcBorders>
            <w:shd w:val="clear" w:color="auto" w:fill="auto"/>
            <w:vAlign w:val="center"/>
            <w:hideMark/>
          </w:tcPr>
          <w:p w14:paraId="69927631"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557" w:type="pct"/>
            <w:tcBorders>
              <w:top w:val="nil"/>
              <w:left w:val="nil"/>
              <w:bottom w:val="single" w:sz="4" w:space="0" w:color="auto"/>
              <w:right w:val="single" w:sz="4" w:space="0" w:color="auto"/>
            </w:tcBorders>
            <w:shd w:val="clear" w:color="auto" w:fill="auto"/>
            <w:vAlign w:val="center"/>
            <w:hideMark/>
          </w:tcPr>
          <w:p w14:paraId="32CD124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Shpallja e ligjit sjell harmonizimin e legjislacionit me acquis, specifikisht me Direktivën nr. 89/2014 "Për krijimin e kornizës për planifikimin hapësinor detar, si dhe në kuadër të procesit screening për Kapitullin 13.</w:t>
            </w:r>
          </w:p>
        </w:tc>
        <w:tc>
          <w:tcPr>
            <w:tcW w:w="460" w:type="pct"/>
            <w:tcBorders>
              <w:top w:val="nil"/>
              <w:left w:val="nil"/>
              <w:bottom w:val="single" w:sz="4" w:space="0" w:color="auto"/>
              <w:right w:val="single" w:sz="4" w:space="0" w:color="auto"/>
            </w:tcBorders>
            <w:shd w:val="clear" w:color="auto" w:fill="auto"/>
            <w:vAlign w:val="center"/>
            <w:hideMark/>
          </w:tcPr>
          <w:p w14:paraId="004273BA"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431" w:type="pct"/>
            <w:tcBorders>
              <w:top w:val="nil"/>
              <w:left w:val="nil"/>
              <w:bottom w:val="single" w:sz="4" w:space="0" w:color="auto"/>
              <w:right w:val="single" w:sz="4" w:space="0" w:color="auto"/>
            </w:tcBorders>
            <w:shd w:val="clear" w:color="auto" w:fill="auto"/>
            <w:vAlign w:val="center"/>
            <w:hideMark/>
          </w:tcPr>
          <w:p w14:paraId="105E62D1"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Ndikime pozitive mjedisore, si dhe mund të ketë ndikim ekonomik për rritjen e kapaciteteve për monitorimin e ZEE.</w:t>
            </w:r>
          </w:p>
        </w:tc>
      </w:tr>
      <w:tr w:rsidR="00CD6382" w:rsidRPr="00CD6382" w14:paraId="459D69F2" w14:textId="77777777" w:rsidTr="00CD6382">
        <w:trPr>
          <w:trHeight w:val="180"/>
          <w:jc w:val="center"/>
        </w:trPr>
        <w:tc>
          <w:tcPr>
            <w:tcW w:w="189" w:type="pct"/>
            <w:tcBorders>
              <w:top w:val="nil"/>
              <w:left w:val="single" w:sz="4" w:space="0" w:color="auto"/>
              <w:bottom w:val="single" w:sz="4" w:space="0" w:color="auto"/>
              <w:right w:val="single" w:sz="4" w:space="0" w:color="auto"/>
            </w:tcBorders>
            <w:shd w:val="clear" w:color="auto" w:fill="auto"/>
            <w:vAlign w:val="center"/>
            <w:hideMark/>
          </w:tcPr>
          <w:p w14:paraId="29868FDF"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5</w:t>
            </w:r>
          </w:p>
        </w:tc>
        <w:tc>
          <w:tcPr>
            <w:tcW w:w="574" w:type="pct"/>
            <w:tcBorders>
              <w:top w:val="nil"/>
              <w:left w:val="nil"/>
              <w:bottom w:val="single" w:sz="4" w:space="0" w:color="auto"/>
              <w:right w:val="single" w:sz="4" w:space="0" w:color="auto"/>
            </w:tcBorders>
            <w:shd w:val="clear" w:color="auto" w:fill="auto"/>
            <w:vAlign w:val="center"/>
            <w:hideMark/>
          </w:tcPr>
          <w:p w14:paraId="2A4A34C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 miratimin e kuadrit rregullator për bashkëpunimin ndërkombëtar, për zhvillim dhe ndihmë humanitare</w:t>
            </w:r>
          </w:p>
        </w:tc>
        <w:tc>
          <w:tcPr>
            <w:tcW w:w="486" w:type="pct"/>
            <w:tcBorders>
              <w:top w:val="nil"/>
              <w:left w:val="nil"/>
              <w:bottom w:val="single" w:sz="4" w:space="0" w:color="auto"/>
              <w:right w:val="single" w:sz="4" w:space="0" w:color="auto"/>
            </w:tcBorders>
            <w:shd w:val="clear" w:color="auto" w:fill="auto"/>
            <w:vAlign w:val="center"/>
            <w:hideMark/>
          </w:tcPr>
          <w:p w14:paraId="7BD6E538"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Projektvendim</w:t>
            </w:r>
          </w:p>
        </w:tc>
        <w:tc>
          <w:tcPr>
            <w:tcW w:w="397" w:type="pct"/>
            <w:tcBorders>
              <w:top w:val="nil"/>
              <w:left w:val="nil"/>
              <w:bottom w:val="single" w:sz="4" w:space="0" w:color="auto"/>
              <w:right w:val="single" w:sz="4" w:space="0" w:color="auto"/>
            </w:tcBorders>
            <w:shd w:val="clear" w:color="auto" w:fill="auto"/>
            <w:vAlign w:val="center"/>
            <w:hideMark/>
          </w:tcPr>
          <w:p w14:paraId="7E24810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Ministri për Evropën dhe Punët e Jashtme</w:t>
            </w:r>
          </w:p>
        </w:tc>
        <w:tc>
          <w:tcPr>
            <w:tcW w:w="419" w:type="pct"/>
            <w:tcBorders>
              <w:top w:val="nil"/>
              <w:left w:val="nil"/>
              <w:bottom w:val="single" w:sz="4" w:space="0" w:color="auto"/>
              <w:right w:val="single" w:sz="4" w:space="0" w:color="auto"/>
            </w:tcBorders>
            <w:shd w:val="clear" w:color="auto" w:fill="auto"/>
            <w:vAlign w:val="center"/>
            <w:hideMark/>
          </w:tcPr>
          <w:p w14:paraId="5976510A"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Katërmujori III</w:t>
            </w:r>
          </w:p>
        </w:tc>
        <w:tc>
          <w:tcPr>
            <w:tcW w:w="536" w:type="pct"/>
            <w:tcBorders>
              <w:top w:val="nil"/>
              <w:left w:val="nil"/>
              <w:bottom w:val="single" w:sz="4" w:space="0" w:color="auto"/>
              <w:right w:val="single" w:sz="4" w:space="0" w:color="auto"/>
            </w:tcBorders>
            <w:shd w:val="clear" w:color="auto" w:fill="auto"/>
            <w:vAlign w:val="center"/>
            <w:hideMark/>
          </w:tcPr>
          <w:p w14:paraId="2B0FDDB4"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Në zbatim të urdhrit të KM për hartimin e kuadrit rregullator,  për bashkëpunimin ndërkombëtar, për zhvillim dhe ndihmë humanitare, me qëllim adresimin e një nga rekomandimeve kryesore të Komsionit Evropian për Shqipërinë për krijimin e një kornize ligjore për këtë, në përputhje me politikat dhe parimet e BE-së. Akti parashikohet të baraqitet si bashkëpropozim me MM, MFE dhe KM.</w:t>
            </w:r>
          </w:p>
        </w:tc>
        <w:tc>
          <w:tcPr>
            <w:tcW w:w="503" w:type="pct"/>
            <w:tcBorders>
              <w:top w:val="nil"/>
              <w:left w:val="nil"/>
              <w:bottom w:val="single" w:sz="4" w:space="0" w:color="auto"/>
              <w:right w:val="single" w:sz="4" w:space="0" w:color="auto"/>
            </w:tcBorders>
            <w:shd w:val="clear" w:color="auto" w:fill="auto"/>
            <w:vAlign w:val="center"/>
            <w:hideMark/>
          </w:tcPr>
          <w:p w14:paraId="1AB8F98A"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Hartimin e një kuadri rregullator për bashkëpunimin ndërkombëtar, për zhvillim dhe ndihmë humanitare, në kuadër të Kapitullit 30 “Marrëdhëniet me jashtë” duke ndikuar pozitivisht në procesin e nisur të negociatave mes Shqipërisë dhe Bashkimit Evropian.</w:t>
            </w:r>
          </w:p>
        </w:tc>
        <w:tc>
          <w:tcPr>
            <w:tcW w:w="447" w:type="pct"/>
            <w:tcBorders>
              <w:top w:val="nil"/>
              <w:left w:val="nil"/>
              <w:bottom w:val="single" w:sz="4" w:space="0" w:color="auto"/>
              <w:right w:val="single" w:sz="4" w:space="0" w:color="auto"/>
            </w:tcBorders>
            <w:shd w:val="clear" w:color="auto" w:fill="auto"/>
            <w:vAlign w:val="center"/>
            <w:hideMark/>
          </w:tcPr>
          <w:p w14:paraId="4549F0F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Po, Kapitulli 30</w:t>
            </w:r>
          </w:p>
        </w:tc>
        <w:tc>
          <w:tcPr>
            <w:tcW w:w="557" w:type="pct"/>
            <w:tcBorders>
              <w:top w:val="nil"/>
              <w:left w:val="nil"/>
              <w:bottom w:val="single" w:sz="4" w:space="0" w:color="auto"/>
              <w:right w:val="single" w:sz="4" w:space="0" w:color="auto"/>
            </w:tcBorders>
            <w:shd w:val="clear" w:color="auto" w:fill="auto"/>
            <w:vAlign w:val="center"/>
            <w:hideMark/>
          </w:tcPr>
          <w:p w14:paraId="40AEC2D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Po, fusha Integrimi Evropian</w:t>
            </w:r>
          </w:p>
        </w:tc>
        <w:tc>
          <w:tcPr>
            <w:tcW w:w="460" w:type="pct"/>
            <w:tcBorders>
              <w:top w:val="nil"/>
              <w:left w:val="nil"/>
              <w:bottom w:val="single" w:sz="4" w:space="0" w:color="auto"/>
              <w:right w:val="single" w:sz="4" w:space="0" w:color="auto"/>
            </w:tcBorders>
            <w:shd w:val="clear" w:color="auto" w:fill="auto"/>
            <w:vAlign w:val="center"/>
            <w:hideMark/>
          </w:tcPr>
          <w:p w14:paraId="0B74D2E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Jo</w:t>
            </w:r>
          </w:p>
        </w:tc>
        <w:tc>
          <w:tcPr>
            <w:tcW w:w="431" w:type="pct"/>
            <w:tcBorders>
              <w:top w:val="nil"/>
              <w:left w:val="nil"/>
              <w:bottom w:val="single" w:sz="4" w:space="0" w:color="auto"/>
              <w:right w:val="single" w:sz="4" w:space="0" w:color="auto"/>
            </w:tcBorders>
            <w:shd w:val="clear" w:color="auto" w:fill="auto"/>
            <w:vAlign w:val="center"/>
            <w:hideMark/>
          </w:tcPr>
          <w:p w14:paraId="1BCA9406"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Jo</w:t>
            </w:r>
          </w:p>
        </w:tc>
      </w:tr>
      <w:tr w:rsidR="00CD6382" w:rsidRPr="00CD6382" w14:paraId="19CF487E" w14:textId="77777777" w:rsidTr="00CD6382">
        <w:trPr>
          <w:trHeight w:val="180"/>
          <w:jc w:val="center"/>
        </w:trPr>
        <w:tc>
          <w:tcPr>
            <w:tcW w:w="189" w:type="pct"/>
            <w:tcBorders>
              <w:top w:val="nil"/>
              <w:left w:val="single" w:sz="4" w:space="0" w:color="auto"/>
              <w:bottom w:val="single" w:sz="4" w:space="0" w:color="auto"/>
              <w:right w:val="single" w:sz="4" w:space="0" w:color="auto"/>
            </w:tcBorders>
            <w:shd w:val="clear" w:color="auto" w:fill="auto"/>
            <w:vAlign w:val="center"/>
            <w:hideMark/>
          </w:tcPr>
          <w:p w14:paraId="42F6327E"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6</w:t>
            </w:r>
          </w:p>
        </w:tc>
        <w:tc>
          <w:tcPr>
            <w:tcW w:w="574" w:type="pct"/>
            <w:tcBorders>
              <w:top w:val="nil"/>
              <w:left w:val="nil"/>
              <w:bottom w:val="single" w:sz="4" w:space="0" w:color="auto"/>
              <w:right w:val="single" w:sz="4" w:space="0" w:color="auto"/>
            </w:tcBorders>
            <w:shd w:val="clear" w:color="auto" w:fill="auto"/>
            <w:vAlign w:val="center"/>
            <w:hideMark/>
          </w:tcPr>
          <w:p w14:paraId="79FBF3D8"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Për shtesa/ndryshime në ligjin nr. 23 datë 19.3.2015 "Për Shërbimin e jashtëm të Republikës së Shqipërisë"</w:t>
            </w:r>
          </w:p>
        </w:tc>
        <w:tc>
          <w:tcPr>
            <w:tcW w:w="486" w:type="pct"/>
            <w:tcBorders>
              <w:top w:val="nil"/>
              <w:left w:val="nil"/>
              <w:bottom w:val="single" w:sz="4" w:space="0" w:color="auto"/>
              <w:right w:val="single" w:sz="4" w:space="0" w:color="auto"/>
            </w:tcBorders>
            <w:shd w:val="clear" w:color="auto" w:fill="auto"/>
            <w:vAlign w:val="center"/>
            <w:hideMark/>
          </w:tcPr>
          <w:p w14:paraId="51C6B12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Projektligj</w:t>
            </w:r>
          </w:p>
        </w:tc>
        <w:tc>
          <w:tcPr>
            <w:tcW w:w="397" w:type="pct"/>
            <w:tcBorders>
              <w:top w:val="nil"/>
              <w:left w:val="nil"/>
              <w:bottom w:val="single" w:sz="4" w:space="0" w:color="auto"/>
              <w:right w:val="single" w:sz="4" w:space="0" w:color="auto"/>
            </w:tcBorders>
            <w:shd w:val="clear" w:color="auto" w:fill="auto"/>
            <w:vAlign w:val="bottom"/>
            <w:hideMark/>
          </w:tcPr>
          <w:p w14:paraId="4E86555E"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Ministri për Evropën dhe Punët e Jashtme</w:t>
            </w:r>
          </w:p>
        </w:tc>
        <w:tc>
          <w:tcPr>
            <w:tcW w:w="419" w:type="pct"/>
            <w:tcBorders>
              <w:top w:val="nil"/>
              <w:left w:val="nil"/>
              <w:bottom w:val="single" w:sz="4" w:space="0" w:color="auto"/>
              <w:right w:val="single" w:sz="4" w:space="0" w:color="auto"/>
            </w:tcBorders>
            <w:shd w:val="clear" w:color="auto" w:fill="auto"/>
            <w:vAlign w:val="bottom"/>
            <w:hideMark/>
          </w:tcPr>
          <w:p w14:paraId="1285E632"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Katërmujori III</w:t>
            </w:r>
          </w:p>
        </w:tc>
        <w:tc>
          <w:tcPr>
            <w:tcW w:w="536" w:type="pct"/>
            <w:tcBorders>
              <w:top w:val="nil"/>
              <w:left w:val="nil"/>
              <w:bottom w:val="single" w:sz="4" w:space="0" w:color="auto"/>
              <w:right w:val="single" w:sz="4" w:space="0" w:color="auto"/>
            </w:tcBorders>
            <w:shd w:val="clear" w:color="auto" w:fill="auto"/>
            <w:vAlign w:val="bottom"/>
            <w:hideMark/>
          </w:tcPr>
          <w:p w14:paraId="35DCC6F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Ndryshimet në fushën e përgjegjësisë së Ministrisë për Evropën dhe Punët e Jashtme, si dhe problematikat e hasura ndër vite nga zbatimi në praktikë i ligjit nr. 23/2015. </w:t>
            </w:r>
          </w:p>
        </w:tc>
        <w:tc>
          <w:tcPr>
            <w:tcW w:w="503" w:type="pct"/>
            <w:tcBorders>
              <w:top w:val="nil"/>
              <w:left w:val="nil"/>
              <w:bottom w:val="single" w:sz="4" w:space="0" w:color="auto"/>
              <w:right w:val="single" w:sz="4" w:space="0" w:color="auto"/>
            </w:tcBorders>
            <w:shd w:val="clear" w:color="auto" w:fill="auto"/>
            <w:vAlign w:val="bottom"/>
            <w:hideMark/>
          </w:tcPr>
          <w:p w14:paraId="71CA7B9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Projektligji për ndrysimin e Ligjit nr. 23/2015 "Për Shërbimin e Jashtëm, synon të sjell disa risi dhe efekte pozitive që synojnë  konsolidimin e mëtejshëm të këtij shërbimi mbështetur në karrierën diplomatike.</w:t>
            </w:r>
          </w:p>
        </w:tc>
        <w:tc>
          <w:tcPr>
            <w:tcW w:w="447" w:type="pct"/>
            <w:tcBorders>
              <w:top w:val="nil"/>
              <w:left w:val="nil"/>
              <w:bottom w:val="single" w:sz="4" w:space="0" w:color="auto"/>
              <w:right w:val="single" w:sz="4" w:space="0" w:color="auto"/>
            </w:tcBorders>
            <w:shd w:val="clear" w:color="auto" w:fill="auto"/>
            <w:vAlign w:val="center"/>
            <w:hideMark/>
          </w:tcPr>
          <w:p w14:paraId="7FF3A1E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557" w:type="pct"/>
            <w:tcBorders>
              <w:top w:val="nil"/>
              <w:left w:val="nil"/>
              <w:bottom w:val="single" w:sz="4" w:space="0" w:color="auto"/>
              <w:right w:val="single" w:sz="4" w:space="0" w:color="auto"/>
            </w:tcBorders>
            <w:shd w:val="clear" w:color="auto" w:fill="auto"/>
            <w:vAlign w:val="center"/>
            <w:hideMark/>
          </w:tcPr>
          <w:p w14:paraId="4097CDC0"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460" w:type="pct"/>
            <w:tcBorders>
              <w:top w:val="nil"/>
              <w:left w:val="nil"/>
              <w:bottom w:val="single" w:sz="4" w:space="0" w:color="auto"/>
              <w:right w:val="single" w:sz="4" w:space="0" w:color="auto"/>
            </w:tcBorders>
            <w:shd w:val="clear" w:color="auto" w:fill="auto"/>
            <w:vAlign w:val="center"/>
            <w:hideMark/>
          </w:tcPr>
          <w:p w14:paraId="1ABD11B3"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c>
          <w:tcPr>
            <w:tcW w:w="431" w:type="pct"/>
            <w:tcBorders>
              <w:top w:val="nil"/>
              <w:left w:val="nil"/>
              <w:bottom w:val="single" w:sz="4" w:space="0" w:color="auto"/>
              <w:right w:val="single" w:sz="4" w:space="0" w:color="auto"/>
            </w:tcBorders>
            <w:shd w:val="clear" w:color="auto" w:fill="auto"/>
            <w:vAlign w:val="center"/>
            <w:hideMark/>
          </w:tcPr>
          <w:p w14:paraId="625CB66C" w14:textId="77777777" w:rsidR="00CD6382" w:rsidRPr="00CD6382" w:rsidRDefault="00CD6382" w:rsidP="00CD638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CD6382">
              <w:rPr>
                <w:rFonts w:ascii="Arial" w:eastAsia="Times New Roman" w:hAnsi="Arial" w:cs="Arial"/>
                <w:color w:val="000000"/>
                <w:sz w:val="12"/>
                <w:szCs w:val="12"/>
                <w:bdr w:val="none" w:sz="0" w:space="0" w:color="auto"/>
              </w:rPr>
              <w:t xml:space="preserve">Jo </w:t>
            </w:r>
          </w:p>
        </w:tc>
      </w:tr>
    </w:tbl>
    <w:p w14:paraId="0E322C6A" w14:textId="2C94ED17" w:rsidR="00CD6382" w:rsidRDefault="00CD6382" w:rsidP="009F3407">
      <w:pPr>
        <w:pStyle w:val="BodyA"/>
        <w:jc w:val="center"/>
        <w:rPr>
          <w:sz w:val="28"/>
          <w:szCs w:val="28"/>
          <w:lang w:val="it-IT"/>
        </w:rPr>
      </w:pPr>
    </w:p>
    <w:p w14:paraId="68585648" w14:textId="1FF2FA93" w:rsidR="00190E59" w:rsidRDefault="00190E59" w:rsidP="009F3407">
      <w:pPr>
        <w:pStyle w:val="BodyA"/>
        <w:jc w:val="center"/>
        <w:rPr>
          <w:sz w:val="28"/>
          <w:szCs w:val="28"/>
          <w:lang w:val="it-IT"/>
        </w:rPr>
      </w:pPr>
    </w:p>
    <w:p w14:paraId="47839AE4" w14:textId="1ED9ED3B" w:rsidR="00190E59" w:rsidRDefault="00190E59" w:rsidP="009F3407">
      <w:pPr>
        <w:pStyle w:val="BodyA"/>
        <w:jc w:val="center"/>
        <w:rPr>
          <w:sz w:val="28"/>
          <w:szCs w:val="28"/>
          <w:lang w:val="it-IT"/>
        </w:rPr>
      </w:pPr>
    </w:p>
    <w:p w14:paraId="296EA017" w14:textId="140059EA" w:rsidR="00190E59" w:rsidRDefault="00190E59" w:rsidP="009F3407">
      <w:pPr>
        <w:pStyle w:val="BodyA"/>
        <w:jc w:val="center"/>
        <w:rPr>
          <w:sz w:val="28"/>
          <w:szCs w:val="28"/>
          <w:lang w:val="it-IT"/>
        </w:rPr>
      </w:pPr>
    </w:p>
    <w:p w14:paraId="6C862B64" w14:textId="1E2A5B6E" w:rsidR="00190E59" w:rsidRDefault="00190E59" w:rsidP="009F3407">
      <w:pPr>
        <w:pStyle w:val="BodyA"/>
        <w:jc w:val="center"/>
        <w:rPr>
          <w:sz w:val="28"/>
          <w:szCs w:val="28"/>
          <w:lang w:val="it-IT"/>
        </w:rPr>
      </w:pPr>
    </w:p>
    <w:p w14:paraId="5A025BF5" w14:textId="278EAD68" w:rsidR="00190E59" w:rsidRDefault="00190E59" w:rsidP="009F3407">
      <w:pPr>
        <w:pStyle w:val="BodyA"/>
        <w:jc w:val="center"/>
        <w:rPr>
          <w:sz w:val="28"/>
          <w:szCs w:val="28"/>
          <w:lang w:val="it-IT"/>
        </w:rPr>
      </w:pPr>
    </w:p>
    <w:p w14:paraId="279F3BBC" w14:textId="22C363AE" w:rsidR="00190E59" w:rsidRDefault="00190E59" w:rsidP="009F3407">
      <w:pPr>
        <w:pStyle w:val="BodyA"/>
        <w:jc w:val="center"/>
        <w:rPr>
          <w:sz w:val="28"/>
          <w:szCs w:val="28"/>
          <w:lang w:val="it-IT"/>
        </w:rPr>
      </w:pPr>
    </w:p>
    <w:p w14:paraId="3CD3CF85" w14:textId="24CCFBD5" w:rsidR="00190E59" w:rsidRDefault="00190E59" w:rsidP="009F3407">
      <w:pPr>
        <w:pStyle w:val="BodyA"/>
        <w:jc w:val="center"/>
        <w:rPr>
          <w:sz w:val="28"/>
          <w:szCs w:val="28"/>
          <w:lang w:val="it-IT"/>
        </w:rPr>
      </w:pPr>
    </w:p>
    <w:p w14:paraId="66E5DE09" w14:textId="1B84004C" w:rsidR="00190E59" w:rsidRDefault="00190E59" w:rsidP="009F3407">
      <w:pPr>
        <w:pStyle w:val="BodyA"/>
        <w:jc w:val="center"/>
        <w:rPr>
          <w:sz w:val="28"/>
          <w:szCs w:val="28"/>
          <w:lang w:val="it-IT"/>
        </w:rPr>
      </w:pPr>
    </w:p>
    <w:p w14:paraId="320C3535" w14:textId="196204AD" w:rsidR="00190E59" w:rsidRDefault="00190E59" w:rsidP="009F3407">
      <w:pPr>
        <w:pStyle w:val="BodyA"/>
        <w:jc w:val="center"/>
        <w:rPr>
          <w:sz w:val="28"/>
          <w:szCs w:val="28"/>
          <w:lang w:val="it-IT"/>
        </w:rPr>
      </w:pPr>
    </w:p>
    <w:p w14:paraId="605A3331" w14:textId="7F6AD08A" w:rsidR="00190E59" w:rsidRDefault="00190E59" w:rsidP="009F3407">
      <w:pPr>
        <w:pStyle w:val="BodyA"/>
        <w:jc w:val="center"/>
        <w:rPr>
          <w:sz w:val="28"/>
          <w:szCs w:val="28"/>
          <w:lang w:val="it-IT"/>
        </w:rPr>
      </w:pPr>
    </w:p>
    <w:p w14:paraId="3FCF33FF" w14:textId="0B0A8CD7" w:rsidR="00190E59" w:rsidRDefault="00190E59" w:rsidP="009F3407">
      <w:pPr>
        <w:pStyle w:val="BodyA"/>
        <w:jc w:val="center"/>
        <w:rPr>
          <w:sz w:val="28"/>
          <w:szCs w:val="28"/>
          <w:lang w:val="it-IT"/>
        </w:rPr>
      </w:pPr>
    </w:p>
    <w:p w14:paraId="2EC9C75C" w14:textId="0DF1D131" w:rsidR="00190E59" w:rsidRDefault="00190E59" w:rsidP="009F3407">
      <w:pPr>
        <w:pStyle w:val="BodyA"/>
        <w:jc w:val="center"/>
        <w:rPr>
          <w:sz w:val="28"/>
          <w:szCs w:val="28"/>
          <w:lang w:val="it-IT"/>
        </w:rPr>
      </w:pPr>
    </w:p>
    <w:p w14:paraId="10F30431" w14:textId="55F498E7" w:rsidR="00190E59" w:rsidRDefault="00190E59" w:rsidP="009F3407">
      <w:pPr>
        <w:pStyle w:val="BodyA"/>
        <w:jc w:val="center"/>
        <w:rPr>
          <w:sz w:val="28"/>
          <w:szCs w:val="28"/>
          <w:lang w:val="it-IT"/>
        </w:rPr>
      </w:pPr>
    </w:p>
    <w:p w14:paraId="239AAC3D" w14:textId="7FCE5D39" w:rsidR="00190E59" w:rsidRDefault="00190E59" w:rsidP="009F3407">
      <w:pPr>
        <w:pStyle w:val="BodyA"/>
        <w:jc w:val="center"/>
        <w:rPr>
          <w:sz w:val="28"/>
          <w:szCs w:val="28"/>
          <w:lang w:val="it-IT"/>
        </w:rPr>
      </w:pPr>
    </w:p>
    <w:p w14:paraId="2ADB5556" w14:textId="5D57866C" w:rsidR="00190E59" w:rsidRDefault="00190E59" w:rsidP="009F3407">
      <w:pPr>
        <w:pStyle w:val="BodyA"/>
        <w:jc w:val="center"/>
        <w:rPr>
          <w:sz w:val="28"/>
          <w:szCs w:val="28"/>
          <w:lang w:val="it-IT"/>
        </w:rPr>
      </w:pPr>
    </w:p>
    <w:p w14:paraId="01CCC9F6" w14:textId="77777777" w:rsidR="00190E59" w:rsidRDefault="00190E59" w:rsidP="009F3407">
      <w:pPr>
        <w:pStyle w:val="BodyA"/>
        <w:jc w:val="center"/>
        <w:rPr>
          <w:sz w:val="28"/>
          <w:szCs w:val="28"/>
          <w:lang w:val="it-IT"/>
        </w:rPr>
      </w:pPr>
    </w:p>
    <w:p w14:paraId="40130F7B" w14:textId="3645AEC9" w:rsidR="00190E59" w:rsidRDefault="00190E59" w:rsidP="009F3407">
      <w:pPr>
        <w:pStyle w:val="BodyA"/>
        <w:jc w:val="center"/>
        <w:rPr>
          <w:sz w:val="28"/>
          <w:szCs w:val="28"/>
          <w:lang w:val="it-IT"/>
        </w:rPr>
      </w:pPr>
    </w:p>
    <w:tbl>
      <w:tblPr>
        <w:tblW w:w="5000" w:type="pct"/>
        <w:tblLook w:val="04A0" w:firstRow="1" w:lastRow="0" w:firstColumn="1" w:lastColumn="0" w:noHBand="0" w:noVBand="1"/>
      </w:tblPr>
      <w:tblGrid>
        <w:gridCol w:w="485"/>
        <w:gridCol w:w="1390"/>
        <w:gridCol w:w="1248"/>
        <w:gridCol w:w="1033"/>
        <w:gridCol w:w="1078"/>
        <w:gridCol w:w="1614"/>
        <w:gridCol w:w="1703"/>
        <w:gridCol w:w="1287"/>
        <w:gridCol w:w="1555"/>
        <w:gridCol w:w="1320"/>
        <w:gridCol w:w="1245"/>
      </w:tblGrid>
      <w:tr w:rsidR="00190E59" w:rsidRPr="00190E59" w14:paraId="6574D6C2" w14:textId="77777777" w:rsidTr="00190E59">
        <w:trPr>
          <w:trHeight w:val="180"/>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4FE37E6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190E59">
              <w:rPr>
                <w:rFonts w:ascii="Arial" w:eastAsia="Times New Roman" w:hAnsi="Arial" w:cs="Arial"/>
                <w:b/>
                <w:bCs/>
                <w:color w:val="000000"/>
                <w:sz w:val="12"/>
                <w:szCs w:val="12"/>
                <w:bdr w:val="none" w:sz="0" w:space="0" w:color="auto"/>
              </w:rPr>
              <w:t>Programi i Përgjithshëm Analitik i Projektakteve për vitin 2024</w:t>
            </w:r>
          </w:p>
        </w:tc>
      </w:tr>
      <w:tr w:rsidR="00190E59" w:rsidRPr="00190E59" w14:paraId="4BDB6022" w14:textId="77777777" w:rsidTr="00190E59">
        <w:trPr>
          <w:trHeight w:val="180"/>
        </w:trPr>
        <w:tc>
          <w:tcPr>
            <w:tcW w:w="5000" w:type="pct"/>
            <w:gridSpan w:val="11"/>
            <w:tcBorders>
              <w:top w:val="single" w:sz="4" w:space="0" w:color="FFFFFF"/>
              <w:left w:val="nil"/>
              <w:bottom w:val="nil"/>
              <w:right w:val="nil"/>
            </w:tcBorders>
            <w:shd w:val="clear" w:color="000000" w:fill="F2F2F2"/>
            <w:vAlign w:val="center"/>
            <w:hideMark/>
          </w:tcPr>
          <w:p w14:paraId="4E5FCA2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190E59">
              <w:rPr>
                <w:rFonts w:ascii="Arial" w:eastAsia="Times New Roman" w:hAnsi="Arial" w:cs="Arial"/>
                <w:b/>
                <w:bCs/>
                <w:color w:val="000000"/>
                <w:sz w:val="12"/>
                <w:szCs w:val="12"/>
                <w:bdr w:val="none" w:sz="0" w:space="0" w:color="auto"/>
              </w:rPr>
              <w:t>Ministri Financave dhe Ekonomisë</w:t>
            </w:r>
          </w:p>
        </w:tc>
      </w:tr>
      <w:tr w:rsidR="00190E59" w:rsidRPr="00190E59" w14:paraId="69F71B97" w14:textId="77777777" w:rsidTr="00190E59">
        <w:trPr>
          <w:trHeight w:val="180"/>
        </w:trPr>
        <w:tc>
          <w:tcPr>
            <w:tcW w:w="174" w:type="pct"/>
            <w:tcBorders>
              <w:top w:val="single" w:sz="8" w:space="0" w:color="auto"/>
              <w:left w:val="single" w:sz="8" w:space="0" w:color="auto"/>
              <w:bottom w:val="nil"/>
              <w:right w:val="nil"/>
            </w:tcBorders>
            <w:shd w:val="clear" w:color="000000" w:fill="C00000"/>
            <w:vAlign w:val="center"/>
            <w:hideMark/>
          </w:tcPr>
          <w:p w14:paraId="3A03DF0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Nr.</w:t>
            </w:r>
          </w:p>
        </w:tc>
        <w:tc>
          <w:tcPr>
            <w:tcW w:w="498" w:type="pct"/>
            <w:tcBorders>
              <w:top w:val="single" w:sz="8" w:space="0" w:color="auto"/>
              <w:left w:val="single" w:sz="4" w:space="0" w:color="FFFFFF"/>
              <w:bottom w:val="nil"/>
              <w:right w:val="single" w:sz="4" w:space="0" w:color="FFFFFF"/>
            </w:tcBorders>
            <w:shd w:val="clear" w:color="000000" w:fill="C00000"/>
            <w:vAlign w:val="center"/>
            <w:hideMark/>
          </w:tcPr>
          <w:p w14:paraId="418EFD5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Titulli i projektaktit</w:t>
            </w:r>
          </w:p>
        </w:tc>
        <w:tc>
          <w:tcPr>
            <w:tcW w:w="447" w:type="pct"/>
            <w:tcBorders>
              <w:top w:val="single" w:sz="8" w:space="0" w:color="auto"/>
              <w:left w:val="nil"/>
              <w:bottom w:val="nil"/>
              <w:right w:val="single" w:sz="4" w:space="0" w:color="FFFFFF"/>
            </w:tcBorders>
            <w:shd w:val="clear" w:color="000000" w:fill="C00000"/>
            <w:vAlign w:val="center"/>
            <w:hideMark/>
          </w:tcPr>
          <w:p w14:paraId="259A7DA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Lloji i projektaktit</w:t>
            </w:r>
          </w:p>
        </w:tc>
        <w:tc>
          <w:tcPr>
            <w:tcW w:w="370" w:type="pct"/>
            <w:tcBorders>
              <w:top w:val="single" w:sz="8" w:space="0" w:color="auto"/>
              <w:left w:val="nil"/>
              <w:bottom w:val="nil"/>
              <w:right w:val="nil"/>
            </w:tcBorders>
            <w:shd w:val="clear" w:color="000000" w:fill="C00000"/>
            <w:vAlign w:val="center"/>
            <w:hideMark/>
          </w:tcPr>
          <w:p w14:paraId="32D3313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bookmarkStart w:id="1" w:name="RANGE!D3:K37"/>
            <w:r w:rsidRPr="00190E59">
              <w:rPr>
                <w:rFonts w:ascii="Arial" w:eastAsia="Times New Roman" w:hAnsi="Arial" w:cs="Arial"/>
                <w:b/>
                <w:bCs/>
                <w:color w:val="FFFFFF"/>
                <w:sz w:val="12"/>
                <w:szCs w:val="12"/>
                <w:bdr w:val="none" w:sz="0" w:space="0" w:color="auto"/>
              </w:rPr>
              <w:t>Ministri propozues</w:t>
            </w:r>
            <w:bookmarkEnd w:id="1"/>
          </w:p>
        </w:tc>
        <w:tc>
          <w:tcPr>
            <w:tcW w:w="386" w:type="pct"/>
            <w:tcBorders>
              <w:top w:val="single" w:sz="8" w:space="0" w:color="auto"/>
              <w:left w:val="single" w:sz="4" w:space="0" w:color="FFFFFF"/>
              <w:bottom w:val="nil"/>
              <w:right w:val="nil"/>
            </w:tcBorders>
            <w:shd w:val="clear" w:color="000000" w:fill="C00000"/>
            <w:vAlign w:val="center"/>
            <w:hideMark/>
          </w:tcPr>
          <w:p w14:paraId="6B147BC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Katër mujori</w:t>
            </w:r>
          </w:p>
        </w:tc>
        <w:tc>
          <w:tcPr>
            <w:tcW w:w="578" w:type="pct"/>
            <w:tcBorders>
              <w:top w:val="single" w:sz="8" w:space="0" w:color="auto"/>
              <w:left w:val="single" w:sz="4" w:space="0" w:color="FFFFFF"/>
              <w:bottom w:val="nil"/>
              <w:right w:val="nil"/>
            </w:tcBorders>
            <w:shd w:val="clear" w:color="000000" w:fill="C00000"/>
            <w:vAlign w:val="center"/>
            <w:hideMark/>
          </w:tcPr>
          <w:p w14:paraId="0BDE395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Arsyet kryesore për propozimin e projektaktit</w:t>
            </w:r>
          </w:p>
        </w:tc>
        <w:tc>
          <w:tcPr>
            <w:tcW w:w="610" w:type="pct"/>
            <w:tcBorders>
              <w:top w:val="single" w:sz="8" w:space="0" w:color="auto"/>
              <w:left w:val="single" w:sz="4" w:space="0" w:color="FFFFFF"/>
              <w:bottom w:val="nil"/>
              <w:right w:val="single" w:sz="4" w:space="0" w:color="FFFFFF"/>
            </w:tcBorders>
            <w:shd w:val="clear" w:color="000000" w:fill="C00000"/>
            <w:vAlign w:val="center"/>
            <w:hideMark/>
          </w:tcPr>
          <w:p w14:paraId="674BB98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 xml:space="preserve">Çështjet kryesore që parashikon të rregullojë projektakti </w:t>
            </w:r>
          </w:p>
        </w:tc>
        <w:tc>
          <w:tcPr>
            <w:tcW w:w="461" w:type="pct"/>
            <w:tcBorders>
              <w:top w:val="single" w:sz="8" w:space="0" w:color="auto"/>
              <w:left w:val="nil"/>
              <w:bottom w:val="nil"/>
              <w:right w:val="single" w:sz="4" w:space="0" w:color="FFFFFF"/>
            </w:tcBorders>
            <w:shd w:val="clear" w:color="000000" w:fill="C00000"/>
            <w:vAlign w:val="center"/>
            <w:hideMark/>
          </w:tcPr>
          <w:p w14:paraId="5F18EC2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A është parashikuar projektakti në PKIE?</w:t>
            </w:r>
            <w:r w:rsidRPr="00190E59">
              <w:rPr>
                <w:rFonts w:ascii="Arial" w:eastAsia="Times New Roman" w:hAnsi="Arial" w:cs="Arial"/>
                <w:b/>
                <w:bCs/>
                <w:color w:val="FFFFFF"/>
                <w:sz w:val="12"/>
                <w:szCs w:val="12"/>
                <w:bdr w:val="none" w:sz="0" w:space="0" w:color="auto"/>
              </w:rPr>
              <w:br/>
            </w:r>
            <w:r w:rsidRPr="00190E59">
              <w:rPr>
                <w:rFonts w:ascii="Arial" w:eastAsia="Times New Roman" w:hAnsi="Arial" w:cs="Arial"/>
                <w:b/>
                <w:bCs/>
                <w:color w:val="FFFFFF"/>
                <w:sz w:val="12"/>
                <w:szCs w:val="12"/>
                <w:bdr w:val="none" w:sz="0" w:space="0" w:color="auto"/>
              </w:rPr>
              <w:br/>
              <w:t>Nëse po, të specifikohet kapitulli përkatës</w:t>
            </w:r>
          </w:p>
        </w:tc>
        <w:tc>
          <w:tcPr>
            <w:tcW w:w="557" w:type="pct"/>
            <w:tcBorders>
              <w:top w:val="single" w:sz="8" w:space="0" w:color="auto"/>
              <w:left w:val="nil"/>
              <w:bottom w:val="nil"/>
              <w:right w:val="single" w:sz="4" w:space="0" w:color="FFFFFF"/>
            </w:tcBorders>
            <w:shd w:val="clear" w:color="000000" w:fill="C00000"/>
            <w:vAlign w:val="center"/>
            <w:hideMark/>
          </w:tcPr>
          <w:p w14:paraId="5A28368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Përputhshmëria e projektaktit me programin politik qeverisës 2021-2025</w:t>
            </w:r>
            <w:r w:rsidRPr="00190E59">
              <w:rPr>
                <w:rFonts w:ascii="Arial" w:eastAsia="Times New Roman" w:hAnsi="Arial" w:cs="Arial"/>
                <w:b/>
                <w:bCs/>
                <w:color w:val="FFFFFF"/>
                <w:sz w:val="12"/>
                <w:szCs w:val="12"/>
                <w:bdr w:val="none" w:sz="0" w:space="0" w:color="auto"/>
              </w:rPr>
              <w:br/>
            </w:r>
            <w:r w:rsidRPr="00190E59">
              <w:rPr>
                <w:rFonts w:ascii="Arial" w:eastAsia="Times New Roman" w:hAnsi="Arial" w:cs="Arial"/>
                <w:b/>
                <w:bCs/>
                <w:color w:val="FFFFFF"/>
                <w:sz w:val="12"/>
                <w:szCs w:val="12"/>
                <w:bdr w:val="none" w:sz="0" w:space="0" w:color="auto"/>
              </w:rPr>
              <w:br/>
              <w:t>Nëse përputhet, të jepet  referenca e saktë në progam</w:t>
            </w:r>
          </w:p>
        </w:tc>
        <w:tc>
          <w:tcPr>
            <w:tcW w:w="473" w:type="pct"/>
            <w:tcBorders>
              <w:top w:val="single" w:sz="8" w:space="0" w:color="auto"/>
              <w:left w:val="nil"/>
              <w:bottom w:val="nil"/>
              <w:right w:val="single" w:sz="4" w:space="0" w:color="FFFFFF"/>
            </w:tcBorders>
            <w:shd w:val="clear" w:color="000000" w:fill="C00000"/>
            <w:vAlign w:val="center"/>
            <w:hideMark/>
          </w:tcPr>
          <w:p w14:paraId="53C1F41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Lidhja e projektaktit me strategjitë kombëtare dhe sektoriale</w:t>
            </w:r>
            <w:r w:rsidRPr="00190E59">
              <w:rPr>
                <w:rFonts w:ascii="Arial" w:eastAsia="Times New Roman" w:hAnsi="Arial" w:cs="Arial"/>
                <w:b/>
                <w:bCs/>
                <w:color w:val="FFFFFF"/>
                <w:sz w:val="12"/>
                <w:szCs w:val="12"/>
                <w:bdr w:val="none" w:sz="0" w:space="0" w:color="auto"/>
              </w:rPr>
              <w:br/>
            </w:r>
            <w:r w:rsidRPr="00190E59">
              <w:rPr>
                <w:rFonts w:ascii="Arial" w:eastAsia="Times New Roman" w:hAnsi="Arial" w:cs="Arial"/>
                <w:b/>
                <w:bCs/>
                <w:color w:val="FFFFFF"/>
                <w:sz w:val="12"/>
                <w:szCs w:val="12"/>
                <w:bdr w:val="none" w:sz="0" w:space="0" w:color="auto"/>
              </w:rPr>
              <w:br/>
              <w:t>Nëse lidhet, të specifikohen strategjitë</w:t>
            </w:r>
          </w:p>
        </w:tc>
        <w:tc>
          <w:tcPr>
            <w:tcW w:w="447" w:type="pct"/>
            <w:tcBorders>
              <w:top w:val="single" w:sz="8" w:space="0" w:color="auto"/>
              <w:left w:val="nil"/>
              <w:bottom w:val="nil"/>
              <w:right w:val="nil"/>
            </w:tcBorders>
            <w:shd w:val="clear" w:color="000000" w:fill="C00000"/>
            <w:vAlign w:val="center"/>
            <w:hideMark/>
          </w:tcPr>
          <w:p w14:paraId="52BE4F5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90E59">
              <w:rPr>
                <w:rFonts w:ascii="Arial" w:eastAsia="Times New Roman" w:hAnsi="Arial" w:cs="Arial"/>
                <w:b/>
                <w:bCs/>
                <w:color w:val="FFFFFF"/>
                <w:sz w:val="12"/>
                <w:szCs w:val="12"/>
                <w:bdr w:val="none" w:sz="0" w:space="0" w:color="auto"/>
              </w:rPr>
              <w:t>Ndikimet e mundshme ekonomike, financiare, sociale dhe mjedisore</w:t>
            </w:r>
            <w:r w:rsidRPr="00190E59">
              <w:rPr>
                <w:rFonts w:ascii="Arial" w:eastAsia="Times New Roman" w:hAnsi="Arial" w:cs="Arial"/>
                <w:b/>
                <w:bCs/>
                <w:color w:val="FFFFFF"/>
                <w:sz w:val="12"/>
                <w:szCs w:val="12"/>
                <w:bdr w:val="none" w:sz="0" w:space="0" w:color="auto"/>
              </w:rPr>
              <w:br/>
            </w:r>
            <w:r w:rsidRPr="00190E59">
              <w:rPr>
                <w:rFonts w:ascii="Arial" w:eastAsia="Times New Roman" w:hAnsi="Arial" w:cs="Arial"/>
                <w:b/>
                <w:bCs/>
                <w:color w:val="FFFFFF"/>
                <w:sz w:val="12"/>
                <w:szCs w:val="12"/>
                <w:bdr w:val="none" w:sz="0" w:space="0" w:color="auto"/>
              </w:rPr>
              <w:br/>
              <w:t xml:space="preserve">Përgjigjuni me Po/Jo për ndikimet përkatëse </w:t>
            </w:r>
          </w:p>
        </w:tc>
      </w:tr>
      <w:tr w:rsidR="00190E59" w:rsidRPr="00190E59" w14:paraId="4641CB31" w14:textId="77777777" w:rsidTr="00190E59">
        <w:trPr>
          <w:trHeight w:val="180"/>
        </w:trPr>
        <w:tc>
          <w:tcPr>
            <w:tcW w:w="1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EA5F4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0555DE1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krijimin e Regjistrit për Kthimin e Garancive Shtetërore"</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4A35F42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14:paraId="12E3F67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single" w:sz="4" w:space="0" w:color="auto"/>
              <w:left w:val="nil"/>
              <w:bottom w:val="single" w:sz="4" w:space="0" w:color="auto"/>
              <w:right w:val="single" w:sz="4" w:space="0" w:color="auto"/>
            </w:tcBorders>
            <w:shd w:val="clear" w:color="auto" w:fill="auto"/>
            <w:vAlign w:val="center"/>
            <w:hideMark/>
          </w:tcPr>
          <w:p w14:paraId="4E73614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single" w:sz="4" w:space="0" w:color="auto"/>
              <w:left w:val="nil"/>
              <w:bottom w:val="single" w:sz="4" w:space="0" w:color="auto"/>
              <w:right w:val="single" w:sz="4" w:space="0" w:color="auto"/>
            </w:tcBorders>
            <w:shd w:val="clear" w:color="auto" w:fill="auto"/>
            <w:vAlign w:val="center"/>
            <w:hideMark/>
          </w:tcPr>
          <w:p w14:paraId="3B682BD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Nevoja  për krijimin e regjistrit elektronik, në përputhje me legjislacionin në fuqi për bazat e të dhënave,  kjo si pasojë e miratimit të ligjit të ri, Ligjit 55/2023 “Për Menaxhimin e Garancive dhe Kredive Shtetërore të Pakthyera”  Qëllimi i këtij projekt-akti rregullon procedurat si: Agjencia raporton te Regjistri i Kredive dhe zbaton kriteret e klasifikimit për bankat dhe Institucionet financiare jo-banka, në mënyrë qe këto hua/kredi/detyrime të figurojnë në Regjistrin e Kredive edhe pasi t'i transferohen Agjencisë me qëllim qe informacioni në Regjistrin e Kredive për këta huamarrës të jetë i plotë. Për marrëveshjet e huas të nënshkruara nga institucionet financiare pjesë e skemave të garancive përkatese, Agjencia ka detyrë të rakordojë çdo tre muaj të dhënat me huadhënësit dhe Ministrinë përgjegjëse për financat dhe të raportojë çdo tre muaj në Ministrinë përgjegjëse për financat mbi ecurinë e skemave të garancisë. Për skemat e vecanta të garancisë, Agjencia ka detyrë të monitorojë shlyerjen e detyrimeve të huamarrësve ndaj Ministrisë përgjegjëse për financat për pagesat e kryera nga kjo e fundit në kuadër të marrëveshjeve të garancisë me anë të kontrollit të dokumentacionit dhe me anë të verifikimeve të faturave dhe mandat pagesave të subjekteve.</w:t>
            </w:r>
          </w:p>
        </w:tc>
        <w:tc>
          <w:tcPr>
            <w:tcW w:w="610" w:type="pct"/>
            <w:tcBorders>
              <w:top w:val="single" w:sz="4" w:space="0" w:color="auto"/>
              <w:left w:val="nil"/>
              <w:bottom w:val="single" w:sz="4" w:space="0" w:color="auto"/>
              <w:right w:val="single" w:sz="4" w:space="0" w:color="auto"/>
            </w:tcBorders>
            <w:shd w:val="clear" w:color="auto" w:fill="auto"/>
            <w:vAlign w:val="center"/>
            <w:hideMark/>
          </w:tcPr>
          <w:p w14:paraId="2667071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Krijimi i një regjistrit elektronik që do përdoret për të administruar të dhënat e subjekteve që kanë lidhur marrëveshje me Agjencinë për Menaxhimin e Garancive dhe Kredive të Pakthyera</w:t>
            </w:r>
          </w:p>
        </w:tc>
        <w:tc>
          <w:tcPr>
            <w:tcW w:w="461" w:type="pct"/>
            <w:tcBorders>
              <w:top w:val="single" w:sz="4" w:space="0" w:color="auto"/>
              <w:left w:val="nil"/>
              <w:bottom w:val="single" w:sz="4" w:space="0" w:color="auto"/>
              <w:right w:val="single" w:sz="4" w:space="0" w:color="auto"/>
            </w:tcBorders>
            <w:shd w:val="clear" w:color="auto" w:fill="auto"/>
            <w:vAlign w:val="center"/>
            <w:hideMark/>
          </w:tcPr>
          <w:p w14:paraId="5988B0D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single" w:sz="4" w:space="0" w:color="auto"/>
              <w:left w:val="nil"/>
              <w:bottom w:val="single" w:sz="4" w:space="0" w:color="auto"/>
              <w:right w:val="single" w:sz="4" w:space="0" w:color="auto"/>
            </w:tcBorders>
            <w:shd w:val="clear" w:color="auto" w:fill="auto"/>
            <w:vAlign w:val="center"/>
            <w:hideMark/>
          </w:tcPr>
          <w:p w14:paraId="6BF5D32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single" w:sz="4" w:space="0" w:color="auto"/>
              <w:left w:val="nil"/>
              <w:bottom w:val="single" w:sz="4" w:space="0" w:color="auto"/>
              <w:right w:val="single" w:sz="4" w:space="0" w:color="auto"/>
            </w:tcBorders>
            <w:shd w:val="clear" w:color="auto" w:fill="auto"/>
            <w:vAlign w:val="center"/>
            <w:hideMark/>
          </w:tcPr>
          <w:p w14:paraId="50B2098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59239CC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21CD9018"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651CF54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w:t>
            </w:r>
          </w:p>
        </w:tc>
        <w:tc>
          <w:tcPr>
            <w:tcW w:w="498" w:type="pct"/>
            <w:tcBorders>
              <w:top w:val="nil"/>
              <w:left w:val="nil"/>
              <w:bottom w:val="single" w:sz="4" w:space="0" w:color="auto"/>
              <w:right w:val="single" w:sz="4" w:space="0" w:color="auto"/>
            </w:tcBorders>
            <w:shd w:val="clear" w:color="auto" w:fill="auto"/>
            <w:vAlign w:val="center"/>
            <w:hideMark/>
          </w:tcPr>
          <w:p w14:paraId="22FACD3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kuadrin makroekonomik fiskal 2024-2026"</w:t>
            </w:r>
          </w:p>
        </w:tc>
        <w:tc>
          <w:tcPr>
            <w:tcW w:w="447" w:type="pct"/>
            <w:tcBorders>
              <w:top w:val="nil"/>
              <w:left w:val="nil"/>
              <w:bottom w:val="single" w:sz="4" w:space="0" w:color="auto"/>
              <w:right w:val="single" w:sz="4" w:space="0" w:color="auto"/>
            </w:tcBorders>
            <w:shd w:val="clear" w:color="000000" w:fill="FFFFFF"/>
            <w:vAlign w:val="center"/>
            <w:hideMark/>
          </w:tcPr>
          <w:p w14:paraId="0AA036D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Projektvendim </w:t>
            </w:r>
          </w:p>
        </w:tc>
        <w:tc>
          <w:tcPr>
            <w:tcW w:w="370" w:type="pct"/>
            <w:tcBorders>
              <w:top w:val="nil"/>
              <w:left w:val="nil"/>
              <w:bottom w:val="single" w:sz="4" w:space="0" w:color="auto"/>
              <w:right w:val="single" w:sz="4" w:space="0" w:color="auto"/>
            </w:tcBorders>
            <w:shd w:val="clear" w:color="000000" w:fill="FFFFFF"/>
            <w:vAlign w:val="center"/>
            <w:hideMark/>
          </w:tcPr>
          <w:p w14:paraId="3F657B6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Ministri Financave dhe Ekonomisë </w:t>
            </w:r>
          </w:p>
        </w:tc>
        <w:tc>
          <w:tcPr>
            <w:tcW w:w="386" w:type="pct"/>
            <w:tcBorders>
              <w:top w:val="nil"/>
              <w:left w:val="nil"/>
              <w:bottom w:val="single" w:sz="4" w:space="0" w:color="auto"/>
              <w:right w:val="single" w:sz="4" w:space="0" w:color="auto"/>
            </w:tcBorders>
            <w:shd w:val="clear" w:color="000000" w:fill="FFFFFF"/>
            <w:vAlign w:val="center"/>
            <w:hideMark/>
          </w:tcPr>
          <w:p w14:paraId="333AE97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000000" w:fill="FFFFFF"/>
            <w:vAlign w:val="center"/>
            <w:hideMark/>
          </w:tcPr>
          <w:p w14:paraId="761B610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Kuadrit Makroekonomik e Fiskal për periudhën 2024 – 2026, në mbështetje të nenit 100 të Kushtetutës dhe të neneve 23 e 27 të ligjit nr. 9936, datë 26.6.2008 "Për menaxhimin e sistemit buxhetor në Republikën e Shqipërisë".</w:t>
            </w:r>
          </w:p>
        </w:tc>
        <w:tc>
          <w:tcPr>
            <w:tcW w:w="610" w:type="pct"/>
            <w:tcBorders>
              <w:top w:val="nil"/>
              <w:left w:val="nil"/>
              <w:bottom w:val="single" w:sz="4" w:space="0" w:color="auto"/>
              <w:right w:val="single" w:sz="4" w:space="0" w:color="auto"/>
            </w:tcBorders>
            <w:shd w:val="clear" w:color="000000" w:fill="FFFFFF"/>
            <w:vAlign w:val="center"/>
            <w:hideMark/>
          </w:tcPr>
          <w:p w14:paraId="136651D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Kuadri Makroekonomik e Fiskal ka për qëllim përcaktimin e përparësive strategjike të qeverisë. Ai projekton pritshmërinë makroekonomike në horizontin kohor afat-mesëm, si dhe parashikon nivelin e zërave të agreguar të të ardhurave dhe shpenzimeve të buxhetit të shtetit. </w:t>
            </w:r>
            <w:r w:rsidRPr="00190E59">
              <w:rPr>
                <w:rFonts w:ascii="Arial" w:eastAsia="Times New Roman" w:hAnsi="Arial" w:cs="Arial"/>
                <w:color w:val="000000"/>
                <w:sz w:val="12"/>
                <w:szCs w:val="12"/>
                <w:bdr w:val="none" w:sz="0" w:space="0" w:color="auto"/>
              </w:rPr>
              <w:br/>
            </w:r>
            <w:r w:rsidRPr="00190E59">
              <w:rPr>
                <w:rFonts w:ascii="Arial" w:eastAsia="Times New Roman" w:hAnsi="Arial" w:cs="Arial"/>
                <w:color w:val="000000"/>
                <w:sz w:val="12"/>
                <w:szCs w:val="12"/>
                <w:bdr w:val="none" w:sz="0" w:space="0" w:color="auto"/>
              </w:rPr>
              <w:br/>
              <w:t xml:space="preserve">KMF përcakton synimet dhe objektivat e qeverisë në lidhje me treguesit kryesor të politikës fiskale si, balancën e përgjithshme fiskale (deficitin), huamarrjen, borxhin publik, balancën fiskale primare dhe atë korrente. </w:t>
            </w:r>
            <w:r w:rsidRPr="00190E59">
              <w:rPr>
                <w:rFonts w:ascii="Arial" w:eastAsia="Times New Roman" w:hAnsi="Arial" w:cs="Arial"/>
                <w:color w:val="000000"/>
                <w:sz w:val="12"/>
                <w:szCs w:val="12"/>
                <w:bdr w:val="none" w:sz="0" w:space="0" w:color="auto"/>
              </w:rPr>
              <w:br/>
            </w:r>
            <w:r w:rsidRPr="00190E59">
              <w:rPr>
                <w:rFonts w:ascii="Arial" w:eastAsia="Times New Roman" w:hAnsi="Arial" w:cs="Arial"/>
                <w:color w:val="000000"/>
                <w:sz w:val="12"/>
                <w:szCs w:val="12"/>
                <w:bdr w:val="none" w:sz="0" w:space="0" w:color="auto"/>
              </w:rPr>
              <w:br/>
              <w:t xml:space="preserve">KMF shërben si bazë për përcaktimin e tavaneve në fazën e parë të procesit të përgatitjes së Programit Buxhetor Afatmesëm (PBA) në nivel ministrie. </w:t>
            </w:r>
          </w:p>
        </w:tc>
        <w:tc>
          <w:tcPr>
            <w:tcW w:w="461" w:type="pct"/>
            <w:tcBorders>
              <w:top w:val="nil"/>
              <w:left w:val="nil"/>
              <w:bottom w:val="single" w:sz="4" w:space="0" w:color="auto"/>
              <w:right w:val="single" w:sz="4" w:space="0" w:color="auto"/>
            </w:tcBorders>
            <w:shd w:val="clear" w:color="000000" w:fill="FFFFFF"/>
            <w:vAlign w:val="center"/>
            <w:hideMark/>
          </w:tcPr>
          <w:p w14:paraId="575E682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000000" w:fill="FFFFFF"/>
            <w:vAlign w:val="center"/>
            <w:hideMark/>
          </w:tcPr>
          <w:p w14:paraId="5BCF02E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000000" w:fill="FFFFFF"/>
            <w:vAlign w:val="center"/>
            <w:hideMark/>
          </w:tcPr>
          <w:p w14:paraId="2FAF241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000000" w:fill="FFFFFF"/>
            <w:vAlign w:val="center"/>
            <w:hideMark/>
          </w:tcPr>
          <w:p w14:paraId="6D0988A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714C4782"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661DBF8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3</w:t>
            </w:r>
          </w:p>
        </w:tc>
        <w:tc>
          <w:tcPr>
            <w:tcW w:w="498" w:type="pct"/>
            <w:tcBorders>
              <w:top w:val="nil"/>
              <w:left w:val="nil"/>
              <w:bottom w:val="single" w:sz="4" w:space="0" w:color="auto"/>
              <w:right w:val="single" w:sz="4" w:space="0" w:color="auto"/>
            </w:tcBorders>
            <w:shd w:val="clear" w:color="auto" w:fill="auto"/>
            <w:vAlign w:val="center"/>
            <w:hideMark/>
          </w:tcPr>
          <w:p w14:paraId="1E4ABEC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Programit të reformave Ekonomike (ERP) 2024-2026</w:t>
            </w:r>
          </w:p>
        </w:tc>
        <w:tc>
          <w:tcPr>
            <w:tcW w:w="447" w:type="pct"/>
            <w:tcBorders>
              <w:top w:val="nil"/>
              <w:left w:val="nil"/>
              <w:bottom w:val="single" w:sz="4" w:space="0" w:color="auto"/>
              <w:right w:val="single" w:sz="4" w:space="0" w:color="auto"/>
            </w:tcBorders>
            <w:shd w:val="clear" w:color="auto" w:fill="auto"/>
            <w:vAlign w:val="center"/>
            <w:hideMark/>
          </w:tcPr>
          <w:p w14:paraId="3486568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Projektvendim </w:t>
            </w:r>
          </w:p>
        </w:tc>
        <w:tc>
          <w:tcPr>
            <w:tcW w:w="370" w:type="pct"/>
            <w:tcBorders>
              <w:top w:val="nil"/>
              <w:left w:val="nil"/>
              <w:bottom w:val="single" w:sz="4" w:space="0" w:color="auto"/>
              <w:right w:val="single" w:sz="4" w:space="0" w:color="auto"/>
            </w:tcBorders>
            <w:shd w:val="clear" w:color="auto" w:fill="auto"/>
            <w:vAlign w:val="center"/>
            <w:hideMark/>
          </w:tcPr>
          <w:p w14:paraId="20B2384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i Financave dhe Ekonomisë</w:t>
            </w:r>
          </w:p>
        </w:tc>
        <w:tc>
          <w:tcPr>
            <w:tcW w:w="386" w:type="pct"/>
            <w:tcBorders>
              <w:top w:val="nil"/>
              <w:left w:val="nil"/>
              <w:bottom w:val="single" w:sz="4" w:space="0" w:color="auto"/>
              <w:right w:val="single" w:sz="4" w:space="0" w:color="auto"/>
            </w:tcBorders>
            <w:shd w:val="clear" w:color="000000" w:fill="FFFFFF"/>
            <w:vAlign w:val="center"/>
            <w:hideMark/>
          </w:tcPr>
          <w:p w14:paraId="702607A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7E01A32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Qëllimi është miratimi i dokumentit të Programit të Reformave Ekonomike për periudhën 2024-2026</w:t>
            </w:r>
          </w:p>
        </w:tc>
        <w:tc>
          <w:tcPr>
            <w:tcW w:w="610" w:type="pct"/>
            <w:tcBorders>
              <w:top w:val="nil"/>
              <w:left w:val="nil"/>
              <w:bottom w:val="single" w:sz="4" w:space="0" w:color="auto"/>
              <w:right w:val="single" w:sz="4" w:space="0" w:color="auto"/>
            </w:tcBorders>
            <w:shd w:val="clear" w:color="auto" w:fill="auto"/>
            <w:vAlign w:val="center"/>
            <w:hideMark/>
          </w:tcPr>
          <w:p w14:paraId="1FDC322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Projektakti miraton dokumentin e ERP 2024-2026 që përfshin kuadrin makroekonomik dhe fiskal, listën e reformave strukturore parësore të vendit, zbatimin e përfundimeve të përbashkëta nga dialogu ekonomik dhe financiar me BE</w:t>
            </w:r>
          </w:p>
        </w:tc>
        <w:tc>
          <w:tcPr>
            <w:tcW w:w="461" w:type="pct"/>
            <w:tcBorders>
              <w:top w:val="nil"/>
              <w:left w:val="nil"/>
              <w:bottom w:val="single" w:sz="4" w:space="0" w:color="auto"/>
              <w:right w:val="single" w:sz="4" w:space="0" w:color="auto"/>
            </w:tcBorders>
            <w:shd w:val="clear" w:color="auto" w:fill="auto"/>
            <w:vAlign w:val="center"/>
            <w:hideMark/>
          </w:tcPr>
          <w:p w14:paraId="5D7DFF0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w:t>
            </w:r>
          </w:p>
        </w:tc>
        <w:tc>
          <w:tcPr>
            <w:tcW w:w="557" w:type="pct"/>
            <w:tcBorders>
              <w:top w:val="nil"/>
              <w:left w:val="nil"/>
              <w:bottom w:val="single" w:sz="4" w:space="0" w:color="auto"/>
              <w:right w:val="single" w:sz="4" w:space="0" w:color="auto"/>
            </w:tcBorders>
            <w:shd w:val="clear" w:color="auto" w:fill="auto"/>
            <w:vAlign w:val="center"/>
            <w:hideMark/>
          </w:tcPr>
          <w:p w14:paraId="45AD941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2F1753C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2CF5EB2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7BFDFB10"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660337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4</w:t>
            </w:r>
          </w:p>
        </w:tc>
        <w:tc>
          <w:tcPr>
            <w:tcW w:w="498" w:type="pct"/>
            <w:tcBorders>
              <w:top w:val="nil"/>
              <w:left w:val="nil"/>
              <w:bottom w:val="single" w:sz="4" w:space="0" w:color="auto"/>
              <w:right w:val="single" w:sz="4" w:space="0" w:color="auto"/>
            </w:tcBorders>
            <w:shd w:val="clear" w:color="auto" w:fill="auto"/>
            <w:vAlign w:val="center"/>
            <w:hideMark/>
          </w:tcPr>
          <w:p w14:paraId="03A37C8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përcaktimin e procedurave të detajuara për kthimin e garancive, huave dhe nënhuave dhe procedurat e marrjes në pronësi të pasurive të lëna si garanci ose jo nga huamarrësit e shitjes së këtyre pasurive të marra "</w:t>
            </w:r>
          </w:p>
        </w:tc>
        <w:tc>
          <w:tcPr>
            <w:tcW w:w="447" w:type="pct"/>
            <w:tcBorders>
              <w:top w:val="nil"/>
              <w:left w:val="nil"/>
              <w:bottom w:val="single" w:sz="4" w:space="0" w:color="auto"/>
              <w:right w:val="single" w:sz="4" w:space="0" w:color="auto"/>
            </w:tcBorders>
            <w:shd w:val="clear" w:color="auto" w:fill="auto"/>
            <w:vAlign w:val="center"/>
            <w:hideMark/>
          </w:tcPr>
          <w:p w14:paraId="31EC28A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000000" w:fill="FFFFFF"/>
            <w:vAlign w:val="center"/>
            <w:hideMark/>
          </w:tcPr>
          <w:p w14:paraId="4BE01C3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6FA7D88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152B804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Nevoja  për përcaktimin e procedurave të detajuara për kthimin e garancive, huave dhe nënhuave dhe procedurat e marrjes në pronësi të pasurive të lëna si garanci ose jo të Agjencisë për Menaxhimin e Garancive dhe Kredive të Pakthyera”, kjo si pasojë e miratimit të ligjit të ri, Ligjit 55/2023 “Për Menaxhimin e Garancive dhe Kredive Shtetërore të Pakthyera”</w:t>
            </w:r>
          </w:p>
        </w:tc>
        <w:tc>
          <w:tcPr>
            <w:tcW w:w="610" w:type="pct"/>
            <w:tcBorders>
              <w:top w:val="nil"/>
              <w:left w:val="nil"/>
              <w:bottom w:val="single" w:sz="4" w:space="0" w:color="auto"/>
              <w:right w:val="single" w:sz="4" w:space="0" w:color="auto"/>
            </w:tcBorders>
            <w:shd w:val="clear" w:color="auto" w:fill="auto"/>
            <w:vAlign w:val="center"/>
            <w:hideMark/>
          </w:tcPr>
          <w:p w14:paraId="40E3E7C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Përcaktimi i qartë i procedurave të detajuara për kthimin e garancive, huave dhe nënhuave dhe procedurat e marrjes në pronësi të pasurive të lëna si garanci ose jo të Agjencisë për Menaxhimin e Garancive dhe Kredive të Pakthyera</w:t>
            </w:r>
          </w:p>
        </w:tc>
        <w:tc>
          <w:tcPr>
            <w:tcW w:w="461" w:type="pct"/>
            <w:tcBorders>
              <w:top w:val="nil"/>
              <w:left w:val="nil"/>
              <w:bottom w:val="single" w:sz="4" w:space="0" w:color="auto"/>
              <w:right w:val="single" w:sz="4" w:space="0" w:color="auto"/>
            </w:tcBorders>
            <w:shd w:val="clear" w:color="auto" w:fill="auto"/>
            <w:vAlign w:val="center"/>
            <w:hideMark/>
          </w:tcPr>
          <w:p w14:paraId="0240611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7AD8887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5FF90FE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70E428C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4399618D"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599596D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5</w:t>
            </w:r>
          </w:p>
        </w:tc>
        <w:tc>
          <w:tcPr>
            <w:tcW w:w="498" w:type="pct"/>
            <w:tcBorders>
              <w:top w:val="nil"/>
              <w:left w:val="nil"/>
              <w:bottom w:val="single" w:sz="4" w:space="0" w:color="auto"/>
              <w:right w:val="single" w:sz="4" w:space="0" w:color="auto"/>
            </w:tcBorders>
            <w:shd w:val="clear" w:color="000000" w:fill="FFFFFF"/>
            <w:vAlign w:val="center"/>
            <w:hideMark/>
          </w:tcPr>
          <w:p w14:paraId="5AC7891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 "Për miratimin e Strategjisë Sektoriale të Menaxhimit të Financave Publike 2023-2030"</w:t>
            </w:r>
          </w:p>
        </w:tc>
        <w:tc>
          <w:tcPr>
            <w:tcW w:w="447" w:type="pct"/>
            <w:tcBorders>
              <w:top w:val="nil"/>
              <w:left w:val="nil"/>
              <w:bottom w:val="single" w:sz="4" w:space="0" w:color="auto"/>
              <w:right w:val="single" w:sz="4" w:space="0" w:color="auto"/>
            </w:tcBorders>
            <w:shd w:val="clear" w:color="auto" w:fill="auto"/>
            <w:vAlign w:val="center"/>
            <w:hideMark/>
          </w:tcPr>
          <w:p w14:paraId="33E34E4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000000" w:fill="FFFFFF"/>
            <w:vAlign w:val="center"/>
            <w:hideMark/>
          </w:tcPr>
          <w:p w14:paraId="323E337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1748140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000000" w:fill="FFFFFF"/>
            <w:vAlign w:val="center"/>
            <w:hideMark/>
          </w:tcPr>
          <w:p w14:paraId="4334F6D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Strategjia Sektoriale e Menaxhimit të Financave Publike (SSMFP), 2019-2022, si dhe plani i veprimit 2020-2022, ka përfunduar në dhjetor 2022. Për të rritur efektivitetin e shpenzimeve buxhetore dhe për të krijuar një mjedis më produktiv për shpenzime në afat të mesëm dhe afatgjatë, vazhdimi i reformave të MFP-së është thelbësor. Për këtë qëllim, do të hartohet dhe miratohet strategjia e tretë për menaxhimin e financave publike, që do të mbulojë periudhën 2023 – 2030. </w:t>
            </w:r>
          </w:p>
        </w:tc>
        <w:tc>
          <w:tcPr>
            <w:tcW w:w="610" w:type="pct"/>
            <w:tcBorders>
              <w:top w:val="nil"/>
              <w:left w:val="nil"/>
              <w:bottom w:val="single" w:sz="4" w:space="0" w:color="auto"/>
              <w:right w:val="single" w:sz="4" w:space="0" w:color="auto"/>
            </w:tcBorders>
            <w:shd w:val="clear" w:color="000000" w:fill="FFFFFF"/>
            <w:vAlign w:val="center"/>
            <w:hideMark/>
          </w:tcPr>
          <w:p w14:paraId="61EE1C3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Strategjia e MFP-së 2023 - 2030 do të shërbejë si një kuadër që do të udhëheqë zbatimin e të gjitha reformave të qeverisë për MFP-në. SSMFP 2023-2030 do të përcaktojë drejtimet dhe prioritetet për të garantuar një sistem financash publike që promovon transparencën, llogaridhënien, disiplinën fiskale dhe efikasitetin në menaxhimin dhe përdorimin e burimeve publike për ofrimin e shërbimeve të përmirësuara dhe zhvillimin ekonomik.</w:t>
            </w:r>
          </w:p>
        </w:tc>
        <w:tc>
          <w:tcPr>
            <w:tcW w:w="461" w:type="pct"/>
            <w:tcBorders>
              <w:top w:val="nil"/>
              <w:left w:val="nil"/>
              <w:bottom w:val="single" w:sz="4" w:space="0" w:color="auto"/>
              <w:right w:val="single" w:sz="4" w:space="0" w:color="auto"/>
            </w:tcBorders>
            <w:shd w:val="clear" w:color="000000" w:fill="FFFFFF"/>
            <w:vAlign w:val="center"/>
            <w:hideMark/>
          </w:tcPr>
          <w:p w14:paraId="06BE990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000000" w:fill="FFFFFF"/>
            <w:vAlign w:val="center"/>
            <w:hideMark/>
          </w:tcPr>
          <w:p w14:paraId="5902140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Strategjia e MFP-së lidhet me Dokumentin e Programit të Qeverisë, specifikisht me shtyllën "Mirëqenie për të gjithë", që do të përkthehet në një ekonomi të zhvilluar që krijon shanse për të gjithë. Ky prioritet përfshin mbështetje  dhe angazhim për të siguruar rritje e zhvillim ekonomik për më shumë të ardhura, një jetë dinjitoze e përfshirje në jetën ekonomike për të gjithë qytetarët, duke vënë theksin tek bizneset e vogla, tek familjet produktive, fshati dhe forca punëtore që shtyn përpara zhvillimet pozitive të vendit. Për këtë arsye, Qeveria Shqiptare është e angazhuar fort në drejtim të përmbushjes së objektivave (shënjestrave të mandatit qeverisës 2021-2025) për të siguruar një rritje ekonomike mesatarisht 4.5 % në vit dhe do të mbështesë një rritje edhe më të madhe të pagave në nivel vendi; Konsolidim të përshpejtuar fiskal duke synuar borxh nën 60% në fund të mandatit dhe rritje të ardhurave të disponueshme me 20% deri në fund të mandatit.</w:t>
            </w:r>
          </w:p>
        </w:tc>
        <w:tc>
          <w:tcPr>
            <w:tcW w:w="473" w:type="pct"/>
            <w:tcBorders>
              <w:top w:val="nil"/>
              <w:left w:val="nil"/>
              <w:bottom w:val="single" w:sz="4" w:space="0" w:color="auto"/>
              <w:right w:val="single" w:sz="4" w:space="0" w:color="auto"/>
            </w:tcBorders>
            <w:shd w:val="clear" w:color="000000" w:fill="FFFFFF"/>
            <w:vAlign w:val="center"/>
            <w:hideMark/>
          </w:tcPr>
          <w:p w14:paraId="3FC688D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Strategjia Sektoriale për Menaxhimin e Financave Publike lidhet me Strategjinë Kombëtare për Zhvillim dhe Integrim Evropian 2022-2030. </w:t>
            </w:r>
            <w:r w:rsidRPr="00190E59">
              <w:rPr>
                <w:rFonts w:ascii="Arial" w:eastAsia="Times New Roman" w:hAnsi="Arial" w:cs="Arial"/>
                <w:color w:val="000000"/>
                <w:sz w:val="12"/>
                <w:szCs w:val="12"/>
                <w:bdr w:val="none" w:sz="0" w:space="0" w:color="auto"/>
              </w:rPr>
              <w:br/>
            </w:r>
            <w:r w:rsidRPr="00190E59">
              <w:rPr>
                <w:rFonts w:ascii="Arial" w:eastAsia="Times New Roman" w:hAnsi="Arial" w:cs="Arial"/>
                <w:b/>
                <w:bCs/>
                <w:color w:val="000000"/>
                <w:sz w:val="12"/>
                <w:szCs w:val="12"/>
                <w:bdr w:val="none" w:sz="0" w:space="0" w:color="auto"/>
              </w:rPr>
              <w:t>Shtylla</w:t>
            </w:r>
            <w:r w:rsidRPr="00190E59">
              <w:rPr>
                <w:rFonts w:ascii="Arial" w:eastAsia="Times New Roman" w:hAnsi="Arial" w:cs="Arial"/>
                <w:color w:val="000000"/>
                <w:sz w:val="12"/>
                <w:szCs w:val="12"/>
                <w:bdr w:val="none" w:sz="0" w:space="0" w:color="auto"/>
              </w:rPr>
              <w:t xml:space="preserve">: Agjenda për zhvillim të qëndrueshëm ekonomik, ndërlidhjen dhe rritjen e gjelbër.  </w:t>
            </w:r>
            <w:r w:rsidRPr="00190E59">
              <w:rPr>
                <w:rFonts w:ascii="Arial" w:eastAsia="Times New Roman" w:hAnsi="Arial" w:cs="Arial"/>
                <w:color w:val="000000"/>
                <w:sz w:val="12"/>
                <w:szCs w:val="12"/>
                <w:bdr w:val="none" w:sz="0" w:space="0" w:color="auto"/>
              </w:rPr>
              <w:br/>
            </w:r>
            <w:r w:rsidRPr="00190E59">
              <w:rPr>
                <w:rFonts w:ascii="Arial" w:eastAsia="Times New Roman" w:hAnsi="Arial" w:cs="Arial"/>
                <w:b/>
                <w:bCs/>
                <w:color w:val="000000"/>
                <w:sz w:val="12"/>
                <w:szCs w:val="12"/>
                <w:bdr w:val="none" w:sz="0" w:space="0" w:color="auto"/>
              </w:rPr>
              <w:t>Qëllimi i Politikës:</w:t>
            </w:r>
            <w:r w:rsidRPr="00190E59">
              <w:rPr>
                <w:rFonts w:ascii="Arial" w:eastAsia="Times New Roman" w:hAnsi="Arial" w:cs="Arial"/>
                <w:color w:val="000000"/>
                <w:sz w:val="12"/>
                <w:szCs w:val="12"/>
                <w:bdr w:val="none" w:sz="0" w:space="0" w:color="auto"/>
              </w:rPr>
              <w:t xml:space="preserve"> Në seksionin “Fuqizimi i financave publike dhe stabiliteti fiskal” të Strategjisë Kombëtare për Zhvillim dhe Integrimin Europian, parashikohen çështjet kryesore që lidhen drejtpërdrejtë me financat publike: (1) Menaxhim financiar i matur, efektiv dhe efikas i qeverisjes vendore; (2) Planifikimi dhe mbikëqyrja e investimeve publike; (3) Forcimi dhe zbatimi i sistemit për Kontrollin e Brendshëm Financiar Publik në qeverisjen qendrore dhe vendore.</w:t>
            </w:r>
          </w:p>
        </w:tc>
        <w:tc>
          <w:tcPr>
            <w:tcW w:w="447" w:type="pct"/>
            <w:tcBorders>
              <w:top w:val="nil"/>
              <w:left w:val="nil"/>
              <w:bottom w:val="single" w:sz="4" w:space="0" w:color="auto"/>
              <w:right w:val="single" w:sz="4" w:space="0" w:color="auto"/>
            </w:tcBorders>
            <w:shd w:val="clear" w:color="000000" w:fill="FFFFFF"/>
            <w:vAlign w:val="center"/>
            <w:hideMark/>
          </w:tcPr>
          <w:p w14:paraId="3E7C5A1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Ndikime ekonomike - po</w:t>
            </w:r>
          </w:p>
        </w:tc>
      </w:tr>
      <w:tr w:rsidR="00190E59" w:rsidRPr="00190E59" w14:paraId="3A4D52D7"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6E402A5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6</w:t>
            </w:r>
          </w:p>
        </w:tc>
        <w:tc>
          <w:tcPr>
            <w:tcW w:w="498" w:type="pct"/>
            <w:tcBorders>
              <w:top w:val="nil"/>
              <w:left w:val="nil"/>
              <w:bottom w:val="single" w:sz="4" w:space="0" w:color="auto"/>
              <w:right w:val="single" w:sz="4" w:space="0" w:color="auto"/>
            </w:tcBorders>
            <w:shd w:val="clear" w:color="auto" w:fill="auto"/>
            <w:vAlign w:val="center"/>
            <w:hideMark/>
          </w:tcPr>
          <w:p w14:paraId="2EA5872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punonjësit me kontratë të përkohshme për vitin 2024, në njësitë e qeverisjes qendrore"</w:t>
            </w:r>
          </w:p>
        </w:tc>
        <w:tc>
          <w:tcPr>
            <w:tcW w:w="447" w:type="pct"/>
            <w:tcBorders>
              <w:top w:val="nil"/>
              <w:left w:val="nil"/>
              <w:bottom w:val="single" w:sz="4" w:space="0" w:color="auto"/>
              <w:right w:val="single" w:sz="4" w:space="0" w:color="auto"/>
            </w:tcBorders>
            <w:shd w:val="clear" w:color="auto" w:fill="auto"/>
            <w:vAlign w:val="center"/>
            <w:hideMark/>
          </w:tcPr>
          <w:p w14:paraId="1F3EAF8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42E05EA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349CF92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050E182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 i përvitshem sipas përcaktimeve të Kodit të Punës dhe të Ligjit Vjetor të Buxhtetit</w:t>
            </w:r>
          </w:p>
        </w:tc>
        <w:tc>
          <w:tcPr>
            <w:tcW w:w="610" w:type="pct"/>
            <w:tcBorders>
              <w:top w:val="nil"/>
              <w:left w:val="nil"/>
              <w:bottom w:val="single" w:sz="4" w:space="0" w:color="auto"/>
              <w:right w:val="single" w:sz="4" w:space="0" w:color="auto"/>
            </w:tcBorders>
            <w:shd w:val="clear" w:color="auto" w:fill="auto"/>
            <w:vAlign w:val="center"/>
            <w:hideMark/>
          </w:tcPr>
          <w:p w14:paraId="08C0FCE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Shpërndarja e numrit të punonjësve me kontratë të përkohshme, në njësitë e qeverisjes qendrore per vitin 2024</w:t>
            </w:r>
          </w:p>
        </w:tc>
        <w:tc>
          <w:tcPr>
            <w:tcW w:w="461" w:type="pct"/>
            <w:tcBorders>
              <w:top w:val="nil"/>
              <w:left w:val="nil"/>
              <w:bottom w:val="single" w:sz="4" w:space="0" w:color="auto"/>
              <w:right w:val="single" w:sz="4" w:space="0" w:color="auto"/>
            </w:tcBorders>
            <w:shd w:val="clear" w:color="auto" w:fill="auto"/>
            <w:vAlign w:val="center"/>
            <w:hideMark/>
          </w:tcPr>
          <w:p w14:paraId="6EB35CB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Jo    </w:t>
            </w:r>
          </w:p>
        </w:tc>
        <w:tc>
          <w:tcPr>
            <w:tcW w:w="557" w:type="pct"/>
            <w:tcBorders>
              <w:top w:val="nil"/>
              <w:left w:val="nil"/>
              <w:bottom w:val="single" w:sz="4" w:space="0" w:color="auto"/>
              <w:right w:val="single" w:sz="4" w:space="0" w:color="auto"/>
            </w:tcBorders>
            <w:shd w:val="clear" w:color="auto" w:fill="auto"/>
            <w:vAlign w:val="center"/>
            <w:hideMark/>
          </w:tcPr>
          <w:p w14:paraId="71F801A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5263B67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565C9F0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634D97F2"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36FDBA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7</w:t>
            </w:r>
          </w:p>
        </w:tc>
        <w:tc>
          <w:tcPr>
            <w:tcW w:w="498" w:type="pct"/>
            <w:tcBorders>
              <w:top w:val="nil"/>
              <w:left w:val="nil"/>
              <w:bottom w:val="single" w:sz="4" w:space="0" w:color="auto"/>
              <w:right w:val="single" w:sz="4" w:space="0" w:color="auto"/>
            </w:tcBorders>
            <w:shd w:val="clear" w:color="auto" w:fill="auto"/>
            <w:vAlign w:val="center"/>
            <w:hideMark/>
          </w:tcPr>
          <w:p w14:paraId="354A251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 "Për krijimin e bazës së të dhënave shtetërore të sistemit të menaxhimit të qendrave te formimit profesional"</w:t>
            </w:r>
          </w:p>
        </w:tc>
        <w:tc>
          <w:tcPr>
            <w:tcW w:w="447" w:type="pct"/>
            <w:tcBorders>
              <w:top w:val="nil"/>
              <w:left w:val="nil"/>
              <w:bottom w:val="single" w:sz="4" w:space="0" w:color="auto"/>
              <w:right w:val="single" w:sz="4" w:space="0" w:color="auto"/>
            </w:tcBorders>
            <w:shd w:val="clear" w:color="auto" w:fill="auto"/>
            <w:vAlign w:val="center"/>
            <w:hideMark/>
          </w:tcPr>
          <w:p w14:paraId="787E405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1E76568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3CE1DFC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4053406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Eshtë duke u ndertuar baza e të dhënave e të dhënave shtetërore të sistemit të menaxhimit  të Qendrave të formimit profesional) e cila kërkon miratim nga Këshilli i Ministrave</w:t>
            </w:r>
          </w:p>
        </w:tc>
        <w:tc>
          <w:tcPr>
            <w:tcW w:w="610" w:type="pct"/>
            <w:tcBorders>
              <w:top w:val="nil"/>
              <w:left w:val="nil"/>
              <w:bottom w:val="single" w:sz="4" w:space="0" w:color="auto"/>
              <w:right w:val="single" w:sz="4" w:space="0" w:color="auto"/>
            </w:tcBorders>
            <w:shd w:val="clear" w:color="auto" w:fill="auto"/>
            <w:vAlign w:val="center"/>
            <w:hideMark/>
          </w:tcPr>
          <w:p w14:paraId="54DB224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Krijimi i bazës së të dhënave shtetërore të sistemit të menaxhimit të qendrave të formimit profesional</w:t>
            </w:r>
          </w:p>
        </w:tc>
        <w:tc>
          <w:tcPr>
            <w:tcW w:w="461" w:type="pct"/>
            <w:tcBorders>
              <w:top w:val="nil"/>
              <w:left w:val="nil"/>
              <w:bottom w:val="single" w:sz="4" w:space="0" w:color="auto"/>
              <w:right w:val="single" w:sz="4" w:space="0" w:color="auto"/>
            </w:tcBorders>
            <w:shd w:val="clear" w:color="auto" w:fill="auto"/>
            <w:vAlign w:val="center"/>
            <w:hideMark/>
          </w:tcPr>
          <w:p w14:paraId="75BE329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1CA6B06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41CB380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Strategjia Kombëtare për Punësim dhe Aftësi 2023-2030                                                                                                                                                                         </w:t>
            </w:r>
          </w:p>
        </w:tc>
        <w:tc>
          <w:tcPr>
            <w:tcW w:w="447" w:type="pct"/>
            <w:tcBorders>
              <w:top w:val="nil"/>
              <w:left w:val="nil"/>
              <w:bottom w:val="single" w:sz="4" w:space="0" w:color="auto"/>
              <w:right w:val="single" w:sz="4" w:space="0" w:color="auto"/>
            </w:tcBorders>
            <w:shd w:val="clear" w:color="auto" w:fill="auto"/>
            <w:vAlign w:val="center"/>
            <w:hideMark/>
          </w:tcPr>
          <w:p w14:paraId="2C30B2F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Ky projektakt prodhon ndikim financiar për buxhetin e shtetit.</w:t>
            </w:r>
          </w:p>
        </w:tc>
      </w:tr>
      <w:tr w:rsidR="00190E59" w:rsidRPr="00190E59" w14:paraId="68CE28EC"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32CB1B4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8</w:t>
            </w:r>
          </w:p>
        </w:tc>
        <w:tc>
          <w:tcPr>
            <w:tcW w:w="498" w:type="pct"/>
            <w:tcBorders>
              <w:top w:val="nil"/>
              <w:left w:val="nil"/>
              <w:bottom w:val="single" w:sz="4" w:space="0" w:color="auto"/>
              <w:right w:val="single" w:sz="4" w:space="0" w:color="auto"/>
            </w:tcBorders>
            <w:shd w:val="clear" w:color="000000" w:fill="FFFFFF"/>
            <w:vAlign w:val="center"/>
            <w:hideMark/>
          </w:tcPr>
          <w:p w14:paraId="34E2FA2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Dokumentit Politik për Sigurinë dhe Shëndetin në Punë 2023 - 2030 dhe Planit të Veprimit"</w:t>
            </w:r>
          </w:p>
        </w:tc>
        <w:tc>
          <w:tcPr>
            <w:tcW w:w="447" w:type="pct"/>
            <w:tcBorders>
              <w:top w:val="nil"/>
              <w:left w:val="nil"/>
              <w:bottom w:val="single" w:sz="4" w:space="0" w:color="auto"/>
              <w:right w:val="single" w:sz="4" w:space="0" w:color="auto"/>
            </w:tcBorders>
            <w:shd w:val="clear" w:color="auto" w:fill="auto"/>
            <w:vAlign w:val="center"/>
            <w:hideMark/>
          </w:tcPr>
          <w:p w14:paraId="02A4090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69FA4CD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4262E06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66468E8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Zhvillimi i politikave në fushën e marrëdhënieve të punës, inspektimit, sigurisë dhe shëndetit në punë, është një ndër përgjegjësitë e Ministrisë së Financave dhe Ekonomisë. Në përmbushje të detyrimeve që rrjedhin nga kjo përgjegjësi, ka lindur nevoja për zhvillimin e politikave të “Sigurisë dhe Shëndetit në Punë”, konkretisht është domosdoshmëri hartimi i një “Dokumenti Politik për Sigurinë dhe Shëndetin në Punë”, të ri, për të ardhmen.</w:t>
            </w:r>
          </w:p>
        </w:tc>
        <w:tc>
          <w:tcPr>
            <w:tcW w:w="610" w:type="pct"/>
            <w:tcBorders>
              <w:top w:val="nil"/>
              <w:left w:val="nil"/>
              <w:bottom w:val="single" w:sz="4" w:space="0" w:color="auto"/>
              <w:right w:val="single" w:sz="4" w:space="0" w:color="auto"/>
            </w:tcBorders>
            <w:shd w:val="clear" w:color="auto" w:fill="auto"/>
            <w:vAlign w:val="center"/>
            <w:hideMark/>
          </w:tcPr>
          <w:p w14:paraId="3BD7A29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Në kuadër të Kapitullit 19 “Politikat Sociale dhe të Punësimit”, si dhe të rekomandimeve në vijim të takimit të Nënkomitetit për “Inovacionin, Shoqërinë e Informacionit dhe Politikat Sociale”, del i nevojshëm hartimi i këtij dokumenti.</w:t>
            </w:r>
            <w:r w:rsidRPr="00190E59">
              <w:rPr>
                <w:rFonts w:ascii="Arial" w:eastAsia="Times New Roman" w:hAnsi="Arial" w:cs="Arial"/>
                <w:color w:val="000000"/>
                <w:sz w:val="12"/>
                <w:szCs w:val="12"/>
                <w:bdr w:val="none" w:sz="0" w:space="0" w:color="auto"/>
              </w:rPr>
              <w:br/>
              <w:t xml:space="preserve"> </w:t>
            </w:r>
            <w:r w:rsidRPr="00190E59">
              <w:rPr>
                <w:rFonts w:ascii="Arial" w:eastAsia="Times New Roman" w:hAnsi="Arial" w:cs="Arial"/>
                <w:color w:val="000000"/>
                <w:sz w:val="12"/>
                <w:szCs w:val="12"/>
                <w:bdr w:val="none" w:sz="0" w:space="0" w:color="auto"/>
              </w:rPr>
              <w:br/>
              <w:t>Ky është hapi i parë i nevojshëm, që duhet të ndërmarret për organizimin e gjithë faktorëve që kanë ndikim dhe interesa në fushën e marrëdhënieve të punës, me qëllim nisjen e hartimit e të një “Dokumenti Politik për Sigurinë dhe Shëndetin në Punë”, për vitet e ardhshme.</w:t>
            </w:r>
          </w:p>
        </w:tc>
        <w:tc>
          <w:tcPr>
            <w:tcW w:w="461" w:type="pct"/>
            <w:tcBorders>
              <w:top w:val="nil"/>
              <w:left w:val="nil"/>
              <w:bottom w:val="single" w:sz="4" w:space="0" w:color="auto"/>
              <w:right w:val="single" w:sz="4" w:space="0" w:color="auto"/>
            </w:tcBorders>
            <w:shd w:val="clear" w:color="auto" w:fill="auto"/>
            <w:vAlign w:val="center"/>
            <w:hideMark/>
          </w:tcPr>
          <w:p w14:paraId="5A85863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4F7B0CD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w:t>
            </w:r>
          </w:p>
        </w:tc>
        <w:tc>
          <w:tcPr>
            <w:tcW w:w="473" w:type="pct"/>
            <w:tcBorders>
              <w:top w:val="nil"/>
              <w:left w:val="nil"/>
              <w:bottom w:val="single" w:sz="4" w:space="0" w:color="auto"/>
              <w:right w:val="single" w:sz="4" w:space="0" w:color="auto"/>
            </w:tcBorders>
            <w:shd w:val="clear" w:color="auto" w:fill="auto"/>
            <w:vAlign w:val="center"/>
            <w:hideMark/>
          </w:tcPr>
          <w:p w14:paraId="3EA8E05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Në Strategjinë Kombëtare për Zhvillim dhe Integrim, nuk është përfshirë hartimi i një strategjie për Sigurinë dhe Shëndetin në Punë, por ajo konsiderohet si dokument plotësues strategjik i “Strategjisë Kombëtare të Punësimit dhe Aftësive 2023-2030 dhe Planit të Veprimit për zbatimin e saj, si dhe të Planit të Zbatimit të Garancisë Rinore 2023 - 2024”, ndaj dhe forma e hartimit të këtij dokumenti do të jetë “Dokument Politik për Sigurinë dhe Shëndetin në Punë, 2023 - 2030 dhe Planit të Veprimit”.</w:t>
            </w:r>
          </w:p>
        </w:tc>
        <w:tc>
          <w:tcPr>
            <w:tcW w:w="447" w:type="pct"/>
            <w:tcBorders>
              <w:top w:val="nil"/>
              <w:left w:val="nil"/>
              <w:bottom w:val="single" w:sz="4" w:space="0" w:color="auto"/>
              <w:right w:val="single" w:sz="4" w:space="0" w:color="auto"/>
            </w:tcBorders>
            <w:shd w:val="clear" w:color="auto" w:fill="auto"/>
            <w:vAlign w:val="center"/>
            <w:hideMark/>
          </w:tcPr>
          <w:p w14:paraId="6FB4091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w:t>
            </w:r>
          </w:p>
        </w:tc>
      </w:tr>
      <w:tr w:rsidR="00190E59" w:rsidRPr="00190E59" w14:paraId="4B6B804A"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804D6F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9</w:t>
            </w:r>
          </w:p>
        </w:tc>
        <w:tc>
          <w:tcPr>
            <w:tcW w:w="498" w:type="pct"/>
            <w:tcBorders>
              <w:top w:val="nil"/>
              <w:left w:val="nil"/>
              <w:bottom w:val="single" w:sz="4" w:space="0" w:color="auto"/>
              <w:right w:val="single" w:sz="4" w:space="0" w:color="auto"/>
            </w:tcBorders>
            <w:shd w:val="clear" w:color="auto" w:fill="auto"/>
            <w:vAlign w:val="center"/>
            <w:hideMark/>
          </w:tcPr>
          <w:p w14:paraId="7CB713B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kalendarit të Menaxhimit te Shpenzimeve Publike 2024"</w:t>
            </w:r>
          </w:p>
        </w:tc>
        <w:tc>
          <w:tcPr>
            <w:tcW w:w="447" w:type="pct"/>
            <w:tcBorders>
              <w:top w:val="nil"/>
              <w:left w:val="nil"/>
              <w:bottom w:val="single" w:sz="4" w:space="0" w:color="auto"/>
              <w:right w:val="single" w:sz="4" w:space="0" w:color="auto"/>
            </w:tcBorders>
            <w:shd w:val="clear" w:color="auto" w:fill="auto"/>
            <w:vAlign w:val="center"/>
            <w:hideMark/>
          </w:tcPr>
          <w:p w14:paraId="167C8C2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431A90C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6D3235B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3A4338C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 i pervitshem sipas percaktimeve te Ligjit nr.9936 datë 26.06.2008 “Për menaxhimin e sistemit buxhetor në Republikën e Shqipërisë”, i ndryshuar</w:t>
            </w:r>
          </w:p>
        </w:tc>
        <w:tc>
          <w:tcPr>
            <w:tcW w:w="610" w:type="pct"/>
            <w:tcBorders>
              <w:top w:val="nil"/>
              <w:left w:val="nil"/>
              <w:bottom w:val="single" w:sz="4" w:space="0" w:color="auto"/>
              <w:right w:val="single" w:sz="4" w:space="0" w:color="auto"/>
            </w:tcBorders>
            <w:shd w:val="clear" w:color="auto" w:fill="auto"/>
            <w:vAlign w:val="center"/>
            <w:hideMark/>
          </w:tcPr>
          <w:p w14:paraId="3FE6AE1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Paraqet nje kalendar me aktivitetet dhe datat perkatese per nje miremenaxhim te financave fublike</w:t>
            </w:r>
          </w:p>
        </w:tc>
        <w:tc>
          <w:tcPr>
            <w:tcW w:w="461" w:type="pct"/>
            <w:tcBorders>
              <w:top w:val="nil"/>
              <w:left w:val="nil"/>
              <w:bottom w:val="single" w:sz="4" w:space="0" w:color="auto"/>
              <w:right w:val="single" w:sz="4" w:space="0" w:color="auto"/>
            </w:tcBorders>
            <w:shd w:val="clear" w:color="auto" w:fill="auto"/>
            <w:vAlign w:val="center"/>
            <w:hideMark/>
          </w:tcPr>
          <w:p w14:paraId="0FB0B8B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09AB059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01026C2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54FB655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739D6D68"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7625795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10</w:t>
            </w:r>
          </w:p>
        </w:tc>
        <w:tc>
          <w:tcPr>
            <w:tcW w:w="498" w:type="pct"/>
            <w:tcBorders>
              <w:top w:val="nil"/>
              <w:left w:val="nil"/>
              <w:bottom w:val="single" w:sz="4" w:space="0" w:color="auto"/>
              <w:right w:val="single" w:sz="4" w:space="0" w:color="auto"/>
            </w:tcBorders>
            <w:shd w:val="clear" w:color="000000" w:fill="FFFFFF"/>
            <w:vAlign w:val="center"/>
            <w:hideMark/>
          </w:tcPr>
          <w:p w14:paraId="16ACCC0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përcaktimin e procedurës për paraqitjen e kërkesës, afatet kohore, përgjegjësitë dhe rolet e përdoruesve të sistemit"</w:t>
            </w:r>
          </w:p>
        </w:tc>
        <w:tc>
          <w:tcPr>
            <w:tcW w:w="447" w:type="pct"/>
            <w:tcBorders>
              <w:top w:val="nil"/>
              <w:left w:val="nil"/>
              <w:bottom w:val="single" w:sz="4" w:space="0" w:color="auto"/>
              <w:right w:val="single" w:sz="4" w:space="0" w:color="auto"/>
            </w:tcBorders>
            <w:shd w:val="clear" w:color="auto" w:fill="auto"/>
            <w:vAlign w:val="center"/>
            <w:hideMark/>
          </w:tcPr>
          <w:p w14:paraId="7E1B34A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74BEDE6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5966EE0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5CC78AC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Qëllimi i këtij projektvendimi është  përfshirja e programeve të strehimit social dhe aplikimit për të përfituar fonde nga buxheti i shtetit, nëpërmjet portalit e-Albania, duke sjellur keshtu lehtësi për qytetarët aplikues si dhe transparenc në të gjitha fazat e aplikimit deri te vendimi final.</w:t>
            </w:r>
          </w:p>
        </w:tc>
        <w:tc>
          <w:tcPr>
            <w:tcW w:w="610" w:type="pct"/>
            <w:tcBorders>
              <w:top w:val="nil"/>
              <w:left w:val="nil"/>
              <w:bottom w:val="single" w:sz="4" w:space="0" w:color="auto"/>
              <w:right w:val="single" w:sz="4" w:space="0" w:color="auto"/>
            </w:tcBorders>
            <w:shd w:val="clear" w:color="auto" w:fill="auto"/>
            <w:vAlign w:val="center"/>
            <w:hideMark/>
          </w:tcPr>
          <w:p w14:paraId="6E24635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Të përfshijë të gjitha aplikimet për programet e strehimit social në sistemin e onlinë si dhe të përcaktojë mënyrën e aplikimit nëpërmjet këtij sistemi. Kjo do të lehtësojë procedurën si për aplikantët ashtu dhe për punonjësit e njësise të vetëqeverisjes vendore.</w:t>
            </w:r>
          </w:p>
        </w:tc>
        <w:tc>
          <w:tcPr>
            <w:tcW w:w="461" w:type="pct"/>
            <w:tcBorders>
              <w:top w:val="nil"/>
              <w:left w:val="nil"/>
              <w:bottom w:val="single" w:sz="4" w:space="0" w:color="auto"/>
              <w:right w:val="single" w:sz="4" w:space="0" w:color="auto"/>
            </w:tcBorders>
            <w:shd w:val="clear" w:color="auto" w:fill="auto"/>
            <w:vAlign w:val="center"/>
            <w:hideMark/>
          </w:tcPr>
          <w:p w14:paraId="0502DE8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5A200BF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Programi Qeverisës, 2021-2025, Republika e Shqipërisë, fq. 8 dhe fq. 27, lexon: “[...] instrument i patjetërsueshëm dhe i pazëvendësueshëm për të luftuar korrupsionin dhe për të rritur me shpejtësi cilësinë e shërbimeve publike…”, si dhe “. . për të lehtësuar jetën e qytetarëve [...] dhe veprimtarinë e administratës publike. . .”</w:t>
            </w:r>
          </w:p>
        </w:tc>
        <w:tc>
          <w:tcPr>
            <w:tcW w:w="473" w:type="pct"/>
            <w:tcBorders>
              <w:top w:val="nil"/>
              <w:left w:val="nil"/>
              <w:bottom w:val="single" w:sz="4" w:space="0" w:color="auto"/>
              <w:right w:val="single" w:sz="4" w:space="0" w:color="auto"/>
            </w:tcBorders>
            <w:shd w:val="clear" w:color="auto" w:fill="auto"/>
            <w:vAlign w:val="center"/>
            <w:hideMark/>
          </w:tcPr>
          <w:p w14:paraId="1A7775D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73F0B00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w:t>
            </w:r>
          </w:p>
        </w:tc>
      </w:tr>
      <w:tr w:rsidR="00190E59" w:rsidRPr="00190E59" w14:paraId="7D7F4800"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797B149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11</w:t>
            </w:r>
          </w:p>
        </w:tc>
        <w:tc>
          <w:tcPr>
            <w:tcW w:w="498" w:type="pct"/>
            <w:tcBorders>
              <w:top w:val="nil"/>
              <w:left w:val="nil"/>
              <w:bottom w:val="single" w:sz="4" w:space="0" w:color="auto"/>
              <w:right w:val="single" w:sz="4" w:space="0" w:color="auto"/>
            </w:tcBorders>
            <w:shd w:val="clear" w:color="FFFFFF" w:fill="FFFFFF"/>
            <w:vAlign w:val="center"/>
            <w:hideMark/>
          </w:tcPr>
          <w:p w14:paraId="01D278D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tavaneve përgatitore të shpenzimeve të programit buxhetor afatmesëm 2025-2027"</w:t>
            </w:r>
          </w:p>
        </w:tc>
        <w:tc>
          <w:tcPr>
            <w:tcW w:w="447" w:type="pct"/>
            <w:tcBorders>
              <w:top w:val="nil"/>
              <w:left w:val="nil"/>
              <w:bottom w:val="single" w:sz="4" w:space="0" w:color="auto"/>
              <w:right w:val="single" w:sz="4" w:space="0" w:color="auto"/>
            </w:tcBorders>
            <w:shd w:val="clear" w:color="auto" w:fill="auto"/>
            <w:vAlign w:val="center"/>
            <w:hideMark/>
          </w:tcPr>
          <w:p w14:paraId="0271C32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615908E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2FB7BDA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36F2F71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 i pervitshem sipas percaktimeve te Ligjit nr.9936 datë 26.06.2008 “Për menaxhimin e sistemit buxhetor në Republikën e Shqipërisë”, i ndryshuar</w:t>
            </w:r>
          </w:p>
        </w:tc>
        <w:tc>
          <w:tcPr>
            <w:tcW w:w="610" w:type="pct"/>
            <w:tcBorders>
              <w:top w:val="nil"/>
              <w:left w:val="nil"/>
              <w:bottom w:val="single" w:sz="4" w:space="0" w:color="auto"/>
              <w:right w:val="single" w:sz="4" w:space="0" w:color="auto"/>
            </w:tcBorders>
            <w:shd w:val="clear" w:color="auto" w:fill="auto"/>
            <w:vAlign w:val="center"/>
            <w:hideMark/>
          </w:tcPr>
          <w:p w14:paraId="21FE4E9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Percaktimi i tavaneve paraprake te shpenzimeve per periudhen afatmesme per cdo institucion buxhetor</w:t>
            </w:r>
          </w:p>
        </w:tc>
        <w:tc>
          <w:tcPr>
            <w:tcW w:w="461" w:type="pct"/>
            <w:tcBorders>
              <w:top w:val="nil"/>
              <w:left w:val="nil"/>
              <w:bottom w:val="single" w:sz="4" w:space="0" w:color="auto"/>
              <w:right w:val="single" w:sz="4" w:space="0" w:color="auto"/>
            </w:tcBorders>
            <w:shd w:val="clear" w:color="auto" w:fill="auto"/>
            <w:vAlign w:val="center"/>
            <w:hideMark/>
          </w:tcPr>
          <w:p w14:paraId="341A3F9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6E064EE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030F00D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719F0B3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51A40D3F"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6FA304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12</w:t>
            </w:r>
          </w:p>
        </w:tc>
        <w:tc>
          <w:tcPr>
            <w:tcW w:w="498" w:type="pct"/>
            <w:tcBorders>
              <w:top w:val="nil"/>
              <w:left w:val="nil"/>
              <w:bottom w:val="single" w:sz="4" w:space="0" w:color="auto"/>
              <w:right w:val="single" w:sz="4" w:space="0" w:color="auto"/>
            </w:tcBorders>
            <w:shd w:val="clear" w:color="FFFFFF" w:fill="FFFFFF"/>
            <w:vAlign w:val="center"/>
            <w:hideMark/>
          </w:tcPr>
          <w:p w14:paraId="171B96A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"Per procedurat, kriteret dhe rregullat per zbatimin e programeve te nxitjes se punesimit permes riintegrimit social"</w:t>
            </w:r>
          </w:p>
        </w:tc>
        <w:tc>
          <w:tcPr>
            <w:tcW w:w="447" w:type="pct"/>
            <w:tcBorders>
              <w:top w:val="nil"/>
              <w:left w:val="nil"/>
              <w:bottom w:val="single" w:sz="4" w:space="0" w:color="auto"/>
              <w:right w:val="single" w:sz="4" w:space="0" w:color="auto"/>
            </w:tcBorders>
            <w:shd w:val="clear" w:color="auto" w:fill="auto"/>
            <w:vAlign w:val="center"/>
            <w:hideMark/>
          </w:tcPr>
          <w:p w14:paraId="18700DC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 xml:space="preserve">projektvendim </w:t>
            </w:r>
          </w:p>
        </w:tc>
        <w:tc>
          <w:tcPr>
            <w:tcW w:w="370" w:type="pct"/>
            <w:tcBorders>
              <w:top w:val="nil"/>
              <w:left w:val="nil"/>
              <w:bottom w:val="single" w:sz="4" w:space="0" w:color="auto"/>
              <w:right w:val="single" w:sz="4" w:space="0" w:color="auto"/>
            </w:tcBorders>
            <w:shd w:val="clear" w:color="auto" w:fill="auto"/>
            <w:vAlign w:val="center"/>
            <w:hideMark/>
          </w:tcPr>
          <w:p w14:paraId="1DCCE46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5863393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w:t>
            </w:r>
          </w:p>
        </w:tc>
        <w:tc>
          <w:tcPr>
            <w:tcW w:w="578" w:type="pct"/>
            <w:tcBorders>
              <w:top w:val="nil"/>
              <w:left w:val="nil"/>
              <w:bottom w:val="single" w:sz="4" w:space="0" w:color="auto"/>
              <w:right w:val="single" w:sz="4" w:space="0" w:color="auto"/>
            </w:tcBorders>
            <w:shd w:val="clear" w:color="auto" w:fill="auto"/>
            <w:vAlign w:val="center"/>
            <w:hideMark/>
          </w:tcPr>
          <w:p w14:paraId="71966E6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Ky projektakt synon zgjerimin e games se programeve te nxitjes se punesimit me synimin adresimin e nevojave specifikie te nje kategorie punekerkuesish te papune si kategoria e punekerkuesve te papune afatgjate, perfitues te ndihmes ekonomike etj. </w:t>
            </w:r>
          </w:p>
        </w:tc>
        <w:tc>
          <w:tcPr>
            <w:tcW w:w="610" w:type="pct"/>
            <w:tcBorders>
              <w:top w:val="nil"/>
              <w:left w:val="nil"/>
              <w:bottom w:val="single" w:sz="4" w:space="0" w:color="auto"/>
              <w:right w:val="single" w:sz="4" w:space="0" w:color="auto"/>
            </w:tcBorders>
            <w:shd w:val="clear" w:color="auto" w:fill="auto"/>
            <w:vAlign w:val="center"/>
            <w:hideMark/>
          </w:tcPr>
          <w:p w14:paraId="331688E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 xml:space="preserve">Mbeshtjetje per integrimin ne tregun e punes te grupeve te vecanta te punekerkuesve te papune </w:t>
            </w:r>
          </w:p>
        </w:tc>
        <w:tc>
          <w:tcPr>
            <w:tcW w:w="461" w:type="pct"/>
            <w:tcBorders>
              <w:top w:val="nil"/>
              <w:left w:val="nil"/>
              <w:bottom w:val="single" w:sz="4" w:space="0" w:color="auto"/>
              <w:right w:val="single" w:sz="4" w:space="0" w:color="auto"/>
            </w:tcBorders>
            <w:shd w:val="clear" w:color="auto" w:fill="auto"/>
            <w:vAlign w:val="center"/>
            <w:hideMark/>
          </w:tcPr>
          <w:p w14:paraId="028F39A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Kapitulli 19 Politikat sociale dhe punesimi </w:t>
            </w:r>
          </w:p>
        </w:tc>
        <w:tc>
          <w:tcPr>
            <w:tcW w:w="557" w:type="pct"/>
            <w:tcBorders>
              <w:top w:val="nil"/>
              <w:left w:val="nil"/>
              <w:bottom w:val="single" w:sz="4" w:space="0" w:color="auto"/>
              <w:right w:val="single" w:sz="4" w:space="0" w:color="auto"/>
            </w:tcBorders>
            <w:shd w:val="clear" w:color="auto" w:fill="auto"/>
            <w:vAlign w:val="center"/>
            <w:hideMark/>
          </w:tcPr>
          <w:p w14:paraId="4BA44BF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Programi Qeverisës, 2021-2025, Republika e Shqipërisë, fq. 28 Ne angazhohemi të …..., nxisim punësimin rinor dhe të </w:t>
            </w:r>
            <w:r w:rsidRPr="00190E59">
              <w:rPr>
                <w:rFonts w:ascii="Arial" w:eastAsia="Times New Roman" w:hAnsi="Arial" w:cs="Arial"/>
                <w:color w:val="000000"/>
                <w:sz w:val="12"/>
                <w:szCs w:val="12"/>
                <w:bdr w:val="none" w:sz="0" w:space="0" w:color="auto"/>
              </w:rPr>
              <w:br/>
              <w:t>grave e vajzave</w:t>
            </w:r>
          </w:p>
        </w:tc>
        <w:tc>
          <w:tcPr>
            <w:tcW w:w="473" w:type="pct"/>
            <w:tcBorders>
              <w:top w:val="nil"/>
              <w:left w:val="nil"/>
              <w:bottom w:val="single" w:sz="4" w:space="0" w:color="auto"/>
              <w:right w:val="single" w:sz="4" w:space="0" w:color="auto"/>
            </w:tcBorders>
            <w:shd w:val="clear" w:color="auto" w:fill="auto"/>
            <w:vAlign w:val="center"/>
            <w:hideMark/>
          </w:tcPr>
          <w:p w14:paraId="7902D2F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Strategjia Kombetare e Punesimit dhe Aftesive 2023-2030</w:t>
            </w:r>
          </w:p>
        </w:tc>
        <w:tc>
          <w:tcPr>
            <w:tcW w:w="447" w:type="pct"/>
            <w:tcBorders>
              <w:top w:val="nil"/>
              <w:left w:val="nil"/>
              <w:bottom w:val="single" w:sz="4" w:space="0" w:color="auto"/>
              <w:right w:val="single" w:sz="4" w:space="0" w:color="auto"/>
            </w:tcBorders>
            <w:shd w:val="clear" w:color="auto" w:fill="auto"/>
            <w:vAlign w:val="center"/>
            <w:hideMark/>
          </w:tcPr>
          <w:p w14:paraId="7C6534B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Po, ekonomike dhe sociale </w:t>
            </w:r>
          </w:p>
        </w:tc>
      </w:tr>
      <w:tr w:rsidR="00190E59" w:rsidRPr="00190E59" w14:paraId="571B1E26"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D9D0FB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13</w:t>
            </w:r>
          </w:p>
        </w:tc>
        <w:tc>
          <w:tcPr>
            <w:tcW w:w="498" w:type="pct"/>
            <w:tcBorders>
              <w:top w:val="nil"/>
              <w:left w:val="nil"/>
              <w:bottom w:val="single" w:sz="4" w:space="0" w:color="auto"/>
              <w:right w:val="single" w:sz="4" w:space="0" w:color="auto"/>
            </w:tcBorders>
            <w:shd w:val="clear" w:color="000000" w:fill="FFFFFF"/>
            <w:vAlign w:val="center"/>
            <w:hideMark/>
          </w:tcPr>
          <w:p w14:paraId="2D70B38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 “Për disa shtesa dhe ndryshime në ligjin nr. 9121, datë 28.07.2003, ‘Për mbrojtjen e konkurrencës’”</w:t>
            </w:r>
          </w:p>
        </w:tc>
        <w:tc>
          <w:tcPr>
            <w:tcW w:w="447" w:type="pct"/>
            <w:tcBorders>
              <w:top w:val="nil"/>
              <w:left w:val="nil"/>
              <w:bottom w:val="single" w:sz="4" w:space="0" w:color="auto"/>
              <w:right w:val="single" w:sz="4" w:space="0" w:color="auto"/>
            </w:tcBorders>
            <w:shd w:val="clear" w:color="auto" w:fill="auto"/>
            <w:vAlign w:val="center"/>
            <w:hideMark/>
          </w:tcPr>
          <w:p w14:paraId="57A4FA6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auto" w:fill="auto"/>
            <w:vAlign w:val="center"/>
            <w:hideMark/>
          </w:tcPr>
          <w:p w14:paraId="6F27BEA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62CACA9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w:t>
            </w:r>
          </w:p>
        </w:tc>
        <w:tc>
          <w:tcPr>
            <w:tcW w:w="578" w:type="pct"/>
            <w:tcBorders>
              <w:top w:val="nil"/>
              <w:left w:val="nil"/>
              <w:bottom w:val="single" w:sz="4" w:space="0" w:color="auto"/>
              <w:right w:val="single" w:sz="4" w:space="0" w:color="auto"/>
            </w:tcBorders>
            <w:shd w:val="clear" w:color="auto" w:fill="auto"/>
            <w:vAlign w:val="center"/>
            <w:hideMark/>
          </w:tcPr>
          <w:p w14:paraId="18CAD14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Qëllimi është të përmirësojë rregullat për mbrojtjen e konkurrencës së lirë dhe efektive në tregun e brendshëm për të nxitur efiçencën ekonomike.</w:t>
            </w:r>
          </w:p>
        </w:tc>
        <w:tc>
          <w:tcPr>
            <w:tcW w:w="610" w:type="pct"/>
            <w:tcBorders>
              <w:top w:val="nil"/>
              <w:left w:val="nil"/>
              <w:bottom w:val="single" w:sz="4" w:space="0" w:color="auto"/>
              <w:right w:val="single" w:sz="4" w:space="0" w:color="auto"/>
            </w:tcBorders>
            <w:shd w:val="clear" w:color="auto" w:fill="auto"/>
            <w:vAlign w:val="center"/>
            <w:hideMark/>
          </w:tcPr>
          <w:p w14:paraId="37CC7DF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 Mbrojtja e konkurrencës në mënyrë sa më efektive nëpërmjet forcimit të rolit të AK në cilësinë e autoritetit përgjegjës për garantimin e konkurrencës së lirë dhe efektive në treg; 2. Sigurimi i mbikëqyrjes efektive të zbatimit të legjislacionit për mbrojtjen e konkurrencës nëpërmjet aksesit në sistemet online të agjencive ligjzbatuese;</w:t>
            </w:r>
          </w:p>
        </w:tc>
        <w:tc>
          <w:tcPr>
            <w:tcW w:w="461" w:type="pct"/>
            <w:tcBorders>
              <w:top w:val="nil"/>
              <w:left w:val="nil"/>
              <w:bottom w:val="single" w:sz="4" w:space="0" w:color="auto"/>
              <w:right w:val="single" w:sz="4" w:space="0" w:color="auto"/>
            </w:tcBorders>
            <w:shd w:val="clear" w:color="000000" w:fill="FFFFFF"/>
            <w:vAlign w:val="center"/>
            <w:hideMark/>
          </w:tcPr>
          <w:p w14:paraId="3B0A5F4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17F4FC4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2C7E39E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me  Politikën Kombëtare të Konkurrencës</w:t>
            </w:r>
          </w:p>
        </w:tc>
        <w:tc>
          <w:tcPr>
            <w:tcW w:w="447" w:type="pct"/>
            <w:tcBorders>
              <w:top w:val="nil"/>
              <w:left w:val="nil"/>
              <w:bottom w:val="single" w:sz="4" w:space="0" w:color="auto"/>
              <w:right w:val="single" w:sz="4" w:space="0" w:color="auto"/>
            </w:tcBorders>
            <w:shd w:val="clear" w:color="auto" w:fill="auto"/>
            <w:vAlign w:val="center"/>
            <w:hideMark/>
          </w:tcPr>
          <w:p w14:paraId="0181440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w:t>
            </w:r>
          </w:p>
        </w:tc>
      </w:tr>
      <w:tr w:rsidR="00190E59" w:rsidRPr="00190E59" w14:paraId="1A34E5D2"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66089B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14</w:t>
            </w:r>
          </w:p>
        </w:tc>
        <w:tc>
          <w:tcPr>
            <w:tcW w:w="498" w:type="pct"/>
            <w:tcBorders>
              <w:top w:val="nil"/>
              <w:left w:val="nil"/>
              <w:bottom w:val="single" w:sz="4" w:space="0" w:color="auto"/>
              <w:right w:val="single" w:sz="4" w:space="0" w:color="auto"/>
            </w:tcBorders>
            <w:shd w:val="clear" w:color="FFFFFF" w:fill="FFFFFF"/>
            <w:vAlign w:val="center"/>
            <w:hideMark/>
          </w:tcPr>
          <w:p w14:paraId="008F5A9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projekt dokumentit të programit buxhetor afatmesëm 2025-2027"</w:t>
            </w:r>
          </w:p>
        </w:tc>
        <w:tc>
          <w:tcPr>
            <w:tcW w:w="447" w:type="pct"/>
            <w:tcBorders>
              <w:top w:val="nil"/>
              <w:left w:val="nil"/>
              <w:bottom w:val="single" w:sz="4" w:space="0" w:color="auto"/>
              <w:right w:val="single" w:sz="4" w:space="0" w:color="auto"/>
            </w:tcBorders>
            <w:shd w:val="clear" w:color="auto" w:fill="auto"/>
            <w:vAlign w:val="center"/>
            <w:hideMark/>
          </w:tcPr>
          <w:p w14:paraId="16922B8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009D363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2A34816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w:t>
            </w:r>
          </w:p>
        </w:tc>
        <w:tc>
          <w:tcPr>
            <w:tcW w:w="578" w:type="pct"/>
            <w:tcBorders>
              <w:top w:val="nil"/>
              <w:left w:val="nil"/>
              <w:bottom w:val="single" w:sz="4" w:space="0" w:color="auto"/>
              <w:right w:val="single" w:sz="4" w:space="0" w:color="auto"/>
            </w:tcBorders>
            <w:shd w:val="clear" w:color="auto" w:fill="auto"/>
            <w:vAlign w:val="center"/>
            <w:hideMark/>
          </w:tcPr>
          <w:p w14:paraId="3B542F5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 i pervitshem sipas percaktimeve te Ligjit nr.9936 datë 26.06.2008 “Për menaxhimin e sistemit buxhetor në Republikën e Shqipërisë”, i ndryshuar</w:t>
            </w:r>
          </w:p>
        </w:tc>
        <w:tc>
          <w:tcPr>
            <w:tcW w:w="610" w:type="pct"/>
            <w:tcBorders>
              <w:top w:val="nil"/>
              <w:left w:val="nil"/>
              <w:bottom w:val="single" w:sz="4" w:space="0" w:color="auto"/>
              <w:right w:val="single" w:sz="4" w:space="0" w:color="auto"/>
            </w:tcBorders>
            <w:shd w:val="clear" w:color="auto" w:fill="auto"/>
            <w:vAlign w:val="center"/>
            <w:hideMark/>
          </w:tcPr>
          <w:p w14:paraId="27A8A95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Projekt dokument informues, i cili paraqet ne menyre te detajuar kotimin e politikave publike dhe refomave strukturore deri ne nivel produkti, te shoqeruar ne cdo rast me KPI ne nivel qellimi dhe objektivi, per te gjitha Ministrite e Linjes dhe Institucionet e tjera buxhetore, ne zbatim dhe perputhje plote me tavanrt  buxhetore pergatitore te miratuara.  </w:t>
            </w:r>
          </w:p>
        </w:tc>
        <w:tc>
          <w:tcPr>
            <w:tcW w:w="461" w:type="pct"/>
            <w:tcBorders>
              <w:top w:val="nil"/>
              <w:left w:val="nil"/>
              <w:bottom w:val="single" w:sz="4" w:space="0" w:color="auto"/>
              <w:right w:val="single" w:sz="4" w:space="0" w:color="auto"/>
            </w:tcBorders>
            <w:shd w:val="clear" w:color="auto" w:fill="auto"/>
            <w:vAlign w:val="center"/>
            <w:hideMark/>
          </w:tcPr>
          <w:p w14:paraId="0C756A2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0F7694E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533ABB2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0F2BB11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55587F34"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7A615A7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15</w:t>
            </w:r>
          </w:p>
        </w:tc>
        <w:tc>
          <w:tcPr>
            <w:tcW w:w="498" w:type="pct"/>
            <w:tcBorders>
              <w:top w:val="nil"/>
              <w:left w:val="nil"/>
              <w:bottom w:val="single" w:sz="4" w:space="0" w:color="auto"/>
              <w:right w:val="single" w:sz="4" w:space="0" w:color="auto"/>
            </w:tcBorders>
            <w:shd w:val="clear" w:color="FFFFFF" w:fill="FFFFFF"/>
            <w:vAlign w:val="center"/>
            <w:hideMark/>
          </w:tcPr>
          <w:p w14:paraId="03D780E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tavaneve përfundimtare të shpenzimeve të programit buxhetor afatmesëm 2025-2027"</w:t>
            </w:r>
          </w:p>
        </w:tc>
        <w:tc>
          <w:tcPr>
            <w:tcW w:w="447" w:type="pct"/>
            <w:tcBorders>
              <w:top w:val="nil"/>
              <w:left w:val="nil"/>
              <w:bottom w:val="single" w:sz="4" w:space="0" w:color="auto"/>
              <w:right w:val="single" w:sz="4" w:space="0" w:color="auto"/>
            </w:tcBorders>
            <w:shd w:val="clear" w:color="auto" w:fill="auto"/>
            <w:vAlign w:val="center"/>
            <w:hideMark/>
          </w:tcPr>
          <w:p w14:paraId="7D78443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09DE550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31703C5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w:t>
            </w:r>
          </w:p>
        </w:tc>
        <w:tc>
          <w:tcPr>
            <w:tcW w:w="578" w:type="pct"/>
            <w:tcBorders>
              <w:top w:val="nil"/>
              <w:left w:val="nil"/>
              <w:bottom w:val="single" w:sz="4" w:space="0" w:color="auto"/>
              <w:right w:val="single" w:sz="4" w:space="0" w:color="auto"/>
            </w:tcBorders>
            <w:shd w:val="clear" w:color="auto" w:fill="auto"/>
            <w:vAlign w:val="center"/>
            <w:hideMark/>
          </w:tcPr>
          <w:p w14:paraId="39C6BC4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 i pervitshem sipas percaktimeve te Ligjit nr.9936 datë 26.06.2008 “Për menaxhimin e sistemit buxhetor në Republikën e Shqipërisë”, i ndryshuar</w:t>
            </w:r>
          </w:p>
        </w:tc>
        <w:tc>
          <w:tcPr>
            <w:tcW w:w="610" w:type="pct"/>
            <w:tcBorders>
              <w:top w:val="nil"/>
              <w:left w:val="nil"/>
              <w:bottom w:val="single" w:sz="4" w:space="0" w:color="auto"/>
              <w:right w:val="single" w:sz="4" w:space="0" w:color="auto"/>
            </w:tcBorders>
            <w:shd w:val="clear" w:color="auto" w:fill="auto"/>
            <w:vAlign w:val="center"/>
            <w:hideMark/>
          </w:tcPr>
          <w:p w14:paraId="1832BDC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Percaktimi i tavaneve perfundimtare te shpenzimeve per periudhen afatmesme per cdo institucion buxhetor</w:t>
            </w:r>
          </w:p>
        </w:tc>
        <w:tc>
          <w:tcPr>
            <w:tcW w:w="461" w:type="pct"/>
            <w:tcBorders>
              <w:top w:val="nil"/>
              <w:left w:val="nil"/>
              <w:bottom w:val="single" w:sz="4" w:space="0" w:color="auto"/>
              <w:right w:val="single" w:sz="4" w:space="0" w:color="auto"/>
            </w:tcBorders>
            <w:shd w:val="clear" w:color="auto" w:fill="auto"/>
            <w:vAlign w:val="center"/>
            <w:hideMark/>
          </w:tcPr>
          <w:p w14:paraId="6DA6382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1CC616D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7667707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7951E20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28045C35"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3F14E04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16</w:t>
            </w:r>
          </w:p>
        </w:tc>
        <w:tc>
          <w:tcPr>
            <w:tcW w:w="498" w:type="pct"/>
            <w:tcBorders>
              <w:top w:val="nil"/>
              <w:left w:val="nil"/>
              <w:bottom w:val="single" w:sz="4" w:space="0" w:color="auto"/>
              <w:right w:val="single" w:sz="4" w:space="0" w:color="auto"/>
            </w:tcBorders>
            <w:shd w:val="clear" w:color="auto" w:fill="auto"/>
            <w:vAlign w:val="center"/>
            <w:hideMark/>
          </w:tcPr>
          <w:p w14:paraId="1EEDF83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përcaktimin e koeficientëve të indeksimit të bazës së vlerësimit vjetor individual, për llogaritjen fillestare të pensioneve"</w:t>
            </w:r>
          </w:p>
        </w:tc>
        <w:tc>
          <w:tcPr>
            <w:tcW w:w="447" w:type="pct"/>
            <w:tcBorders>
              <w:top w:val="nil"/>
              <w:left w:val="nil"/>
              <w:bottom w:val="single" w:sz="4" w:space="0" w:color="auto"/>
              <w:right w:val="single" w:sz="4" w:space="0" w:color="auto"/>
            </w:tcBorders>
            <w:shd w:val="clear" w:color="auto" w:fill="auto"/>
            <w:vAlign w:val="center"/>
            <w:hideMark/>
          </w:tcPr>
          <w:p w14:paraId="2A5719D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6A86FCC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Ministri Financave dhe Ekonomise </w:t>
            </w:r>
          </w:p>
        </w:tc>
        <w:tc>
          <w:tcPr>
            <w:tcW w:w="386" w:type="pct"/>
            <w:tcBorders>
              <w:top w:val="nil"/>
              <w:left w:val="nil"/>
              <w:bottom w:val="single" w:sz="4" w:space="0" w:color="auto"/>
              <w:right w:val="single" w:sz="4" w:space="0" w:color="auto"/>
            </w:tcBorders>
            <w:shd w:val="clear" w:color="auto" w:fill="auto"/>
            <w:vAlign w:val="center"/>
            <w:hideMark/>
          </w:tcPr>
          <w:p w14:paraId="579B8C6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w:t>
            </w:r>
          </w:p>
        </w:tc>
        <w:tc>
          <w:tcPr>
            <w:tcW w:w="578" w:type="pct"/>
            <w:tcBorders>
              <w:top w:val="nil"/>
              <w:left w:val="nil"/>
              <w:bottom w:val="single" w:sz="4" w:space="0" w:color="auto"/>
              <w:right w:val="single" w:sz="4" w:space="0" w:color="auto"/>
            </w:tcBorders>
            <w:shd w:val="clear" w:color="auto" w:fill="auto"/>
            <w:vAlign w:val="center"/>
            <w:hideMark/>
          </w:tcPr>
          <w:p w14:paraId="0565EA7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zbatimin e ligjit nr. 7703 datë 11.05.1993, "Për sigurimet shoqërore në Republikën e Shqipërisë", të ndryshuar</w:t>
            </w:r>
          </w:p>
        </w:tc>
        <w:tc>
          <w:tcPr>
            <w:tcW w:w="610" w:type="pct"/>
            <w:tcBorders>
              <w:top w:val="nil"/>
              <w:left w:val="nil"/>
              <w:bottom w:val="single" w:sz="4" w:space="0" w:color="auto"/>
              <w:right w:val="single" w:sz="4" w:space="0" w:color="auto"/>
            </w:tcBorders>
            <w:shd w:val="clear" w:color="auto" w:fill="auto"/>
            <w:vAlign w:val="center"/>
            <w:hideMark/>
          </w:tcPr>
          <w:p w14:paraId="31DFAC2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Koeficientët e indeksimit të pagave, mbi të cilat janë paguar kontributet për sigurimet shoqërore të detyrueshme, për efekt të llogaritjes së bazës së vlerësuar për llogaritjen fillestare të pensioneve</w:t>
            </w:r>
          </w:p>
        </w:tc>
        <w:tc>
          <w:tcPr>
            <w:tcW w:w="461" w:type="pct"/>
            <w:tcBorders>
              <w:top w:val="nil"/>
              <w:left w:val="nil"/>
              <w:bottom w:val="single" w:sz="4" w:space="0" w:color="auto"/>
              <w:right w:val="single" w:sz="4" w:space="0" w:color="auto"/>
            </w:tcBorders>
            <w:shd w:val="clear" w:color="auto" w:fill="auto"/>
            <w:vAlign w:val="center"/>
            <w:hideMark/>
          </w:tcPr>
          <w:p w14:paraId="6CDCD38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Kapitulli 19 Politikat sociale dhe punesimi</w:t>
            </w:r>
          </w:p>
        </w:tc>
        <w:tc>
          <w:tcPr>
            <w:tcW w:w="557" w:type="pct"/>
            <w:tcBorders>
              <w:top w:val="nil"/>
              <w:left w:val="nil"/>
              <w:bottom w:val="single" w:sz="4" w:space="0" w:color="auto"/>
              <w:right w:val="single" w:sz="4" w:space="0" w:color="auto"/>
            </w:tcBorders>
            <w:shd w:val="clear" w:color="auto" w:fill="auto"/>
            <w:vAlign w:val="center"/>
            <w:hideMark/>
          </w:tcPr>
          <w:p w14:paraId="6EAB96B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Kujdesi per te moshuarit dhe qytetaret ne nevoje</w:t>
            </w:r>
          </w:p>
        </w:tc>
        <w:tc>
          <w:tcPr>
            <w:tcW w:w="473" w:type="pct"/>
            <w:tcBorders>
              <w:top w:val="nil"/>
              <w:left w:val="nil"/>
              <w:bottom w:val="single" w:sz="4" w:space="0" w:color="auto"/>
              <w:right w:val="single" w:sz="4" w:space="0" w:color="auto"/>
            </w:tcBorders>
            <w:shd w:val="clear" w:color="auto" w:fill="auto"/>
            <w:vAlign w:val="center"/>
            <w:hideMark/>
          </w:tcPr>
          <w:p w14:paraId="47C1DEF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7394A17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Ekonomike, Sociale</w:t>
            </w:r>
          </w:p>
        </w:tc>
      </w:tr>
      <w:tr w:rsidR="00190E59" w:rsidRPr="00190E59" w14:paraId="6F0E4DB1"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A52136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17</w:t>
            </w:r>
          </w:p>
        </w:tc>
        <w:tc>
          <w:tcPr>
            <w:tcW w:w="498" w:type="pct"/>
            <w:tcBorders>
              <w:top w:val="nil"/>
              <w:left w:val="nil"/>
              <w:bottom w:val="single" w:sz="4" w:space="0" w:color="auto"/>
              <w:right w:val="single" w:sz="4" w:space="0" w:color="auto"/>
            </w:tcBorders>
            <w:shd w:val="clear" w:color="auto" w:fill="auto"/>
            <w:vAlign w:val="center"/>
            <w:hideMark/>
          </w:tcPr>
          <w:p w14:paraId="49C022F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indeksimin e pensioneve"</w:t>
            </w:r>
          </w:p>
        </w:tc>
        <w:tc>
          <w:tcPr>
            <w:tcW w:w="447" w:type="pct"/>
            <w:tcBorders>
              <w:top w:val="nil"/>
              <w:left w:val="nil"/>
              <w:bottom w:val="single" w:sz="4" w:space="0" w:color="auto"/>
              <w:right w:val="single" w:sz="4" w:space="0" w:color="auto"/>
            </w:tcBorders>
            <w:shd w:val="clear" w:color="auto" w:fill="auto"/>
            <w:vAlign w:val="center"/>
            <w:hideMark/>
          </w:tcPr>
          <w:p w14:paraId="6B09A2C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6BB5EE8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Ministri Financave dhe Ekonomise </w:t>
            </w:r>
          </w:p>
        </w:tc>
        <w:tc>
          <w:tcPr>
            <w:tcW w:w="386" w:type="pct"/>
            <w:tcBorders>
              <w:top w:val="nil"/>
              <w:left w:val="nil"/>
              <w:bottom w:val="single" w:sz="4" w:space="0" w:color="auto"/>
              <w:right w:val="single" w:sz="4" w:space="0" w:color="auto"/>
            </w:tcBorders>
            <w:shd w:val="clear" w:color="auto" w:fill="auto"/>
            <w:vAlign w:val="center"/>
            <w:hideMark/>
          </w:tcPr>
          <w:p w14:paraId="3D8D7DA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w:t>
            </w:r>
          </w:p>
        </w:tc>
        <w:tc>
          <w:tcPr>
            <w:tcW w:w="578" w:type="pct"/>
            <w:tcBorders>
              <w:top w:val="nil"/>
              <w:left w:val="nil"/>
              <w:bottom w:val="single" w:sz="4" w:space="0" w:color="auto"/>
              <w:right w:val="single" w:sz="4" w:space="0" w:color="auto"/>
            </w:tcBorders>
            <w:shd w:val="clear" w:color="auto" w:fill="auto"/>
            <w:vAlign w:val="center"/>
            <w:hideMark/>
          </w:tcPr>
          <w:p w14:paraId="781A2ED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Per indeksimin e pensioneve</w:t>
            </w:r>
          </w:p>
        </w:tc>
        <w:tc>
          <w:tcPr>
            <w:tcW w:w="610" w:type="pct"/>
            <w:tcBorders>
              <w:top w:val="nil"/>
              <w:left w:val="nil"/>
              <w:bottom w:val="single" w:sz="4" w:space="0" w:color="auto"/>
              <w:right w:val="single" w:sz="4" w:space="0" w:color="auto"/>
            </w:tcBorders>
            <w:shd w:val="clear" w:color="auto" w:fill="auto"/>
            <w:vAlign w:val="center"/>
            <w:hideMark/>
          </w:tcPr>
          <w:p w14:paraId="1F837FF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Mbajtja në nivele optimale vlerën reale të pensioneve dhe përfitimeve të tjera sociale</w:t>
            </w:r>
          </w:p>
        </w:tc>
        <w:tc>
          <w:tcPr>
            <w:tcW w:w="461" w:type="pct"/>
            <w:tcBorders>
              <w:top w:val="nil"/>
              <w:left w:val="nil"/>
              <w:bottom w:val="single" w:sz="4" w:space="0" w:color="auto"/>
              <w:right w:val="single" w:sz="4" w:space="0" w:color="auto"/>
            </w:tcBorders>
            <w:shd w:val="clear" w:color="auto" w:fill="auto"/>
            <w:vAlign w:val="center"/>
            <w:hideMark/>
          </w:tcPr>
          <w:p w14:paraId="12CFFD0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Kapitulli 19 Politikat sociale dhe punesimi</w:t>
            </w:r>
          </w:p>
        </w:tc>
        <w:tc>
          <w:tcPr>
            <w:tcW w:w="557" w:type="pct"/>
            <w:tcBorders>
              <w:top w:val="nil"/>
              <w:left w:val="nil"/>
              <w:bottom w:val="single" w:sz="4" w:space="0" w:color="auto"/>
              <w:right w:val="single" w:sz="4" w:space="0" w:color="auto"/>
            </w:tcBorders>
            <w:shd w:val="clear" w:color="auto" w:fill="auto"/>
            <w:vAlign w:val="center"/>
            <w:hideMark/>
          </w:tcPr>
          <w:p w14:paraId="502A72B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Kujdesi per te moshuarit dhe qytetaret ne nevoje</w:t>
            </w:r>
          </w:p>
        </w:tc>
        <w:tc>
          <w:tcPr>
            <w:tcW w:w="473" w:type="pct"/>
            <w:tcBorders>
              <w:top w:val="nil"/>
              <w:left w:val="nil"/>
              <w:bottom w:val="single" w:sz="4" w:space="0" w:color="auto"/>
              <w:right w:val="single" w:sz="4" w:space="0" w:color="auto"/>
            </w:tcBorders>
            <w:shd w:val="clear" w:color="auto" w:fill="auto"/>
            <w:vAlign w:val="center"/>
            <w:hideMark/>
          </w:tcPr>
          <w:p w14:paraId="077EF44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2C6D101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Ekonomike, Sociale</w:t>
            </w:r>
          </w:p>
        </w:tc>
      </w:tr>
      <w:tr w:rsidR="00190E59" w:rsidRPr="00190E59" w14:paraId="23FDC0B5"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2C7604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18</w:t>
            </w:r>
          </w:p>
        </w:tc>
        <w:tc>
          <w:tcPr>
            <w:tcW w:w="498" w:type="pct"/>
            <w:tcBorders>
              <w:top w:val="nil"/>
              <w:left w:val="nil"/>
              <w:bottom w:val="single" w:sz="4" w:space="0" w:color="auto"/>
              <w:right w:val="single" w:sz="4" w:space="0" w:color="auto"/>
            </w:tcBorders>
            <w:shd w:val="clear" w:color="000000" w:fill="FFFFFF"/>
            <w:vAlign w:val="center"/>
            <w:hideMark/>
          </w:tcPr>
          <w:p w14:paraId="05C49F9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përcaktimin e rregullave të  zbatimit mbi kontributin e sektorit privat në krijimin e fondit publik të banesave sociale"</w:t>
            </w:r>
          </w:p>
        </w:tc>
        <w:tc>
          <w:tcPr>
            <w:tcW w:w="447" w:type="pct"/>
            <w:tcBorders>
              <w:top w:val="nil"/>
              <w:left w:val="nil"/>
              <w:bottom w:val="single" w:sz="4" w:space="0" w:color="auto"/>
              <w:right w:val="single" w:sz="4" w:space="0" w:color="auto"/>
            </w:tcBorders>
            <w:shd w:val="clear" w:color="auto" w:fill="auto"/>
            <w:vAlign w:val="center"/>
            <w:hideMark/>
          </w:tcPr>
          <w:p w14:paraId="632C297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3040B05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3CBA1D8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w:t>
            </w:r>
          </w:p>
        </w:tc>
        <w:tc>
          <w:tcPr>
            <w:tcW w:w="578" w:type="pct"/>
            <w:tcBorders>
              <w:top w:val="nil"/>
              <w:left w:val="nil"/>
              <w:bottom w:val="single" w:sz="4" w:space="0" w:color="auto"/>
              <w:right w:val="single" w:sz="4" w:space="0" w:color="auto"/>
            </w:tcBorders>
            <w:shd w:val="clear" w:color="auto" w:fill="auto"/>
            <w:vAlign w:val="center"/>
            <w:hideMark/>
          </w:tcPr>
          <w:p w14:paraId="4B0C6E2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Përcaktimin e rregullave për mënyrën e zbatimit për krijimin e fondit publik të banesave sociale të  përfituar nga kontributi i sektorit privat në përputhje me përcaktimet e ligjit nr. 22/2018 “Për strehimin social” i ndryshuar.</w:t>
            </w:r>
          </w:p>
        </w:tc>
        <w:tc>
          <w:tcPr>
            <w:tcW w:w="610" w:type="pct"/>
            <w:tcBorders>
              <w:top w:val="nil"/>
              <w:left w:val="nil"/>
              <w:bottom w:val="single" w:sz="4" w:space="0" w:color="auto"/>
              <w:right w:val="single" w:sz="4" w:space="0" w:color="auto"/>
            </w:tcBorders>
            <w:shd w:val="clear" w:color="auto" w:fill="auto"/>
            <w:vAlign w:val="center"/>
            <w:hideMark/>
          </w:tcPr>
          <w:p w14:paraId="36EBD14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Rregullat e zbatimit, që sjellin kontributin e sektorit privat në krijimin e fondit publik, duke parashikuar këtu të gjithë hapat procedurale. Sqarojmë se ky është një kontribut i cili trajton mënjëhere ato problematika të qytetarëve të pastrehë të cilët e kanë të pamundur të gjejne vetë një banesë. Në këto kushte me krijimin e një fondi, bashkia do të ketë në pronësi banesa të cilat i përdor për programet e strehimit social.</w:t>
            </w:r>
          </w:p>
        </w:tc>
        <w:tc>
          <w:tcPr>
            <w:tcW w:w="461" w:type="pct"/>
            <w:tcBorders>
              <w:top w:val="nil"/>
              <w:left w:val="nil"/>
              <w:bottom w:val="single" w:sz="4" w:space="0" w:color="auto"/>
              <w:right w:val="single" w:sz="4" w:space="0" w:color="auto"/>
            </w:tcBorders>
            <w:shd w:val="clear" w:color="auto" w:fill="auto"/>
            <w:vAlign w:val="center"/>
            <w:hideMark/>
          </w:tcPr>
          <w:p w14:paraId="0FC7455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6ABCD4B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6938E80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4729A72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129C40CE"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58D6B52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19</w:t>
            </w:r>
          </w:p>
        </w:tc>
        <w:tc>
          <w:tcPr>
            <w:tcW w:w="498" w:type="pct"/>
            <w:tcBorders>
              <w:top w:val="nil"/>
              <w:left w:val="nil"/>
              <w:bottom w:val="single" w:sz="4" w:space="0" w:color="auto"/>
              <w:right w:val="single" w:sz="4" w:space="0" w:color="auto"/>
            </w:tcBorders>
            <w:shd w:val="clear" w:color="000000" w:fill="FFFFFF"/>
            <w:vAlign w:val="center"/>
            <w:hideMark/>
          </w:tcPr>
          <w:p w14:paraId="3FF1358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përcaktimin  e procedurave të aplikimit, kritereve dhe dokumentacionit për të përfituar kredi të lehtësuar”</w:t>
            </w:r>
          </w:p>
        </w:tc>
        <w:tc>
          <w:tcPr>
            <w:tcW w:w="447" w:type="pct"/>
            <w:tcBorders>
              <w:top w:val="nil"/>
              <w:left w:val="nil"/>
              <w:bottom w:val="single" w:sz="4" w:space="0" w:color="auto"/>
              <w:right w:val="single" w:sz="4" w:space="0" w:color="auto"/>
            </w:tcBorders>
            <w:shd w:val="clear" w:color="000000" w:fill="FFFFFF"/>
            <w:vAlign w:val="center"/>
            <w:hideMark/>
          </w:tcPr>
          <w:p w14:paraId="239F15A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000000" w:fill="FFFFFF"/>
            <w:vAlign w:val="center"/>
            <w:hideMark/>
          </w:tcPr>
          <w:p w14:paraId="290F1F9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000000" w:fill="FFFFFF"/>
            <w:vAlign w:val="center"/>
            <w:hideMark/>
          </w:tcPr>
          <w:p w14:paraId="443C590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w:t>
            </w:r>
          </w:p>
        </w:tc>
        <w:tc>
          <w:tcPr>
            <w:tcW w:w="578" w:type="pct"/>
            <w:tcBorders>
              <w:top w:val="nil"/>
              <w:left w:val="nil"/>
              <w:bottom w:val="single" w:sz="4" w:space="0" w:color="auto"/>
              <w:right w:val="single" w:sz="4" w:space="0" w:color="auto"/>
            </w:tcBorders>
            <w:shd w:val="clear" w:color="000000" w:fill="FFFFFF"/>
            <w:vAlign w:val="center"/>
            <w:hideMark/>
          </w:tcPr>
          <w:p w14:paraId="5A2FFB3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Qëllimi i këtij projektvendimi është që familjet e punonjësve të Policisë së Shtetit të rënë në detyrë; fëmijët në përkujdesje të Republikës; familjet që banojnë si qiramarrës në ish-pronë private, sipas aktit normativ nr. 3, datë 1.3.2012, të Këshillit të Ministrave “Për lirimin e banesave pronarëve të ligjshëm nga qytetarët e pastrehë, banues,në banesat ish-pronë e subjekteve të shpronësuara”, të miratuar me ligjin nr. 82/2012, të përfitojnë kredi me interes të barabartë me 0% të subvencionuar nga buxheti i shtetit nëpërmjet Entit Kombëtar të Banesave</w:t>
            </w:r>
          </w:p>
        </w:tc>
        <w:tc>
          <w:tcPr>
            <w:tcW w:w="610" w:type="pct"/>
            <w:tcBorders>
              <w:top w:val="nil"/>
              <w:left w:val="nil"/>
              <w:bottom w:val="single" w:sz="4" w:space="0" w:color="auto"/>
              <w:right w:val="single" w:sz="4" w:space="0" w:color="auto"/>
            </w:tcBorders>
            <w:shd w:val="clear" w:color="000000" w:fill="FFFFFF"/>
            <w:vAlign w:val="center"/>
            <w:hideMark/>
          </w:tcPr>
          <w:p w14:paraId="7DC65EF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Rregullat e zbatimit, dokumentacionet specifike per keto kategori, strukturat kompetente, si dhe afatet kohore.</w:t>
            </w:r>
          </w:p>
        </w:tc>
        <w:tc>
          <w:tcPr>
            <w:tcW w:w="461" w:type="pct"/>
            <w:tcBorders>
              <w:top w:val="nil"/>
              <w:left w:val="nil"/>
              <w:bottom w:val="single" w:sz="4" w:space="0" w:color="auto"/>
              <w:right w:val="single" w:sz="4" w:space="0" w:color="auto"/>
            </w:tcBorders>
            <w:shd w:val="clear" w:color="000000" w:fill="FFFFFF"/>
            <w:vAlign w:val="center"/>
            <w:hideMark/>
          </w:tcPr>
          <w:p w14:paraId="3E36746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000000" w:fill="FFFFFF"/>
            <w:vAlign w:val="center"/>
            <w:hideMark/>
          </w:tcPr>
          <w:p w14:paraId="4A1CC70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000000" w:fill="FFFFFF"/>
            <w:vAlign w:val="center"/>
            <w:hideMark/>
          </w:tcPr>
          <w:p w14:paraId="4D0BF3B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000000" w:fill="FFFFFF"/>
            <w:vAlign w:val="center"/>
            <w:hideMark/>
          </w:tcPr>
          <w:p w14:paraId="5E9198B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32024C6F"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0F6EEBA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20</w:t>
            </w:r>
          </w:p>
        </w:tc>
        <w:tc>
          <w:tcPr>
            <w:tcW w:w="498" w:type="pct"/>
            <w:tcBorders>
              <w:top w:val="nil"/>
              <w:left w:val="nil"/>
              <w:bottom w:val="single" w:sz="4" w:space="0" w:color="auto"/>
              <w:right w:val="single" w:sz="4" w:space="0" w:color="auto"/>
            </w:tcBorders>
            <w:shd w:val="clear" w:color="auto" w:fill="auto"/>
            <w:vAlign w:val="center"/>
            <w:hideMark/>
          </w:tcPr>
          <w:p w14:paraId="2D52AD0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“Për investimet në Republikën e Shqipërisë” </w:t>
            </w:r>
          </w:p>
        </w:tc>
        <w:tc>
          <w:tcPr>
            <w:tcW w:w="447" w:type="pct"/>
            <w:tcBorders>
              <w:top w:val="nil"/>
              <w:left w:val="nil"/>
              <w:bottom w:val="single" w:sz="4" w:space="0" w:color="auto"/>
              <w:right w:val="single" w:sz="4" w:space="0" w:color="auto"/>
            </w:tcBorders>
            <w:shd w:val="clear" w:color="auto" w:fill="auto"/>
            <w:vAlign w:val="center"/>
            <w:hideMark/>
          </w:tcPr>
          <w:p w14:paraId="57C48CB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auto" w:fill="auto"/>
            <w:vAlign w:val="center"/>
            <w:hideMark/>
          </w:tcPr>
          <w:p w14:paraId="2A57BBB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dhnë Ekonomisë</w:t>
            </w:r>
          </w:p>
        </w:tc>
        <w:tc>
          <w:tcPr>
            <w:tcW w:w="386" w:type="pct"/>
            <w:tcBorders>
              <w:top w:val="nil"/>
              <w:left w:val="nil"/>
              <w:bottom w:val="single" w:sz="4" w:space="0" w:color="auto"/>
              <w:right w:val="single" w:sz="4" w:space="0" w:color="auto"/>
            </w:tcBorders>
            <w:shd w:val="clear" w:color="auto" w:fill="auto"/>
            <w:vAlign w:val="center"/>
            <w:hideMark/>
          </w:tcPr>
          <w:p w14:paraId="02C88CB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62CBBF7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Unifikimi i dy ligjeve bazë që prekin investimet, respektivisht ligjit nr.7764, datë 02.11.1993 “Për investimet e huaja” të ndryshuar, dhe ligjit nr.55/2015 “Për investimet strategjike në Republikën e Shqipërisë” të ndryshuar, me qëllim nxitjen, tërheqjen dhe promovimin e investimeve vendase dhe të huaja, në territorin e Republikës së Shqipërisë.</w:t>
            </w:r>
          </w:p>
        </w:tc>
        <w:tc>
          <w:tcPr>
            <w:tcW w:w="610" w:type="pct"/>
            <w:tcBorders>
              <w:top w:val="nil"/>
              <w:left w:val="nil"/>
              <w:bottom w:val="single" w:sz="4" w:space="0" w:color="auto"/>
              <w:right w:val="single" w:sz="4" w:space="0" w:color="auto"/>
            </w:tcBorders>
            <w:shd w:val="clear" w:color="auto" w:fill="auto"/>
            <w:vAlign w:val="center"/>
            <w:hideMark/>
          </w:tcPr>
          <w:p w14:paraId="3D7C464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Përcaktimi i rregullave të përgjithshme për investimet</w:t>
            </w:r>
            <w:r w:rsidRPr="00190E59">
              <w:rPr>
                <w:rFonts w:ascii="Arial" w:eastAsia="Times New Roman" w:hAnsi="Arial" w:cs="Arial"/>
                <w:b/>
                <w:bCs/>
                <w:color w:val="000000"/>
                <w:sz w:val="12"/>
                <w:szCs w:val="12"/>
                <w:bdr w:val="none" w:sz="0" w:space="0" w:color="auto"/>
              </w:rPr>
              <w:t xml:space="preserve">, </w:t>
            </w:r>
            <w:r w:rsidRPr="00190E59">
              <w:rPr>
                <w:rFonts w:ascii="Arial" w:eastAsia="Times New Roman" w:hAnsi="Arial" w:cs="Arial"/>
                <w:color w:val="000000"/>
                <w:sz w:val="12"/>
                <w:szCs w:val="12"/>
                <w:bdr w:val="none" w:sz="0" w:space="0" w:color="auto"/>
              </w:rPr>
              <w:t>si dhe krijimi dhe funksionimi i institucioneve përgjegjëse për nxitjen dhe mbështetjen e investimeve si dhe rregullimin e marrëdhënieve juridike që lindin ndërmjet institucioneve publike shtetërore dhe investitorëve, përfshirë investitorë vendas ose të huaj, në Republikën e Shqipërisë.</w:t>
            </w:r>
          </w:p>
        </w:tc>
        <w:tc>
          <w:tcPr>
            <w:tcW w:w="461" w:type="pct"/>
            <w:tcBorders>
              <w:top w:val="nil"/>
              <w:left w:val="nil"/>
              <w:bottom w:val="single" w:sz="4" w:space="0" w:color="auto"/>
              <w:right w:val="single" w:sz="4" w:space="0" w:color="auto"/>
            </w:tcBorders>
            <w:shd w:val="clear" w:color="auto" w:fill="auto"/>
            <w:vAlign w:val="center"/>
            <w:hideMark/>
          </w:tcPr>
          <w:p w14:paraId="63A084F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201A68B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Programin e Qeverisë për nxitjen dhe përmirësimin e klimës së biznesit</w:t>
            </w:r>
          </w:p>
        </w:tc>
        <w:tc>
          <w:tcPr>
            <w:tcW w:w="473" w:type="pct"/>
            <w:tcBorders>
              <w:top w:val="nil"/>
              <w:left w:val="nil"/>
              <w:bottom w:val="single" w:sz="4" w:space="0" w:color="auto"/>
              <w:right w:val="single" w:sz="4" w:space="0" w:color="auto"/>
            </w:tcBorders>
            <w:shd w:val="clear" w:color="auto" w:fill="auto"/>
            <w:vAlign w:val="center"/>
            <w:hideMark/>
          </w:tcPr>
          <w:p w14:paraId="302F7AD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Strategjia e Zhvillimit të Biznesit dhe  Investimeve 2021-2027.</w:t>
            </w:r>
          </w:p>
        </w:tc>
        <w:tc>
          <w:tcPr>
            <w:tcW w:w="447" w:type="pct"/>
            <w:tcBorders>
              <w:top w:val="nil"/>
              <w:left w:val="nil"/>
              <w:bottom w:val="single" w:sz="4" w:space="0" w:color="auto"/>
              <w:right w:val="single" w:sz="4" w:space="0" w:color="auto"/>
            </w:tcBorders>
            <w:shd w:val="clear" w:color="000000" w:fill="FFFFFF"/>
            <w:vAlign w:val="center"/>
            <w:hideMark/>
          </w:tcPr>
          <w:p w14:paraId="28892FF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Po ka ndikime sociale, mjedisore, si dhe ndikime pozitive në buxhet, duke ndikuar në rritjen ekonomike </w:t>
            </w:r>
          </w:p>
        </w:tc>
      </w:tr>
      <w:tr w:rsidR="00190E59" w:rsidRPr="00190E59" w14:paraId="49250B4E"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D3B042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21</w:t>
            </w:r>
          </w:p>
        </w:tc>
        <w:tc>
          <w:tcPr>
            <w:tcW w:w="498" w:type="pct"/>
            <w:tcBorders>
              <w:top w:val="nil"/>
              <w:left w:val="nil"/>
              <w:bottom w:val="single" w:sz="4" w:space="0" w:color="auto"/>
              <w:right w:val="single" w:sz="4" w:space="0" w:color="auto"/>
            </w:tcBorders>
            <w:shd w:val="clear" w:color="auto" w:fill="auto"/>
            <w:vAlign w:val="center"/>
            <w:hideMark/>
          </w:tcPr>
          <w:p w14:paraId="7C1B577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 "Për Markat tregtare dhe të Shërbimit"</w:t>
            </w:r>
          </w:p>
        </w:tc>
        <w:tc>
          <w:tcPr>
            <w:tcW w:w="447" w:type="pct"/>
            <w:tcBorders>
              <w:top w:val="nil"/>
              <w:left w:val="nil"/>
              <w:bottom w:val="single" w:sz="4" w:space="0" w:color="auto"/>
              <w:right w:val="single" w:sz="4" w:space="0" w:color="auto"/>
            </w:tcBorders>
            <w:shd w:val="clear" w:color="auto" w:fill="auto"/>
            <w:vAlign w:val="center"/>
            <w:hideMark/>
          </w:tcPr>
          <w:p w14:paraId="3FF7170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000000" w:fill="FFFFFF"/>
            <w:vAlign w:val="center"/>
            <w:hideMark/>
          </w:tcPr>
          <w:p w14:paraId="053BDE7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64D10F3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434137A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Ligji 9947 rregullon sistemin e dhënies dhe mbrojtjes së të drejtave të pronësisë industriale, ku përfshihen këto objekte të pronësisë industriale (a) patentat dhe modelet e përdorimit, (b) dizenjot industriale, (c) markat tregtare, (ç) treguesit gjeografikë dhe emërtimet e origjinës dhe (d) sekreti tregtar. Në kuadër të çeljes së negociatave me Bashkimin Europian dhe nevojës për përafrimin sa më të plotë të legjislacionit shqiptar me aktet e mësipërme të BE-së, është e nevojshme të bëhen rregullime, përmirësime dhe plotësime të mëtejshme të dispozitave ligjore për markat tregtare. Ligji ekzistues 9947, duke përfshirë të gjitha objektet të pronësisë industriale, nuk ka mundur të parashikojë të gjitha detajet aq të domosdoshme për trajtimin dhe rregullimin e çdo dhe të gjithë pikave që lidhen me këto objekte.Trajtimi i markës tregtare në një ligj të veçantë bëhet i nevojshëm sepse, siç u tha, nëse deri më sot përafrimi ka qënë i pjesshëm, përafrimi i plotë kërkon të parashikohen edhe një sërë institutesh ose momentesh të tjera jurdike që deri më sot ose rregulloheshin pjesërisht, ose nuk rregulloheshin fare.</w:t>
            </w:r>
          </w:p>
        </w:tc>
        <w:tc>
          <w:tcPr>
            <w:tcW w:w="610" w:type="pct"/>
            <w:tcBorders>
              <w:top w:val="nil"/>
              <w:left w:val="nil"/>
              <w:bottom w:val="single" w:sz="4" w:space="0" w:color="auto"/>
              <w:right w:val="single" w:sz="4" w:space="0" w:color="auto"/>
            </w:tcBorders>
            <w:shd w:val="clear" w:color="auto" w:fill="auto"/>
            <w:vAlign w:val="center"/>
            <w:hideMark/>
          </w:tcPr>
          <w:p w14:paraId="3800BB8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Krahas rregullimeve më të plota të çështjeve që lidhen me markat, projektligji ka sjellë edhe një varg përmirësimesh të rëndësishme përsa i përket sqarimit dhe interpretimit të dispozitave ligjore të fushës.  Përmirësime konstatohen që në fillim të projektligjit tek përkufizimet dhe interpretimet sqaruese dhe detyruese. Këto do të ndihmojnë pa dyshim edhe në procesin e zbatimit të projektligjit pas miratimit të tij.</w:t>
            </w:r>
            <w:r w:rsidRPr="00190E59">
              <w:rPr>
                <w:rFonts w:ascii="Arial" w:eastAsia="Times New Roman" w:hAnsi="Arial" w:cs="Arial"/>
                <w:color w:val="000000"/>
                <w:sz w:val="12"/>
                <w:szCs w:val="12"/>
                <w:bdr w:val="none" w:sz="0" w:space="0" w:color="auto"/>
              </w:rPr>
              <w:br/>
              <w:t>Projektligji ka plotësuar dhe rregulluar detaje të elementëve të tillë si shkaqet absolute dhe relative për refuzimin e shenjave që nuk mund të regjistrohen, si dhe të shenjave dhe markave që cënojnë të drejtat e pronarëve të markave të regjistruara më parë, duke u siguruar këtyre të fundit një mbrojtje më të madhe. Në këtë kuadër, projektligji ndalon agjentët ose përfaqësuesit e një pronari marke të regjistrojnë në emër të tyre një markë që i përket pronarit real të markës, fenomen ky që është hasur jo rrallë në tregun e vendit dhe që lidhet me thelbin e konceptit të keqbesimit në fushën e markave tregtare.</w:t>
            </w:r>
          </w:p>
        </w:tc>
        <w:tc>
          <w:tcPr>
            <w:tcW w:w="461" w:type="pct"/>
            <w:tcBorders>
              <w:top w:val="nil"/>
              <w:left w:val="nil"/>
              <w:bottom w:val="single" w:sz="4" w:space="0" w:color="auto"/>
              <w:right w:val="single" w:sz="4" w:space="0" w:color="auto"/>
            </w:tcBorders>
            <w:shd w:val="clear" w:color="auto" w:fill="auto"/>
            <w:vAlign w:val="center"/>
            <w:hideMark/>
          </w:tcPr>
          <w:p w14:paraId="0F26732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Po, Kapitulli 7 </w:t>
            </w:r>
          </w:p>
        </w:tc>
        <w:tc>
          <w:tcPr>
            <w:tcW w:w="557" w:type="pct"/>
            <w:tcBorders>
              <w:top w:val="nil"/>
              <w:left w:val="nil"/>
              <w:bottom w:val="single" w:sz="4" w:space="0" w:color="auto"/>
              <w:right w:val="single" w:sz="4" w:space="0" w:color="auto"/>
            </w:tcBorders>
            <w:shd w:val="clear" w:color="auto" w:fill="auto"/>
            <w:vAlign w:val="center"/>
            <w:hideMark/>
          </w:tcPr>
          <w:p w14:paraId="511B40A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1D8B4E8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Në Strategjinë Kombëtare për Pronësinë Intelektuale 2022-2025</w:t>
            </w:r>
          </w:p>
        </w:tc>
        <w:tc>
          <w:tcPr>
            <w:tcW w:w="447" w:type="pct"/>
            <w:tcBorders>
              <w:top w:val="nil"/>
              <w:left w:val="nil"/>
              <w:bottom w:val="single" w:sz="4" w:space="0" w:color="auto"/>
              <w:right w:val="single" w:sz="4" w:space="0" w:color="auto"/>
            </w:tcBorders>
            <w:shd w:val="clear" w:color="000000" w:fill="FFFFFF"/>
            <w:vAlign w:val="center"/>
            <w:hideMark/>
          </w:tcPr>
          <w:p w14:paraId="0451974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 nuk ka ndikime ekonomike, sociale dhe mjedisore</w:t>
            </w:r>
          </w:p>
        </w:tc>
      </w:tr>
      <w:tr w:rsidR="00190E59" w:rsidRPr="00190E59" w14:paraId="6D3F3F1B"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2D2F95F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22</w:t>
            </w:r>
          </w:p>
        </w:tc>
        <w:tc>
          <w:tcPr>
            <w:tcW w:w="498" w:type="pct"/>
            <w:tcBorders>
              <w:top w:val="nil"/>
              <w:left w:val="nil"/>
              <w:bottom w:val="single" w:sz="4" w:space="0" w:color="auto"/>
              <w:right w:val="single" w:sz="4" w:space="0" w:color="auto"/>
            </w:tcBorders>
            <w:shd w:val="clear" w:color="auto" w:fill="auto"/>
            <w:vAlign w:val="center"/>
            <w:hideMark/>
          </w:tcPr>
          <w:p w14:paraId="1599DEE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“Për patentat për shpikje dhe modelet e përdorimit” </w:t>
            </w:r>
          </w:p>
        </w:tc>
        <w:tc>
          <w:tcPr>
            <w:tcW w:w="447" w:type="pct"/>
            <w:tcBorders>
              <w:top w:val="nil"/>
              <w:left w:val="nil"/>
              <w:bottom w:val="single" w:sz="4" w:space="0" w:color="auto"/>
              <w:right w:val="single" w:sz="4" w:space="0" w:color="auto"/>
            </w:tcBorders>
            <w:shd w:val="clear" w:color="auto" w:fill="auto"/>
            <w:vAlign w:val="center"/>
            <w:hideMark/>
          </w:tcPr>
          <w:p w14:paraId="4B09358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000000" w:fill="FFFFFF"/>
            <w:vAlign w:val="center"/>
            <w:hideMark/>
          </w:tcPr>
          <w:p w14:paraId="3B56A42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05E4438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20FFB0A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Ligji 9947 rregullon sistemin e dhënies dhe mbrojtjes së të drejtave të pronësisë industriale, ku përfshihen këto objekte të pronësisë industriale (a) patentat dhe modelet e përdorimit, (b) dizenjot industriale, (c) markat tregtare, (ç) treguesit gjeografikë dhe emërtimet e origjinës dhe (d) sekreti tregtar. Në kuadër të çeljes së negociatave me Bashkimin Europian dhe nevojës për përafrimin sa më të plotë të legjislacionit shqiptar me aktet e mësipërme të BE-së, është e nevojshme të bëhen rregullime, përmirësime dhe plotësime të mëtejshme të dispozitave ligjore që rregullojnë patentat dhe modelet e përdorimit, si dhe mbrojtjen e të drejtave mbi shpikjet dhe modelet e përdorimit. Po ashtu, një rregullim i posaçëm është i nevojshëm t’i kushtohet sistemit të regjistrimit së certifikatave të mbrojtjes shtesë si mjet për zgjatjen e afatit të vlefshmërisë së patentave të dhëna për produkte farmaceutike dhe për produkte për mbrojtjen e bimëve. Trajtimi i patentave dhe modeleve të përdorimit në një ligj të veçantë bëhet i nevojshëm edhe për faktin se, nëse deri më sot përafrimi në këtë aspekt ka qënë i pjesshëm, përafrimi i plotë kërkon të parashikohen edhe një sërë institutesh dhe momentesh të tjera që deri më sot ose rregulloheshin pjesërisht ose nuk rregulloheshin fare.</w:t>
            </w:r>
          </w:p>
        </w:tc>
        <w:tc>
          <w:tcPr>
            <w:tcW w:w="610" w:type="pct"/>
            <w:tcBorders>
              <w:top w:val="nil"/>
              <w:left w:val="nil"/>
              <w:bottom w:val="single" w:sz="4" w:space="0" w:color="auto"/>
              <w:right w:val="single" w:sz="4" w:space="0" w:color="auto"/>
            </w:tcBorders>
            <w:shd w:val="clear" w:color="auto" w:fill="auto"/>
            <w:vAlign w:val="center"/>
            <w:hideMark/>
          </w:tcPr>
          <w:p w14:paraId="0C29580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Projektligji sjell përmirësime të rëndësishme në raport me Ligjin 9947, si në strukturë, në përmbajtje dhe në trajtimin e çështjeve të veçanta. Përmirësime konstatohen që tek përkufizimet që jepen që në nenet e para të projektligjit, të cilat sqarojnë më tej kuptimin, interpretimin, si dhe do të ndihmojnë në zbatimin më të mirë të këtij projektligji në praktikë pasi të miratohet. Projektligji është fokusuar dhe ka plotësuar më mirë momente të tilla si shpikja dhe elementët e saj, risia, hapi shpikës dhe zbatueshmëria në industri (që përfshin edhe bujqësinë).  Po kështu, projektligji ka bërë plotësime dhe saktësime në lidhje me shpikjet në fushën e bioteknologjisë, në lidhje me bimët ose kafshët, në lidhje me elementë të izoluar të marra nga trupi i njeriut e kështu me radhë.  Jepen ne mënyrë më të plotë edhe variatetet bimore dhe kafshore, proceset dhe shpikjet në përgjithësi që përjashtohen nga patentueshmëria.</w:t>
            </w:r>
          </w:p>
        </w:tc>
        <w:tc>
          <w:tcPr>
            <w:tcW w:w="461" w:type="pct"/>
            <w:tcBorders>
              <w:top w:val="nil"/>
              <w:left w:val="nil"/>
              <w:bottom w:val="single" w:sz="4" w:space="0" w:color="auto"/>
              <w:right w:val="single" w:sz="4" w:space="0" w:color="auto"/>
            </w:tcBorders>
            <w:shd w:val="clear" w:color="auto" w:fill="auto"/>
            <w:vAlign w:val="center"/>
            <w:hideMark/>
          </w:tcPr>
          <w:p w14:paraId="2923D2F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Po, Kapitulli 7 </w:t>
            </w:r>
          </w:p>
        </w:tc>
        <w:tc>
          <w:tcPr>
            <w:tcW w:w="557" w:type="pct"/>
            <w:tcBorders>
              <w:top w:val="nil"/>
              <w:left w:val="nil"/>
              <w:bottom w:val="single" w:sz="4" w:space="0" w:color="auto"/>
              <w:right w:val="single" w:sz="4" w:space="0" w:color="auto"/>
            </w:tcBorders>
            <w:shd w:val="clear" w:color="auto" w:fill="auto"/>
            <w:vAlign w:val="center"/>
            <w:hideMark/>
          </w:tcPr>
          <w:p w14:paraId="5E60812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37479CF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Në Strategjinë Kombëtare për Pronësinë Intelektuale 2022-2025</w:t>
            </w:r>
          </w:p>
        </w:tc>
        <w:tc>
          <w:tcPr>
            <w:tcW w:w="447" w:type="pct"/>
            <w:tcBorders>
              <w:top w:val="nil"/>
              <w:left w:val="nil"/>
              <w:bottom w:val="single" w:sz="4" w:space="0" w:color="auto"/>
              <w:right w:val="single" w:sz="4" w:space="0" w:color="auto"/>
            </w:tcBorders>
            <w:shd w:val="clear" w:color="000000" w:fill="FFFFFF"/>
            <w:vAlign w:val="center"/>
            <w:hideMark/>
          </w:tcPr>
          <w:p w14:paraId="515CB95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 nuk ka ndikime ekonomike, sociale dhe mjedisore</w:t>
            </w:r>
          </w:p>
        </w:tc>
      </w:tr>
      <w:tr w:rsidR="00190E59" w:rsidRPr="00190E59" w14:paraId="70928D64"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2E64DC5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23</w:t>
            </w:r>
          </w:p>
        </w:tc>
        <w:tc>
          <w:tcPr>
            <w:tcW w:w="498" w:type="pct"/>
            <w:tcBorders>
              <w:top w:val="nil"/>
              <w:left w:val="nil"/>
              <w:bottom w:val="single" w:sz="4" w:space="0" w:color="auto"/>
              <w:right w:val="single" w:sz="4" w:space="0" w:color="auto"/>
            </w:tcBorders>
            <w:shd w:val="clear" w:color="FFFFFF" w:fill="FFFFFF"/>
            <w:vAlign w:val="center"/>
            <w:hideMark/>
          </w:tcPr>
          <w:p w14:paraId="6E66581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buxhetin e vitit 2025"</w:t>
            </w:r>
          </w:p>
        </w:tc>
        <w:tc>
          <w:tcPr>
            <w:tcW w:w="447" w:type="pct"/>
            <w:tcBorders>
              <w:top w:val="nil"/>
              <w:left w:val="nil"/>
              <w:bottom w:val="single" w:sz="4" w:space="0" w:color="auto"/>
              <w:right w:val="single" w:sz="4" w:space="0" w:color="auto"/>
            </w:tcBorders>
            <w:shd w:val="clear" w:color="auto" w:fill="auto"/>
            <w:vAlign w:val="center"/>
            <w:hideMark/>
          </w:tcPr>
          <w:p w14:paraId="674F2E3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auto" w:fill="auto"/>
            <w:vAlign w:val="center"/>
            <w:hideMark/>
          </w:tcPr>
          <w:p w14:paraId="63AC101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5AF28A6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25B4DD9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 i pervitshem sipas percaktimeve te Ligjit nr.9936 datë 26.06.2008 “Për menaxhimin e sistemit buxhetor në Republikën e Shqipërisë”, i ndryshuar</w:t>
            </w:r>
          </w:p>
        </w:tc>
        <w:tc>
          <w:tcPr>
            <w:tcW w:w="610" w:type="pct"/>
            <w:tcBorders>
              <w:top w:val="nil"/>
              <w:left w:val="nil"/>
              <w:bottom w:val="single" w:sz="4" w:space="0" w:color="auto"/>
              <w:right w:val="single" w:sz="4" w:space="0" w:color="auto"/>
            </w:tcBorders>
            <w:shd w:val="clear" w:color="auto" w:fill="auto"/>
            <w:vAlign w:val="center"/>
            <w:hideMark/>
          </w:tcPr>
          <w:p w14:paraId="26A60F4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Percaktimi i te ardhurave  dhe Shpenzimeve te Buxhetit te shtetit, duke synuar ne rritjen progresive te te ardhurave, dhe eficence ne menyret e perodirmit te fondeve publike ne sektoret prioritar dhe jo vetem, duke mbajtur ne konsiderate nga ana tjeter uljen e Deficitit Buxhetor dhe te Borxhit Publik.</w:t>
            </w:r>
          </w:p>
        </w:tc>
        <w:tc>
          <w:tcPr>
            <w:tcW w:w="461" w:type="pct"/>
            <w:tcBorders>
              <w:top w:val="nil"/>
              <w:left w:val="nil"/>
              <w:bottom w:val="single" w:sz="4" w:space="0" w:color="auto"/>
              <w:right w:val="single" w:sz="4" w:space="0" w:color="auto"/>
            </w:tcBorders>
            <w:shd w:val="clear" w:color="auto" w:fill="auto"/>
            <w:vAlign w:val="center"/>
            <w:hideMark/>
          </w:tcPr>
          <w:p w14:paraId="4BA5B2D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000000" w:fill="FFFFFF"/>
            <w:vAlign w:val="center"/>
            <w:hideMark/>
          </w:tcPr>
          <w:p w14:paraId="2ECAF95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Strategjia e MFP-së lidhet me Dokumentin e Programit të Qeverisë, specifikisht me shtyllën "Mirëqenie për të gjithë", që do të përkthehet në një ekonomi të zhvilluar që krijon shanse për të gjithë. Ky prioritet përfshin mbështetje  dhe angazhim për të siguruar rritje e zhvillim ekonomik për më shumë të ardhura, një jetë dinjitoze e përfshirje në jetën ekonomike për të gjithë qytetarët, duke vënë theksin tek bizneset e vogla, tek familjet produktive, fshati dhe forca punëtore që shtyn përpara zhvillimet pozitive të vendit. Për këtë arsye, Qeveria Shqiptare është e angazhuar fort në drejtim të përmbushjes së objektivave (shënjestrave të mandatit qeverisës 2021-2025) për të siguruar një rritje ekonomike mesatarisht 4.5 % në vit dhe do të mbështesë një rritje edhe më të madhe të pagave në nivel vendi; Konsolidim të përshpejtuar fiskal duke synuar borxh nën 60% në fund të mandatit dhe rritje të ardhurave të disponueshme me 20% deri në fund të mandatit.</w:t>
            </w:r>
          </w:p>
        </w:tc>
        <w:tc>
          <w:tcPr>
            <w:tcW w:w="473" w:type="pct"/>
            <w:tcBorders>
              <w:top w:val="nil"/>
              <w:left w:val="nil"/>
              <w:bottom w:val="single" w:sz="4" w:space="0" w:color="auto"/>
              <w:right w:val="single" w:sz="4" w:space="0" w:color="auto"/>
            </w:tcBorders>
            <w:shd w:val="clear" w:color="000000" w:fill="FFFFFF"/>
            <w:vAlign w:val="center"/>
            <w:hideMark/>
          </w:tcPr>
          <w:p w14:paraId="3BCB3AA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Strategjia Kombëtare për Zhvillim dhe Integrim 2022-2030</w:t>
            </w:r>
          </w:p>
        </w:tc>
        <w:tc>
          <w:tcPr>
            <w:tcW w:w="447" w:type="pct"/>
            <w:tcBorders>
              <w:top w:val="nil"/>
              <w:left w:val="nil"/>
              <w:bottom w:val="single" w:sz="4" w:space="0" w:color="auto"/>
              <w:right w:val="single" w:sz="4" w:space="0" w:color="auto"/>
            </w:tcBorders>
            <w:shd w:val="clear" w:color="000000" w:fill="FFFFFF"/>
            <w:vAlign w:val="center"/>
            <w:hideMark/>
          </w:tcPr>
          <w:p w14:paraId="7E968C5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Financiare, Sociale</w:t>
            </w:r>
          </w:p>
        </w:tc>
      </w:tr>
      <w:tr w:rsidR="00190E59" w:rsidRPr="00190E59" w14:paraId="41D29054"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147208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24</w:t>
            </w:r>
          </w:p>
        </w:tc>
        <w:tc>
          <w:tcPr>
            <w:tcW w:w="498" w:type="pct"/>
            <w:tcBorders>
              <w:top w:val="nil"/>
              <w:left w:val="nil"/>
              <w:bottom w:val="single" w:sz="4" w:space="0" w:color="auto"/>
              <w:right w:val="single" w:sz="4" w:space="0" w:color="auto"/>
            </w:tcBorders>
            <w:shd w:val="clear" w:color="auto" w:fill="auto"/>
            <w:vAlign w:val="center"/>
            <w:hideMark/>
          </w:tcPr>
          <w:p w14:paraId="60B8985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sigurimin e detyrueshëm të banesave nga tërmetet”</w:t>
            </w:r>
          </w:p>
        </w:tc>
        <w:tc>
          <w:tcPr>
            <w:tcW w:w="447" w:type="pct"/>
            <w:tcBorders>
              <w:top w:val="nil"/>
              <w:left w:val="nil"/>
              <w:bottom w:val="single" w:sz="4" w:space="0" w:color="auto"/>
              <w:right w:val="single" w:sz="4" w:space="0" w:color="auto"/>
            </w:tcBorders>
            <w:shd w:val="clear" w:color="auto" w:fill="auto"/>
            <w:vAlign w:val="center"/>
            <w:hideMark/>
          </w:tcPr>
          <w:p w14:paraId="24BA0B2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auto" w:fill="auto"/>
            <w:vAlign w:val="center"/>
            <w:hideMark/>
          </w:tcPr>
          <w:p w14:paraId="104A386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0A617B9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58D00D7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Mbulimi humbjeve financiare të pësuara nga i siguruari, për shkak të dëmeve të drejtpërdrejta të ndodhura në pasurinë e siguruar, të shkaktuara nga ngjarjet e tërmetit; </w:t>
            </w:r>
          </w:p>
        </w:tc>
        <w:tc>
          <w:tcPr>
            <w:tcW w:w="610" w:type="pct"/>
            <w:tcBorders>
              <w:top w:val="nil"/>
              <w:left w:val="nil"/>
              <w:bottom w:val="single" w:sz="4" w:space="0" w:color="auto"/>
              <w:right w:val="single" w:sz="4" w:space="0" w:color="auto"/>
            </w:tcBorders>
            <w:shd w:val="clear" w:color="auto" w:fill="auto"/>
            <w:vAlign w:val="center"/>
            <w:hideMark/>
          </w:tcPr>
          <w:p w14:paraId="40A1DA3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Përcaktimi rregullave dhe normave për sigurimin e detyrueshëm të banesave nga tërmetet në Republikën e Shqipërisë, me qëllim mbulimin e humbjeve finaciare të pësuara nga i siguruari, për shkak të dëmeve të drejtëpërdrejta të ndodhura në pasurinë e siguruara, të shkaktuara nga ngjarjet e tërmetit sipas kritereve të përcaktuara. </w:t>
            </w:r>
          </w:p>
        </w:tc>
        <w:tc>
          <w:tcPr>
            <w:tcW w:w="461" w:type="pct"/>
            <w:tcBorders>
              <w:top w:val="nil"/>
              <w:left w:val="nil"/>
              <w:bottom w:val="single" w:sz="4" w:space="0" w:color="auto"/>
              <w:right w:val="single" w:sz="4" w:space="0" w:color="auto"/>
            </w:tcBorders>
            <w:shd w:val="clear" w:color="auto" w:fill="auto"/>
            <w:vAlign w:val="center"/>
            <w:hideMark/>
          </w:tcPr>
          <w:p w14:paraId="1C3C274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4ABA847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707978C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7F1ACA5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w:t>
            </w:r>
          </w:p>
        </w:tc>
      </w:tr>
      <w:tr w:rsidR="00190E59" w:rsidRPr="00190E59" w14:paraId="1685A3D4"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5F7BD0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25</w:t>
            </w:r>
          </w:p>
        </w:tc>
        <w:tc>
          <w:tcPr>
            <w:tcW w:w="498" w:type="pct"/>
            <w:tcBorders>
              <w:top w:val="nil"/>
              <w:left w:val="nil"/>
              <w:bottom w:val="single" w:sz="4" w:space="0" w:color="auto"/>
              <w:right w:val="single" w:sz="4" w:space="0" w:color="auto"/>
            </w:tcBorders>
            <w:shd w:val="clear" w:color="auto" w:fill="auto"/>
            <w:vAlign w:val="center"/>
            <w:hideMark/>
          </w:tcPr>
          <w:p w14:paraId="4C1CBA6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 “Për taksën mbi pasurinë e paluajtshme”</w:t>
            </w:r>
          </w:p>
        </w:tc>
        <w:tc>
          <w:tcPr>
            <w:tcW w:w="447" w:type="pct"/>
            <w:tcBorders>
              <w:top w:val="nil"/>
              <w:left w:val="nil"/>
              <w:bottom w:val="single" w:sz="4" w:space="0" w:color="auto"/>
              <w:right w:val="single" w:sz="4" w:space="0" w:color="auto"/>
            </w:tcBorders>
            <w:shd w:val="clear" w:color="auto" w:fill="auto"/>
            <w:vAlign w:val="center"/>
            <w:hideMark/>
          </w:tcPr>
          <w:p w14:paraId="0528902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auto" w:fill="auto"/>
            <w:vAlign w:val="center"/>
            <w:hideMark/>
          </w:tcPr>
          <w:p w14:paraId="002E4C7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0B37F1C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7C425D5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1-Reformimi i sistemit të taksimit të pasurive të paluajtshme në Shqipëri;  2-Ndërtimi i një sistemi modern, funksional, transparent dhe të qëndrueshëm për taksimin e pasurive të paluajtshme, bazuar në vlerën e tyre të tregut; 3-Rritja e nivelit aktual të të ardhurave nga taksa e pasurisë dhe garantimi në njëjtën kohë, më shumë drejtësi për taksapaguesit e më pak kosto për administrimin e taksës.</w:t>
            </w:r>
          </w:p>
        </w:tc>
        <w:tc>
          <w:tcPr>
            <w:tcW w:w="610" w:type="pct"/>
            <w:tcBorders>
              <w:top w:val="nil"/>
              <w:left w:val="nil"/>
              <w:bottom w:val="single" w:sz="4" w:space="0" w:color="auto"/>
              <w:right w:val="single" w:sz="4" w:space="0" w:color="auto"/>
            </w:tcBorders>
            <w:shd w:val="clear" w:color="auto" w:fill="auto"/>
            <w:vAlign w:val="center"/>
            <w:hideMark/>
          </w:tcPr>
          <w:p w14:paraId="1904C8B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Ky projektlligj ka për objekt përcaktimin e:  1. Rregullave dhe procedurave themelore për administrimin e taksës mbi pasurinë e paluajtshme, të bazuar në vlerën e tregut të pasurisë së paluajtshme (këtu e më tej taksa e pasurisë) ; 2. Rregullave dhe procedurave themelore për administrimin, për një periudhë kalimtare, të taksës mbi ndërtesën të bazuar në vlerë,  si dhe taksave mbi tokën bujqësore dhe truallin, të bazuara në sipërfaqen e pasurive të paluajtshme;  3. Autoriteteve përgjegjëse për administrimin e taksave,të sipërpërmendura  dhe vlerësimin e pasurive të paluajtshme.</w:t>
            </w:r>
          </w:p>
        </w:tc>
        <w:tc>
          <w:tcPr>
            <w:tcW w:w="461" w:type="pct"/>
            <w:tcBorders>
              <w:top w:val="nil"/>
              <w:left w:val="nil"/>
              <w:bottom w:val="single" w:sz="4" w:space="0" w:color="auto"/>
              <w:right w:val="single" w:sz="4" w:space="0" w:color="auto"/>
            </w:tcBorders>
            <w:shd w:val="clear" w:color="auto" w:fill="auto"/>
            <w:vAlign w:val="center"/>
            <w:hideMark/>
          </w:tcPr>
          <w:p w14:paraId="6794DC7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54DB703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016DC34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Draft-Strategjia Kombëtare për Zhvillim dhe Integrim Evropian 2021-2030 (SKZHIE III); Programi i Reformave Ekonomike 2023-2025;Strategjia Per Menaxhimin e Financave Publike; Strategjia Afatmesme e të Ardhurave 2022-2026; Strategjia Ndërsektoriale për Decentralizimin dhe Qeverisjen Vendore, 2023-2030; </w:t>
            </w:r>
          </w:p>
        </w:tc>
        <w:tc>
          <w:tcPr>
            <w:tcW w:w="447" w:type="pct"/>
            <w:tcBorders>
              <w:top w:val="nil"/>
              <w:left w:val="nil"/>
              <w:bottom w:val="single" w:sz="4" w:space="0" w:color="auto"/>
              <w:right w:val="single" w:sz="4" w:space="0" w:color="auto"/>
            </w:tcBorders>
            <w:shd w:val="clear" w:color="auto" w:fill="auto"/>
            <w:vAlign w:val="center"/>
            <w:hideMark/>
          </w:tcPr>
          <w:p w14:paraId="6AE962F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Ndikime ekonomike - Po; Ndikime financiare - Po</w:t>
            </w:r>
          </w:p>
        </w:tc>
      </w:tr>
      <w:tr w:rsidR="00190E59" w:rsidRPr="00190E59" w14:paraId="01AAD1C3"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FEAA6C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26</w:t>
            </w:r>
          </w:p>
        </w:tc>
        <w:tc>
          <w:tcPr>
            <w:tcW w:w="498" w:type="pct"/>
            <w:tcBorders>
              <w:top w:val="nil"/>
              <w:left w:val="nil"/>
              <w:bottom w:val="single" w:sz="4" w:space="0" w:color="auto"/>
              <w:right w:val="single" w:sz="4" w:space="0" w:color="auto"/>
            </w:tcBorders>
            <w:shd w:val="clear" w:color="auto" w:fill="auto"/>
            <w:vAlign w:val="center"/>
            <w:hideMark/>
          </w:tcPr>
          <w:p w14:paraId="080DD57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krijimin e bazës së të dhënave te strehimit social ne nivel kombetar"</w:t>
            </w:r>
          </w:p>
        </w:tc>
        <w:tc>
          <w:tcPr>
            <w:tcW w:w="447" w:type="pct"/>
            <w:tcBorders>
              <w:top w:val="nil"/>
              <w:left w:val="nil"/>
              <w:bottom w:val="single" w:sz="4" w:space="0" w:color="auto"/>
              <w:right w:val="single" w:sz="4" w:space="0" w:color="auto"/>
            </w:tcBorders>
            <w:shd w:val="clear" w:color="auto" w:fill="auto"/>
            <w:vAlign w:val="center"/>
            <w:hideMark/>
          </w:tcPr>
          <w:p w14:paraId="15C2617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5D22C18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1967AFC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39CEA38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Qëllimi i këtij projektvendimi është ngritjën e bazës së të dhënave në nivel kombëtar dhe vendor të strehimit social e cila administrohet përkatësisht nga njësia përgjegjëse për strehimin në ministrinë përgjegjëse për strehimin dhe njësia përgjegjëse për strehimin në nivelin e vetëqeverisjes vendore. Kjo sjell pë strehimin në Republiken e Shqiperise njohjen e situatës reale dhe hartimin e politikave efektive të cilat u përgjigjen nevojave në nivel vendor. </w:t>
            </w:r>
          </w:p>
        </w:tc>
        <w:tc>
          <w:tcPr>
            <w:tcW w:w="610" w:type="pct"/>
            <w:tcBorders>
              <w:top w:val="nil"/>
              <w:left w:val="nil"/>
              <w:bottom w:val="single" w:sz="4" w:space="0" w:color="auto"/>
              <w:right w:val="single" w:sz="4" w:space="0" w:color="auto"/>
            </w:tcBorders>
            <w:shd w:val="clear" w:color="auto" w:fill="auto"/>
            <w:vAlign w:val="center"/>
            <w:hideMark/>
          </w:tcPr>
          <w:p w14:paraId="476379A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Burimi i marrjes se informacionit, te dhenat qe duhet te permbaje, institucionet qe ngarkohen per kete baze te dhenash, niveli aksesimit, dhe rezultati se cfare do te beje te mundur kjo baze te dhenash.</w:t>
            </w:r>
          </w:p>
        </w:tc>
        <w:tc>
          <w:tcPr>
            <w:tcW w:w="461" w:type="pct"/>
            <w:tcBorders>
              <w:top w:val="nil"/>
              <w:left w:val="nil"/>
              <w:bottom w:val="single" w:sz="4" w:space="0" w:color="auto"/>
              <w:right w:val="single" w:sz="4" w:space="0" w:color="auto"/>
            </w:tcBorders>
            <w:shd w:val="clear" w:color="auto" w:fill="auto"/>
            <w:vAlign w:val="center"/>
            <w:hideMark/>
          </w:tcPr>
          <w:p w14:paraId="4E3E19A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3F6B521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133A2E0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3A058AC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w:t>
            </w:r>
          </w:p>
        </w:tc>
      </w:tr>
      <w:tr w:rsidR="00190E59" w:rsidRPr="00190E59" w14:paraId="040958EF"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13DDFE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27</w:t>
            </w:r>
          </w:p>
        </w:tc>
        <w:tc>
          <w:tcPr>
            <w:tcW w:w="498" w:type="pct"/>
            <w:tcBorders>
              <w:top w:val="nil"/>
              <w:left w:val="nil"/>
              <w:bottom w:val="single" w:sz="4" w:space="0" w:color="auto"/>
              <w:right w:val="single" w:sz="4" w:space="0" w:color="auto"/>
            </w:tcBorders>
            <w:shd w:val="clear" w:color="auto" w:fill="auto"/>
            <w:vAlign w:val="center"/>
            <w:hideMark/>
          </w:tcPr>
          <w:p w14:paraId="0DC3BEB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kriteret dhe procedurat për dhënien e pronës me qera, enfiteozë, leasing, përdorimit,  transferimit, shitjes, përdorimit si kolateral ose të përdorimit në forma të tjera nga ana e Koorporatës së Investimeve Shqiptare”</w:t>
            </w:r>
          </w:p>
        </w:tc>
        <w:tc>
          <w:tcPr>
            <w:tcW w:w="447" w:type="pct"/>
            <w:tcBorders>
              <w:top w:val="nil"/>
              <w:left w:val="nil"/>
              <w:bottom w:val="single" w:sz="4" w:space="0" w:color="auto"/>
              <w:right w:val="single" w:sz="4" w:space="0" w:color="auto"/>
            </w:tcBorders>
            <w:shd w:val="clear" w:color="auto" w:fill="auto"/>
            <w:vAlign w:val="center"/>
            <w:hideMark/>
          </w:tcPr>
          <w:p w14:paraId="297877D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0D9ACC5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069D55B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5CEECF0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Qëllimi është përcaktimi i kritereve dhe procedurave për dhënien e pronës me qera, enfiteozë, leasing, përdorimit, transferimit, shitjes, përdorimit si kolateral ose të përdorimit në forma të tjera nga ana e Koorporatë së Investimeve Shqiptare. </w:t>
            </w:r>
          </w:p>
        </w:tc>
        <w:tc>
          <w:tcPr>
            <w:tcW w:w="610" w:type="pct"/>
            <w:tcBorders>
              <w:top w:val="nil"/>
              <w:left w:val="nil"/>
              <w:bottom w:val="single" w:sz="4" w:space="0" w:color="auto"/>
              <w:right w:val="single" w:sz="4" w:space="0" w:color="auto"/>
            </w:tcBorders>
            <w:shd w:val="clear" w:color="auto" w:fill="auto"/>
            <w:vAlign w:val="center"/>
            <w:hideMark/>
          </w:tcPr>
          <w:p w14:paraId="5088650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Përcaktimi i kritereve dhe procedurave për dhënien e pronës me qera, enfiteozë, leasing, përdorimit, transferimit, shitjes, përdorimit si kolateral ose të përdorimit në forma të tjera nga ana e Koorporatë së Investimeve Shqiptare. enfiteozë, leasing, përdorimit </w:t>
            </w:r>
          </w:p>
        </w:tc>
        <w:tc>
          <w:tcPr>
            <w:tcW w:w="461" w:type="pct"/>
            <w:tcBorders>
              <w:top w:val="nil"/>
              <w:left w:val="nil"/>
              <w:bottom w:val="single" w:sz="4" w:space="0" w:color="auto"/>
              <w:right w:val="single" w:sz="4" w:space="0" w:color="auto"/>
            </w:tcBorders>
            <w:shd w:val="clear" w:color="auto" w:fill="auto"/>
            <w:vAlign w:val="center"/>
            <w:hideMark/>
          </w:tcPr>
          <w:p w14:paraId="1B98AD9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4B4735F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05EF327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446F7C8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5F84052C"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75A56F0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28</w:t>
            </w:r>
          </w:p>
        </w:tc>
        <w:tc>
          <w:tcPr>
            <w:tcW w:w="498" w:type="pct"/>
            <w:tcBorders>
              <w:top w:val="nil"/>
              <w:left w:val="nil"/>
              <w:bottom w:val="single" w:sz="4" w:space="0" w:color="auto"/>
              <w:right w:val="single" w:sz="4" w:space="0" w:color="auto"/>
            </w:tcBorders>
            <w:shd w:val="clear" w:color="000000" w:fill="FFFFFF"/>
            <w:vAlign w:val="center"/>
            <w:hideMark/>
          </w:tcPr>
          <w:p w14:paraId="66A19E8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shpërblimin e pensionistëve për festat e fundvitit, 2024 "</w:t>
            </w:r>
          </w:p>
        </w:tc>
        <w:tc>
          <w:tcPr>
            <w:tcW w:w="447" w:type="pct"/>
            <w:tcBorders>
              <w:top w:val="nil"/>
              <w:left w:val="nil"/>
              <w:bottom w:val="single" w:sz="4" w:space="0" w:color="auto"/>
              <w:right w:val="single" w:sz="4" w:space="0" w:color="auto"/>
            </w:tcBorders>
            <w:shd w:val="clear" w:color="auto" w:fill="auto"/>
            <w:vAlign w:val="center"/>
            <w:hideMark/>
          </w:tcPr>
          <w:p w14:paraId="614BC7C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333B3D1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Ministri Financave dhe Ekonomise </w:t>
            </w:r>
          </w:p>
        </w:tc>
        <w:tc>
          <w:tcPr>
            <w:tcW w:w="386" w:type="pct"/>
            <w:tcBorders>
              <w:top w:val="nil"/>
              <w:left w:val="nil"/>
              <w:bottom w:val="single" w:sz="4" w:space="0" w:color="auto"/>
              <w:right w:val="single" w:sz="4" w:space="0" w:color="auto"/>
            </w:tcBorders>
            <w:shd w:val="clear" w:color="auto" w:fill="auto"/>
            <w:vAlign w:val="center"/>
            <w:hideMark/>
          </w:tcPr>
          <w:p w14:paraId="02A3462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4CC6A20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Shpërblimi i pensionistëve për festat e fundvitit, 2024</w:t>
            </w:r>
          </w:p>
        </w:tc>
        <w:tc>
          <w:tcPr>
            <w:tcW w:w="610" w:type="pct"/>
            <w:tcBorders>
              <w:top w:val="nil"/>
              <w:left w:val="nil"/>
              <w:bottom w:val="single" w:sz="4" w:space="0" w:color="auto"/>
              <w:right w:val="single" w:sz="4" w:space="0" w:color="auto"/>
            </w:tcBorders>
            <w:shd w:val="clear" w:color="auto" w:fill="auto"/>
            <w:vAlign w:val="center"/>
            <w:hideMark/>
          </w:tcPr>
          <w:p w14:paraId="7B43B7C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Masa e shpërblimit të pensionistëve</w:t>
            </w:r>
          </w:p>
        </w:tc>
        <w:tc>
          <w:tcPr>
            <w:tcW w:w="461" w:type="pct"/>
            <w:tcBorders>
              <w:top w:val="nil"/>
              <w:left w:val="nil"/>
              <w:bottom w:val="single" w:sz="4" w:space="0" w:color="auto"/>
              <w:right w:val="single" w:sz="4" w:space="0" w:color="auto"/>
            </w:tcBorders>
            <w:shd w:val="clear" w:color="auto" w:fill="auto"/>
            <w:vAlign w:val="center"/>
            <w:hideMark/>
          </w:tcPr>
          <w:p w14:paraId="6FEEED3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3C103F2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Kujdesi per te moshuarit dhe qytetaret ne nevoje</w:t>
            </w:r>
          </w:p>
        </w:tc>
        <w:tc>
          <w:tcPr>
            <w:tcW w:w="473" w:type="pct"/>
            <w:tcBorders>
              <w:top w:val="nil"/>
              <w:left w:val="nil"/>
              <w:bottom w:val="single" w:sz="4" w:space="0" w:color="auto"/>
              <w:right w:val="single" w:sz="4" w:space="0" w:color="auto"/>
            </w:tcBorders>
            <w:shd w:val="clear" w:color="auto" w:fill="auto"/>
            <w:vAlign w:val="center"/>
            <w:hideMark/>
          </w:tcPr>
          <w:p w14:paraId="5653E76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6BE2312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Financiare, Sociale</w:t>
            </w:r>
          </w:p>
        </w:tc>
      </w:tr>
      <w:tr w:rsidR="00190E59" w:rsidRPr="00190E59" w14:paraId="4A7F9865"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66C753C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29</w:t>
            </w:r>
          </w:p>
        </w:tc>
        <w:tc>
          <w:tcPr>
            <w:tcW w:w="498" w:type="pct"/>
            <w:tcBorders>
              <w:top w:val="nil"/>
              <w:left w:val="nil"/>
              <w:bottom w:val="single" w:sz="4" w:space="0" w:color="auto"/>
              <w:right w:val="single" w:sz="4" w:space="0" w:color="auto"/>
            </w:tcBorders>
            <w:shd w:val="clear" w:color="auto" w:fill="auto"/>
            <w:vAlign w:val="center"/>
            <w:hideMark/>
          </w:tcPr>
          <w:p w14:paraId="07E50D1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 "Per miratimin dhe publikimin zyrtar te Nomenklaurës së Kombinuar të Mallrave 2025"</w:t>
            </w:r>
          </w:p>
        </w:tc>
        <w:tc>
          <w:tcPr>
            <w:tcW w:w="447" w:type="pct"/>
            <w:tcBorders>
              <w:top w:val="nil"/>
              <w:left w:val="nil"/>
              <w:bottom w:val="single" w:sz="4" w:space="0" w:color="auto"/>
              <w:right w:val="single" w:sz="4" w:space="0" w:color="auto"/>
            </w:tcBorders>
            <w:shd w:val="clear" w:color="auto" w:fill="auto"/>
            <w:vAlign w:val="center"/>
            <w:hideMark/>
          </w:tcPr>
          <w:p w14:paraId="793446D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658E2F8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1AC2E38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419E96F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Përditësimi i Nomenklaturës së Kombinuar të Mallrave, sipas versionit të Bashkimit Evropian. Në datë 1 janar 2025 Administrata Doganore Shqiptare duhet të zbatojë të njejtën Nomenklaturë Mallrash si Bashkimi Evropian. Në bazë të kësaj Nomenkalture zbatohen nivelet kombetare të tarifes doganore, Marrëveshja e Stabilizim Asociimit, Marrëveshja Interim si dhe Marrëveshjet e Tregtisë së Lirë. </w:t>
            </w:r>
          </w:p>
        </w:tc>
        <w:tc>
          <w:tcPr>
            <w:tcW w:w="610" w:type="pct"/>
            <w:tcBorders>
              <w:top w:val="nil"/>
              <w:left w:val="nil"/>
              <w:bottom w:val="single" w:sz="4" w:space="0" w:color="auto"/>
              <w:right w:val="single" w:sz="4" w:space="0" w:color="auto"/>
            </w:tcBorders>
            <w:shd w:val="clear" w:color="auto" w:fill="auto"/>
            <w:vAlign w:val="center"/>
            <w:hideMark/>
          </w:tcPr>
          <w:p w14:paraId="7C11758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Zbatimin e saktë të: niveleve të tarifës doganore, Marrëveshjes së Stabilizim Asociimit dhe Marreveshjeve të Tregetisë së Lirë; Shkembimin e informacionit me autoritetet doganore evropiane si dhe lehtësimin e raportimeve statistikore dhe procedurave doganore për shkembimet tregtare me vendet e BE.</w:t>
            </w:r>
          </w:p>
        </w:tc>
        <w:tc>
          <w:tcPr>
            <w:tcW w:w="461" w:type="pct"/>
            <w:tcBorders>
              <w:top w:val="nil"/>
              <w:left w:val="nil"/>
              <w:bottom w:val="single" w:sz="4" w:space="0" w:color="auto"/>
              <w:right w:val="single" w:sz="4" w:space="0" w:color="auto"/>
            </w:tcBorders>
            <w:shd w:val="clear" w:color="auto" w:fill="auto"/>
            <w:vAlign w:val="center"/>
            <w:hideMark/>
          </w:tcPr>
          <w:p w14:paraId="44D70EB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Kapitulli 29. Projektvendim “Për miratimin dhe publikimin zyrtar të Nomenklaturës së Kombinuar të mallrave 2025”</w:t>
            </w:r>
          </w:p>
        </w:tc>
        <w:tc>
          <w:tcPr>
            <w:tcW w:w="557" w:type="pct"/>
            <w:tcBorders>
              <w:top w:val="nil"/>
              <w:left w:val="nil"/>
              <w:bottom w:val="single" w:sz="4" w:space="0" w:color="auto"/>
              <w:right w:val="single" w:sz="4" w:space="0" w:color="auto"/>
            </w:tcBorders>
            <w:shd w:val="clear" w:color="auto" w:fill="auto"/>
            <w:vAlign w:val="center"/>
            <w:hideMark/>
          </w:tcPr>
          <w:p w14:paraId="095D602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Në rubriken "Integrimi europian " përcaktohet që Programi  qeverisës për integrimin europian 2021-2025 synon që Shqiperia të ecë edhe më shpejt, me qëllim që qytetarët  të shohin një datë të qartë se kur i gjithë ky proces mund të finalizohet me Shqipërinë si një vend anëtar të Bashkimit Europian.</w:t>
            </w:r>
          </w:p>
        </w:tc>
        <w:tc>
          <w:tcPr>
            <w:tcW w:w="473" w:type="pct"/>
            <w:tcBorders>
              <w:top w:val="nil"/>
              <w:left w:val="nil"/>
              <w:bottom w:val="single" w:sz="4" w:space="0" w:color="auto"/>
              <w:right w:val="single" w:sz="4" w:space="0" w:color="auto"/>
            </w:tcBorders>
            <w:shd w:val="clear" w:color="auto" w:fill="auto"/>
            <w:vAlign w:val="center"/>
            <w:hideMark/>
          </w:tcPr>
          <w:p w14:paraId="5E3F46F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3C92101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122FC0B2"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1C063F5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30</w:t>
            </w:r>
          </w:p>
        </w:tc>
        <w:tc>
          <w:tcPr>
            <w:tcW w:w="498" w:type="pct"/>
            <w:tcBorders>
              <w:top w:val="nil"/>
              <w:left w:val="nil"/>
              <w:bottom w:val="single" w:sz="4" w:space="0" w:color="auto"/>
              <w:right w:val="single" w:sz="4" w:space="0" w:color="auto"/>
            </w:tcBorders>
            <w:shd w:val="clear" w:color="000000" w:fill="FFFFFF"/>
            <w:vAlign w:val="center"/>
            <w:hideMark/>
          </w:tcPr>
          <w:p w14:paraId="36B8047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"Për përcaktimin e rregullave të  posacme për miratimin e dokumentit të pronësisë për banesat e ndërtuara me fonde publike" </w:t>
            </w:r>
          </w:p>
        </w:tc>
        <w:tc>
          <w:tcPr>
            <w:tcW w:w="447" w:type="pct"/>
            <w:tcBorders>
              <w:top w:val="nil"/>
              <w:left w:val="nil"/>
              <w:bottom w:val="single" w:sz="4" w:space="0" w:color="auto"/>
              <w:right w:val="single" w:sz="4" w:space="0" w:color="auto"/>
            </w:tcBorders>
            <w:shd w:val="clear" w:color="auto" w:fill="auto"/>
            <w:vAlign w:val="center"/>
            <w:hideMark/>
          </w:tcPr>
          <w:p w14:paraId="4C8FC3E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425B9F7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Ministri Financave dhe Ekonomisë </w:t>
            </w:r>
          </w:p>
        </w:tc>
        <w:tc>
          <w:tcPr>
            <w:tcW w:w="386" w:type="pct"/>
            <w:tcBorders>
              <w:top w:val="nil"/>
              <w:left w:val="nil"/>
              <w:bottom w:val="single" w:sz="4" w:space="0" w:color="auto"/>
              <w:right w:val="single" w:sz="4" w:space="0" w:color="auto"/>
            </w:tcBorders>
            <w:shd w:val="clear" w:color="auto" w:fill="auto"/>
            <w:vAlign w:val="center"/>
            <w:hideMark/>
          </w:tcPr>
          <w:p w14:paraId="50010ED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53A4197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Qëllimi është përcaktimi I rregullave të posacme lidhur me miratimin e dokumentit të pronësisë për banesat e ndërtuara me fonde publike </w:t>
            </w:r>
          </w:p>
        </w:tc>
        <w:tc>
          <w:tcPr>
            <w:tcW w:w="610" w:type="pct"/>
            <w:tcBorders>
              <w:top w:val="nil"/>
              <w:left w:val="nil"/>
              <w:bottom w:val="single" w:sz="4" w:space="0" w:color="auto"/>
              <w:right w:val="single" w:sz="4" w:space="0" w:color="auto"/>
            </w:tcBorders>
            <w:shd w:val="clear" w:color="auto" w:fill="auto"/>
            <w:vAlign w:val="center"/>
            <w:hideMark/>
          </w:tcPr>
          <w:p w14:paraId="5970BFC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Përcaktohen rregullat e posacme lidhur me miratimin e dokumentit të pronësisë për banesat e ndërtuara me fonde publike </w:t>
            </w:r>
          </w:p>
        </w:tc>
        <w:tc>
          <w:tcPr>
            <w:tcW w:w="461" w:type="pct"/>
            <w:tcBorders>
              <w:top w:val="nil"/>
              <w:left w:val="nil"/>
              <w:bottom w:val="single" w:sz="4" w:space="0" w:color="auto"/>
              <w:right w:val="single" w:sz="4" w:space="0" w:color="auto"/>
            </w:tcBorders>
            <w:shd w:val="clear" w:color="auto" w:fill="auto"/>
            <w:vAlign w:val="center"/>
            <w:hideMark/>
          </w:tcPr>
          <w:p w14:paraId="5579B97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39CDD0D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27D1BF8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34ADFF8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57B51AA8"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4D00356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31</w:t>
            </w:r>
          </w:p>
        </w:tc>
        <w:tc>
          <w:tcPr>
            <w:tcW w:w="498" w:type="pct"/>
            <w:tcBorders>
              <w:top w:val="nil"/>
              <w:left w:val="nil"/>
              <w:bottom w:val="single" w:sz="4" w:space="0" w:color="auto"/>
              <w:right w:val="single" w:sz="4" w:space="0" w:color="auto"/>
            </w:tcBorders>
            <w:shd w:val="clear" w:color="auto" w:fill="auto"/>
            <w:vAlign w:val="center"/>
            <w:hideMark/>
          </w:tcPr>
          <w:p w14:paraId="1C0E320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disa shtesa dhe ndryshime në vendimin nr. 548, datë 27.7.2016, të Këshillit të Ministrave “Për miratimin e kritereve, të rregullave e procedurave për përfitimin e pensioneve shtetërore suplementare të personave që kryejnë funksione kushtetuese dhe të punonjësve të shtetit”, të ndryshuar.</w:t>
            </w:r>
          </w:p>
        </w:tc>
        <w:tc>
          <w:tcPr>
            <w:tcW w:w="447" w:type="pct"/>
            <w:tcBorders>
              <w:top w:val="nil"/>
              <w:left w:val="nil"/>
              <w:bottom w:val="single" w:sz="4" w:space="0" w:color="auto"/>
              <w:right w:val="single" w:sz="4" w:space="0" w:color="auto"/>
            </w:tcBorders>
            <w:shd w:val="clear" w:color="auto" w:fill="auto"/>
            <w:vAlign w:val="center"/>
            <w:hideMark/>
          </w:tcPr>
          <w:p w14:paraId="67A1D61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469EF5E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5B4BF4E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0BFE5FC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Qëllimi i këtij projektvendimi është përfshirja e nëpunësve të lartë të shtetit nëpërmjet shtimit të një institucioni, njehsimi i pozicioneve të bankave të nivelit të dytë, njësimi i funksioneve me pozicionet aktuale si dhe njehsimi i pozicioneve të ish Institutit të Sigurimeve në</w:t>
            </w:r>
            <w:r w:rsidRPr="00190E59">
              <w:rPr>
                <w:rFonts w:ascii="Arial" w:eastAsia="Times New Roman" w:hAnsi="Arial" w:cs="Arial"/>
                <w:b/>
                <w:bCs/>
                <w:color w:val="000000"/>
                <w:sz w:val="12"/>
                <w:szCs w:val="12"/>
                <w:bdr w:val="none" w:sz="0" w:space="0" w:color="auto"/>
              </w:rPr>
              <w:t xml:space="preserve"> </w:t>
            </w:r>
            <w:r w:rsidRPr="00190E59">
              <w:rPr>
                <w:rFonts w:ascii="Arial" w:eastAsia="Times New Roman" w:hAnsi="Arial" w:cs="Arial"/>
                <w:color w:val="000000"/>
                <w:sz w:val="12"/>
                <w:szCs w:val="12"/>
                <w:bdr w:val="none" w:sz="0" w:space="0" w:color="auto"/>
              </w:rPr>
              <w:t>skemën e pensioneve suplementare bazuar ligjin nr. 8097, datë 21.03.1996 “Për pensionet shtetërore suplementare të personave që kryejnë funksione kushtetuese dhe të punonjësve të shtetit”, i ndryshuar.</w:t>
            </w:r>
          </w:p>
        </w:tc>
        <w:tc>
          <w:tcPr>
            <w:tcW w:w="610" w:type="pct"/>
            <w:tcBorders>
              <w:top w:val="nil"/>
              <w:left w:val="nil"/>
              <w:bottom w:val="single" w:sz="4" w:space="0" w:color="auto"/>
              <w:right w:val="single" w:sz="4" w:space="0" w:color="auto"/>
            </w:tcBorders>
            <w:shd w:val="clear" w:color="auto" w:fill="auto"/>
            <w:vAlign w:val="center"/>
            <w:hideMark/>
          </w:tcPr>
          <w:p w14:paraId="38AC97A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Njehsimi i pozicioneve të bankave të nivelit të dytë, njësimi i funksioneve me pozicionet aktuale si dhe njehsimi i pozicioneve të ish Institutit të Sigurimeve në skemën e pensioneve suplementare bazuar ligjin nr. 8097, datë 21.03.1996 </w:t>
            </w:r>
          </w:p>
        </w:tc>
        <w:tc>
          <w:tcPr>
            <w:tcW w:w="461" w:type="pct"/>
            <w:tcBorders>
              <w:top w:val="nil"/>
              <w:left w:val="nil"/>
              <w:bottom w:val="single" w:sz="4" w:space="0" w:color="auto"/>
              <w:right w:val="single" w:sz="4" w:space="0" w:color="auto"/>
            </w:tcBorders>
            <w:shd w:val="clear" w:color="auto" w:fill="auto"/>
            <w:vAlign w:val="center"/>
            <w:hideMark/>
          </w:tcPr>
          <w:p w14:paraId="5041C28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05D049A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22A63D4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5E89635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w:t>
            </w:r>
          </w:p>
        </w:tc>
      </w:tr>
      <w:tr w:rsidR="00190E59" w:rsidRPr="00190E59" w14:paraId="5B93043A"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59CC8A4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32</w:t>
            </w:r>
          </w:p>
        </w:tc>
        <w:tc>
          <w:tcPr>
            <w:tcW w:w="498" w:type="pct"/>
            <w:tcBorders>
              <w:top w:val="nil"/>
              <w:left w:val="nil"/>
              <w:bottom w:val="single" w:sz="4" w:space="0" w:color="auto"/>
              <w:right w:val="single" w:sz="4" w:space="0" w:color="auto"/>
            </w:tcBorders>
            <w:shd w:val="clear" w:color="FFFFFF" w:fill="FFFFFF"/>
            <w:vAlign w:val="center"/>
            <w:hideMark/>
          </w:tcPr>
          <w:p w14:paraId="16E0B6A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miratimin e dokumentit të programit buxhetor afatmesëm 2025-2027, te rishikuar"</w:t>
            </w:r>
          </w:p>
        </w:tc>
        <w:tc>
          <w:tcPr>
            <w:tcW w:w="447" w:type="pct"/>
            <w:tcBorders>
              <w:top w:val="nil"/>
              <w:left w:val="nil"/>
              <w:bottom w:val="single" w:sz="4" w:space="0" w:color="auto"/>
              <w:right w:val="single" w:sz="4" w:space="0" w:color="auto"/>
            </w:tcBorders>
            <w:shd w:val="clear" w:color="auto" w:fill="auto"/>
            <w:vAlign w:val="center"/>
            <w:hideMark/>
          </w:tcPr>
          <w:p w14:paraId="45CD0D9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Projektvendim</w:t>
            </w:r>
          </w:p>
        </w:tc>
        <w:tc>
          <w:tcPr>
            <w:tcW w:w="370" w:type="pct"/>
            <w:tcBorders>
              <w:top w:val="nil"/>
              <w:left w:val="nil"/>
              <w:bottom w:val="single" w:sz="4" w:space="0" w:color="auto"/>
              <w:right w:val="single" w:sz="4" w:space="0" w:color="auto"/>
            </w:tcBorders>
            <w:shd w:val="clear" w:color="auto" w:fill="auto"/>
            <w:vAlign w:val="center"/>
            <w:hideMark/>
          </w:tcPr>
          <w:p w14:paraId="668F7EF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2A07E35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0BAA41C0"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Projektakt i pervitshem sipas percaktimeve te Ligjit nr.9936 datë 26.06.2008 “Për menaxhimin e sistemit buxhetor në Republikën e Shqipërisë”i ndryshuar</w:t>
            </w:r>
          </w:p>
        </w:tc>
        <w:tc>
          <w:tcPr>
            <w:tcW w:w="610" w:type="pct"/>
            <w:tcBorders>
              <w:top w:val="nil"/>
              <w:left w:val="nil"/>
              <w:bottom w:val="single" w:sz="4" w:space="0" w:color="auto"/>
              <w:right w:val="single" w:sz="4" w:space="0" w:color="auto"/>
            </w:tcBorders>
            <w:shd w:val="clear" w:color="auto" w:fill="auto"/>
            <w:vAlign w:val="center"/>
            <w:hideMark/>
          </w:tcPr>
          <w:p w14:paraId="1DA929D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 xml:space="preserve">Dokument informues, i cili paraqet ne menyre te detajuar kotimin e politikave publike dhe refomave strukturore deri ne nivel produkti, te shoqeruar ne cdo rast me KPI ne nivel qellimi dhe objektivi, per te gjitha Ministrite e Linjes dhe Institucionet e tjera buxhetore, ne zbatim dhe perputhje plote me tavanrt  buxhetore perfundimtare te miratuara.  </w:t>
            </w:r>
          </w:p>
        </w:tc>
        <w:tc>
          <w:tcPr>
            <w:tcW w:w="461" w:type="pct"/>
            <w:tcBorders>
              <w:top w:val="nil"/>
              <w:left w:val="nil"/>
              <w:bottom w:val="single" w:sz="4" w:space="0" w:color="auto"/>
              <w:right w:val="single" w:sz="4" w:space="0" w:color="auto"/>
            </w:tcBorders>
            <w:shd w:val="clear" w:color="auto" w:fill="auto"/>
            <w:vAlign w:val="center"/>
            <w:hideMark/>
          </w:tcPr>
          <w:p w14:paraId="7DB79EDB"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Jo</w:t>
            </w:r>
          </w:p>
        </w:tc>
        <w:tc>
          <w:tcPr>
            <w:tcW w:w="557" w:type="pct"/>
            <w:tcBorders>
              <w:top w:val="nil"/>
              <w:left w:val="nil"/>
              <w:bottom w:val="single" w:sz="4" w:space="0" w:color="auto"/>
              <w:right w:val="single" w:sz="4" w:space="0" w:color="auto"/>
            </w:tcBorders>
            <w:shd w:val="clear" w:color="auto" w:fill="auto"/>
            <w:vAlign w:val="center"/>
            <w:hideMark/>
          </w:tcPr>
          <w:p w14:paraId="085631C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6DC00FE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vAlign w:val="center"/>
            <w:hideMark/>
          </w:tcPr>
          <w:p w14:paraId="7C30149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r w:rsidR="00190E59" w:rsidRPr="00190E59" w14:paraId="5E7752F3"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32160C6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33</w:t>
            </w:r>
          </w:p>
        </w:tc>
        <w:tc>
          <w:tcPr>
            <w:tcW w:w="498" w:type="pct"/>
            <w:tcBorders>
              <w:top w:val="nil"/>
              <w:left w:val="nil"/>
              <w:bottom w:val="single" w:sz="4" w:space="0" w:color="auto"/>
              <w:right w:val="single" w:sz="4" w:space="0" w:color="auto"/>
            </w:tcBorders>
            <w:shd w:val="clear" w:color="auto" w:fill="auto"/>
            <w:vAlign w:val="center"/>
            <w:hideMark/>
          </w:tcPr>
          <w:p w14:paraId="12E66B0A"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 disa shtesa dhe ndryshime në Ligjin nr. 52, datë 22.05.2014 "Për veprimtarinë e sigurimit dhe risigurimit"</w:t>
            </w:r>
          </w:p>
        </w:tc>
        <w:tc>
          <w:tcPr>
            <w:tcW w:w="447" w:type="pct"/>
            <w:tcBorders>
              <w:top w:val="nil"/>
              <w:left w:val="nil"/>
              <w:bottom w:val="single" w:sz="4" w:space="0" w:color="auto"/>
              <w:right w:val="single" w:sz="4" w:space="0" w:color="auto"/>
            </w:tcBorders>
            <w:shd w:val="clear" w:color="auto" w:fill="auto"/>
            <w:vAlign w:val="center"/>
            <w:hideMark/>
          </w:tcPr>
          <w:p w14:paraId="2CA52B23"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Projektligj</w:t>
            </w:r>
          </w:p>
        </w:tc>
        <w:tc>
          <w:tcPr>
            <w:tcW w:w="370" w:type="pct"/>
            <w:tcBorders>
              <w:top w:val="nil"/>
              <w:left w:val="nil"/>
              <w:bottom w:val="single" w:sz="4" w:space="0" w:color="auto"/>
              <w:right w:val="single" w:sz="4" w:space="0" w:color="auto"/>
            </w:tcBorders>
            <w:shd w:val="clear" w:color="auto" w:fill="auto"/>
            <w:vAlign w:val="center"/>
            <w:hideMark/>
          </w:tcPr>
          <w:p w14:paraId="5774A2A6"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Ministria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3090985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90E59">
              <w:rPr>
                <w:rFonts w:ascii="Arial" w:eastAsia="Times New Roman" w:hAnsi="Arial" w:cs="Arial"/>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center"/>
            <w:hideMark/>
          </w:tcPr>
          <w:p w14:paraId="363119D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Avancim drejt harmonizimit me direktivën Solvency II dhe direktivat e tjera</w:t>
            </w:r>
          </w:p>
        </w:tc>
        <w:tc>
          <w:tcPr>
            <w:tcW w:w="610" w:type="pct"/>
            <w:tcBorders>
              <w:top w:val="nil"/>
              <w:left w:val="nil"/>
              <w:bottom w:val="single" w:sz="4" w:space="0" w:color="auto"/>
              <w:right w:val="single" w:sz="4" w:space="0" w:color="auto"/>
            </w:tcBorders>
            <w:shd w:val="clear" w:color="auto" w:fill="auto"/>
            <w:vAlign w:val="center"/>
            <w:hideMark/>
          </w:tcPr>
          <w:p w14:paraId="14BA58CE"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Zhvillimi i mëtejshëm I ORSA-s ; Kërkesa të shtuara për mirëqeverisje;Sistemi efektiv i menaxhimit te riskut; Mbikeqyrja e grupit; Funksionet kyce</w:t>
            </w:r>
          </w:p>
        </w:tc>
        <w:tc>
          <w:tcPr>
            <w:tcW w:w="461" w:type="pct"/>
            <w:tcBorders>
              <w:top w:val="nil"/>
              <w:left w:val="nil"/>
              <w:bottom w:val="single" w:sz="4" w:space="0" w:color="auto"/>
              <w:right w:val="single" w:sz="4" w:space="0" w:color="auto"/>
            </w:tcBorders>
            <w:shd w:val="clear" w:color="auto" w:fill="auto"/>
            <w:vAlign w:val="center"/>
            <w:hideMark/>
          </w:tcPr>
          <w:p w14:paraId="4BED93A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Kapitulli 9 Shërbimet Financiare</w:t>
            </w:r>
          </w:p>
        </w:tc>
        <w:tc>
          <w:tcPr>
            <w:tcW w:w="557" w:type="pct"/>
            <w:tcBorders>
              <w:top w:val="nil"/>
              <w:left w:val="nil"/>
              <w:bottom w:val="single" w:sz="4" w:space="0" w:color="auto"/>
              <w:right w:val="single" w:sz="4" w:space="0" w:color="auto"/>
            </w:tcBorders>
            <w:shd w:val="clear" w:color="auto" w:fill="auto"/>
            <w:vAlign w:val="center"/>
            <w:hideMark/>
          </w:tcPr>
          <w:p w14:paraId="74474091"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vAlign w:val="center"/>
            <w:hideMark/>
          </w:tcPr>
          <w:p w14:paraId="6C84EA04"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Strategjia e Autoritetit të Mbikëqyrjes Financiare 2023-2027</w:t>
            </w:r>
          </w:p>
        </w:tc>
        <w:tc>
          <w:tcPr>
            <w:tcW w:w="447" w:type="pct"/>
            <w:tcBorders>
              <w:top w:val="nil"/>
              <w:left w:val="nil"/>
              <w:bottom w:val="single" w:sz="4" w:space="0" w:color="auto"/>
              <w:right w:val="single" w:sz="4" w:space="0" w:color="auto"/>
            </w:tcBorders>
            <w:shd w:val="clear" w:color="auto" w:fill="auto"/>
            <w:vAlign w:val="center"/>
            <w:hideMark/>
          </w:tcPr>
          <w:p w14:paraId="421298A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Financiare, Sociale</w:t>
            </w:r>
          </w:p>
        </w:tc>
      </w:tr>
      <w:tr w:rsidR="00190E59" w:rsidRPr="00190E59" w14:paraId="16E80973" w14:textId="77777777" w:rsidTr="00190E59">
        <w:trPr>
          <w:trHeight w:val="180"/>
        </w:trPr>
        <w:tc>
          <w:tcPr>
            <w:tcW w:w="174" w:type="pct"/>
            <w:tcBorders>
              <w:top w:val="nil"/>
              <w:left w:val="single" w:sz="4" w:space="0" w:color="auto"/>
              <w:bottom w:val="single" w:sz="4" w:space="0" w:color="auto"/>
              <w:right w:val="single" w:sz="4" w:space="0" w:color="auto"/>
            </w:tcBorders>
            <w:shd w:val="clear" w:color="auto" w:fill="auto"/>
            <w:vAlign w:val="center"/>
            <w:hideMark/>
          </w:tcPr>
          <w:p w14:paraId="22B62007"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34</w:t>
            </w:r>
          </w:p>
        </w:tc>
        <w:tc>
          <w:tcPr>
            <w:tcW w:w="498" w:type="pct"/>
            <w:tcBorders>
              <w:top w:val="nil"/>
              <w:left w:val="nil"/>
              <w:bottom w:val="single" w:sz="4" w:space="0" w:color="auto"/>
              <w:right w:val="single" w:sz="4" w:space="0" w:color="auto"/>
            </w:tcBorders>
            <w:shd w:val="clear" w:color="auto" w:fill="auto"/>
            <w:vAlign w:val="bottom"/>
            <w:hideMark/>
          </w:tcPr>
          <w:p w14:paraId="3FF767A9"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Projektligji “Për ndryshimin e ligjit nr. 125/2013, ‘Për koncesionet dhe Partneritetin Publik Privat’”</w:t>
            </w:r>
          </w:p>
        </w:tc>
        <w:tc>
          <w:tcPr>
            <w:tcW w:w="447" w:type="pct"/>
            <w:tcBorders>
              <w:top w:val="nil"/>
              <w:left w:val="nil"/>
              <w:bottom w:val="single" w:sz="4" w:space="0" w:color="auto"/>
              <w:right w:val="single" w:sz="4" w:space="0" w:color="auto"/>
            </w:tcBorders>
            <w:shd w:val="clear" w:color="auto" w:fill="auto"/>
            <w:noWrap/>
            <w:vAlign w:val="bottom"/>
            <w:hideMark/>
          </w:tcPr>
          <w:p w14:paraId="1150A44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Projektligj</w:t>
            </w:r>
          </w:p>
        </w:tc>
        <w:tc>
          <w:tcPr>
            <w:tcW w:w="370" w:type="pct"/>
            <w:tcBorders>
              <w:top w:val="nil"/>
              <w:left w:val="nil"/>
              <w:bottom w:val="single" w:sz="4" w:space="0" w:color="auto"/>
              <w:right w:val="single" w:sz="4" w:space="0" w:color="auto"/>
            </w:tcBorders>
            <w:shd w:val="clear" w:color="auto" w:fill="auto"/>
            <w:vAlign w:val="bottom"/>
            <w:hideMark/>
          </w:tcPr>
          <w:p w14:paraId="5DBBD2A5"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Ministri i Financave dhe Ekonomisë</w:t>
            </w:r>
          </w:p>
        </w:tc>
        <w:tc>
          <w:tcPr>
            <w:tcW w:w="386" w:type="pct"/>
            <w:tcBorders>
              <w:top w:val="nil"/>
              <w:left w:val="nil"/>
              <w:bottom w:val="single" w:sz="4" w:space="0" w:color="auto"/>
              <w:right w:val="single" w:sz="4" w:space="0" w:color="auto"/>
            </w:tcBorders>
            <w:shd w:val="clear" w:color="auto" w:fill="auto"/>
            <w:vAlign w:val="center"/>
            <w:hideMark/>
          </w:tcPr>
          <w:p w14:paraId="098CF862"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Katërmujori III</w:t>
            </w:r>
          </w:p>
        </w:tc>
        <w:tc>
          <w:tcPr>
            <w:tcW w:w="578" w:type="pct"/>
            <w:tcBorders>
              <w:top w:val="nil"/>
              <w:left w:val="nil"/>
              <w:bottom w:val="single" w:sz="4" w:space="0" w:color="auto"/>
              <w:right w:val="single" w:sz="4" w:space="0" w:color="auto"/>
            </w:tcBorders>
            <w:shd w:val="clear" w:color="auto" w:fill="auto"/>
            <w:vAlign w:val="bottom"/>
            <w:hideMark/>
          </w:tcPr>
          <w:p w14:paraId="0021856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Nevoja për tu përshtatur me direktivat e BE në kuadër të procesit të negociatave për anëtarësimin e Shqipërisë në BE, nevoja pwr rishikimin e këtij ligji në funksion të përmirësimit të përmbajtjes së tij dhe reflektimi i sugjerimeve të FMN dhe Bankës Botërore</w:t>
            </w:r>
          </w:p>
        </w:tc>
        <w:tc>
          <w:tcPr>
            <w:tcW w:w="610" w:type="pct"/>
            <w:tcBorders>
              <w:top w:val="nil"/>
              <w:left w:val="nil"/>
              <w:bottom w:val="single" w:sz="4" w:space="0" w:color="auto"/>
              <w:right w:val="single" w:sz="4" w:space="0" w:color="auto"/>
            </w:tcBorders>
            <w:shd w:val="clear" w:color="auto" w:fill="auto"/>
            <w:vAlign w:val="bottom"/>
            <w:hideMark/>
          </w:tcPr>
          <w:p w14:paraId="21082E18"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Përshtatja e legjislacionit në fushën e koncesioneve/PPP me Acqui Communautaire</w:t>
            </w:r>
          </w:p>
        </w:tc>
        <w:tc>
          <w:tcPr>
            <w:tcW w:w="461" w:type="pct"/>
            <w:tcBorders>
              <w:top w:val="nil"/>
              <w:left w:val="nil"/>
              <w:bottom w:val="single" w:sz="4" w:space="0" w:color="auto"/>
              <w:right w:val="single" w:sz="4" w:space="0" w:color="auto"/>
            </w:tcBorders>
            <w:shd w:val="clear" w:color="000000" w:fill="FFFFFF"/>
            <w:vAlign w:val="bottom"/>
            <w:hideMark/>
          </w:tcPr>
          <w:p w14:paraId="51DD087D"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Po është parashikuar në kapitullin e 5 ''Prokurimi Publik"</w:t>
            </w:r>
          </w:p>
        </w:tc>
        <w:tc>
          <w:tcPr>
            <w:tcW w:w="557" w:type="pct"/>
            <w:tcBorders>
              <w:top w:val="nil"/>
              <w:left w:val="nil"/>
              <w:bottom w:val="single" w:sz="4" w:space="0" w:color="auto"/>
              <w:right w:val="single" w:sz="4" w:space="0" w:color="auto"/>
            </w:tcBorders>
            <w:shd w:val="clear" w:color="auto" w:fill="auto"/>
            <w:noWrap/>
            <w:vAlign w:val="bottom"/>
            <w:hideMark/>
          </w:tcPr>
          <w:p w14:paraId="279B8D5C"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73" w:type="pct"/>
            <w:tcBorders>
              <w:top w:val="nil"/>
              <w:left w:val="nil"/>
              <w:bottom w:val="single" w:sz="4" w:space="0" w:color="auto"/>
              <w:right w:val="single" w:sz="4" w:space="0" w:color="auto"/>
            </w:tcBorders>
            <w:shd w:val="clear" w:color="auto" w:fill="auto"/>
            <w:noWrap/>
            <w:vAlign w:val="bottom"/>
            <w:hideMark/>
          </w:tcPr>
          <w:p w14:paraId="158AD61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c>
          <w:tcPr>
            <w:tcW w:w="447" w:type="pct"/>
            <w:tcBorders>
              <w:top w:val="nil"/>
              <w:left w:val="nil"/>
              <w:bottom w:val="single" w:sz="4" w:space="0" w:color="auto"/>
              <w:right w:val="single" w:sz="4" w:space="0" w:color="auto"/>
            </w:tcBorders>
            <w:shd w:val="clear" w:color="auto" w:fill="auto"/>
            <w:noWrap/>
            <w:vAlign w:val="bottom"/>
            <w:hideMark/>
          </w:tcPr>
          <w:p w14:paraId="0A45129F" w14:textId="77777777" w:rsidR="00190E59" w:rsidRPr="00190E59" w:rsidRDefault="00190E59" w:rsidP="00190E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90E59">
              <w:rPr>
                <w:rFonts w:ascii="Arial" w:eastAsia="Times New Roman" w:hAnsi="Arial" w:cs="Arial"/>
                <w:color w:val="000000"/>
                <w:sz w:val="12"/>
                <w:szCs w:val="12"/>
                <w:bdr w:val="none" w:sz="0" w:space="0" w:color="auto"/>
              </w:rPr>
              <w:t>N/A</w:t>
            </w:r>
          </w:p>
        </w:tc>
      </w:tr>
    </w:tbl>
    <w:p w14:paraId="2A4F2B57" w14:textId="77777777" w:rsidR="00190E59" w:rsidRDefault="00190E59" w:rsidP="009F3407">
      <w:pPr>
        <w:pStyle w:val="BodyA"/>
        <w:jc w:val="center"/>
        <w:rPr>
          <w:sz w:val="28"/>
          <w:szCs w:val="28"/>
          <w:lang w:val="it-IT"/>
        </w:rPr>
      </w:pPr>
    </w:p>
    <w:p w14:paraId="6F2FF72D" w14:textId="6917B82C" w:rsidR="00190E59" w:rsidRDefault="00190E59" w:rsidP="009F3407">
      <w:pPr>
        <w:pStyle w:val="BodyA"/>
        <w:jc w:val="center"/>
        <w:rPr>
          <w:sz w:val="28"/>
          <w:szCs w:val="28"/>
          <w:lang w:val="it-IT"/>
        </w:rPr>
      </w:pPr>
    </w:p>
    <w:p w14:paraId="4E016792" w14:textId="26EF21FC" w:rsidR="000A0AF1" w:rsidRDefault="000A0AF1" w:rsidP="009F3407">
      <w:pPr>
        <w:pStyle w:val="BodyA"/>
        <w:jc w:val="center"/>
        <w:rPr>
          <w:sz w:val="28"/>
          <w:szCs w:val="28"/>
          <w:lang w:val="it-IT"/>
        </w:rPr>
      </w:pPr>
    </w:p>
    <w:p w14:paraId="3EF78123" w14:textId="3821E538" w:rsidR="000A0AF1" w:rsidRDefault="000A0AF1" w:rsidP="009F3407">
      <w:pPr>
        <w:pStyle w:val="BodyA"/>
        <w:jc w:val="center"/>
        <w:rPr>
          <w:sz w:val="28"/>
          <w:szCs w:val="28"/>
          <w:lang w:val="it-IT"/>
        </w:rPr>
      </w:pPr>
    </w:p>
    <w:p w14:paraId="07637674" w14:textId="0DC40334" w:rsidR="000A0AF1" w:rsidRDefault="000A0AF1" w:rsidP="009F3407">
      <w:pPr>
        <w:pStyle w:val="BodyA"/>
        <w:jc w:val="center"/>
        <w:rPr>
          <w:sz w:val="28"/>
          <w:szCs w:val="28"/>
          <w:lang w:val="it-IT"/>
        </w:rPr>
      </w:pPr>
    </w:p>
    <w:p w14:paraId="33BBAB2C" w14:textId="41A28330" w:rsidR="000A0AF1" w:rsidRDefault="000A0AF1" w:rsidP="009F3407">
      <w:pPr>
        <w:pStyle w:val="BodyA"/>
        <w:jc w:val="center"/>
        <w:rPr>
          <w:sz w:val="28"/>
          <w:szCs w:val="28"/>
          <w:lang w:val="it-IT"/>
        </w:rPr>
      </w:pPr>
    </w:p>
    <w:p w14:paraId="128F97DD" w14:textId="29C1C171" w:rsidR="000A0AF1" w:rsidRDefault="000A0AF1" w:rsidP="009F3407">
      <w:pPr>
        <w:pStyle w:val="BodyA"/>
        <w:jc w:val="center"/>
        <w:rPr>
          <w:sz w:val="28"/>
          <w:szCs w:val="28"/>
          <w:lang w:val="it-IT"/>
        </w:rPr>
      </w:pPr>
    </w:p>
    <w:p w14:paraId="0926E2D2" w14:textId="33D852CE" w:rsidR="000A0AF1" w:rsidRDefault="000A0AF1" w:rsidP="009F3407">
      <w:pPr>
        <w:pStyle w:val="BodyA"/>
        <w:jc w:val="center"/>
        <w:rPr>
          <w:sz w:val="28"/>
          <w:szCs w:val="28"/>
          <w:lang w:val="it-IT"/>
        </w:rPr>
      </w:pPr>
    </w:p>
    <w:p w14:paraId="0CED6B60" w14:textId="0B3D00BE" w:rsidR="000A0AF1" w:rsidRDefault="000A0AF1" w:rsidP="009F3407">
      <w:pPr>
        <w:pStyle w:val="BodyA"/>
        <w:jc w:val="center"/>
        <w:rPr>
          <w:sz w:val="28"/>
          <w:szCs w:val="28"/>
          <w:lang w:val="it-IT"/>
        </w:rPr>
      </w:pPr>
    </w:p>
    <w:p w14:paraId="3E523BB6" w14:textId="73C981EA" w:rsidR="000A0AF1" w:rsidRDefault="000A0AF1" w:rsidP="009F3407">
      <w:pPr>
        <w:pStyle w:val="BodyA"/>
        <w:jc w:val="center"/>
        <w:rPr>
          <w:sz w:val="28"/>
          <w:szCs w:val="28"/>
          <w:lang w:val="it-IT"/>
        </w:rPr>
      </w:pPr>
    </w:p>
    <w:p w14:paraId="1489F52E" w14:textId="0B8FB344" w:rsidR="000A0AF1" w:rsidRDefault="000A0AF1" w:rsidP="009F3407">
      <w:pPr>
        <w:pStyle w:val="BodyA"/>
        <w:jc w:val="center"/>
        <w:rPr>
          <w:sz w:val="28"/>
          <w:szCs w:val="28"/>
          <w:lang w:val="it-IT"/>
        </w:rPr>
      </w:pPr>
    </w:p>
    <w:p w14:paraId="22DCEB1B" w14:textId="10343584" w:rsidR="000A0AF1" w:rsidRDefault="000A0AF1" w:rsidP="009F3407">
      <w:pPr>
        <w:pStyle w:val="BodyA"/>
        <w:jc w:val="center"/>
        <w:rPr>
          <w:sz w:val="28"/>
          <w:szCs w:val="28"/>
          <w:lang w:val="it-IT"/>
        </w:rPr>
      </w:pPr>
    </w:p>
    <w:p w14:paraId="3DF5C01A" w14:textId="17D7734C" w:rsidR="000A0AF1" w:rsidRDefault="000A0AF1" w:rsidP="009F3407">
      <w:pPr>
        <w:pStyle w:val="BodyA"/>
        <w:jc w:val="center"/>
        <w:rPr>
          <w:sz w:val="28"/>
          <w:szCs w:val="28"/>
          <w:lang w:val="it-IT"/>
        </w:rPr>
      </w:pPr>
    </w:p>
    <w:p w14:paraId="3F6EF9E2" w14:textId="1F7533B0" w:rsidR="000A0AF1" w:rsidRDefault="000A0AF1" w:rsidP="009F3407">
      <w:pPr>
        <w:pStyle w:val="BodyA"/>
        <w:jc w:val="center"/>
        <w:rPr>
          <w:sz w:val="28"/>
          <w:szCs w:val="28"/>
          <w:lang w:val="it-IT"/>
        </w:rPr>
      </w:pPr>
    </w:p>
    <w:p w14:paraId="6E4C9F95" w14:textId="0C92FD42" w:rsidR="000A0AF1" w:rsidRDefault="000A0AF1" w:rsidP="009F3407">
      <w:pPr>
        <w:pStyle w:val="BodyA"/>
        <w:jc w:val="center"/>
        <w:rPr>
          <w:sz w:val="28"/>
          <w:szCs w:val="28"/>
          <w:lang w:val="it-IT"/>
        </w:rPr>
      </w:pPr>
    </w:p>
    <w:p w14:paraId="7E0A96A1" w14:textId="77418D87" w:rsidR="000A0AF1" w:rsidRDefault="000A0AF1" w:rsidP="009F3407">
      <w:pPr>
        <w:pStyle w:val="BodyA"/>
        <w:jc w:val="center"/>
        <w:rPr>
          <w:sz w:val="28"/>
          <w:szCs w:val="28"/>
          <w:lang w:val="it-IT"/>
        </w:rPr>
      </w:pPr>
    </w:p>
    <w:p w14:paraId="28DF7BBD" w14:textId="7D4D9811" w:rsidR="000A0AF1" w:rsidRDefault="000A0AF1" w:rsidP="009F3407">
      <w:pPr>
        <w:pStyle w:val="BodyA"/>
        <w:jc w:val="center"/>
        <w:rPr>
          <w:sz w:val="28"/>
          <w:szCs w:val="28"/>
          <w:lang w:val="it-IT"/>
        </w:rPr>
      </w:pPr>
    </w:p>
    <w:tbl>
      <w:tblPr>
        <w:tblW w:w="15356" w:type="dxa"/>
        <w:jc w:val="center"/>
        <w:tblLayout w:type="fixed"/>
        <w:tblLook w:val="04A0" w:firstRow="1" w:lastRow="0" w:firstColumn="1" w:lastColumn="0" w:noHBand="0" w:noVBand="1"/>
      </w:tblPr>
      <w:tblGrid>
        <w:gridCol w:w="452"/>
        <w:gridCol w:w="1130"/>
        <w:gridCol w:w="834"/>
        <w:gridCol w:w="839"/>
        <w:gridCol w:w="1044"/>
        <w:gridCol w:w="1843"/>
        <w:gridCol w:w="2126"/>
        <w:gridCol w:w="1984"/>
        <w:gridCol w:w="1843"/>
        <w:gridCol w:w="1843"/>
        <w:gridCol w:w="1371"/>
        <w:gridCol w:w="47"/>
      </w:tblGrid>
      <w:tr w:rsidR="000A0AF1" w:rsidRPr="000A0AF1" w14:paraId="642E2922" w14:textId="77777777" w:rsidTr="000A0AF1">
        <w:trPr>
          <w:gridAfter w:val="1"/>
          <w:wAfter w:w="47" w:type="dxa"/>
          <w:trHeight w:val="180"/>
          <w:jc w:val="center"/>
        </w:trPr>
        <w:tc>
          <w:tcPr>
            <w:tcW w:w="15309" w:type="dxa"/>
            <w:gridSpan w:val="11"/>
            <w:tcBorders>
              <w:top w:val="single" w:sz="4" w:space="0" w:color="FFFFFF"/>
              <w:left w:val="nil"/>
              <w:bottom w:val="single" w:sz="4" w:space="0" w:color="FFFFFF"/>
              <w:right w:val="nil"/>
            </w:tcBorders>
            <w:shd w:val="clear" w:color="000000" w:fill="F2F2F2"/>
            <w:vAlign w:val="center"/>
            <w:hideMark/>
          </w:tcPr>
          <w:p w14:paraId="6B5CDA4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0"/>
                <w:szCs w:val="10"/>
                <w:bdr w:val="none" w:sz="0" w:space="0" w:color="auto"/>
              </w:rPr>
            </w:pPr>
            <w:r w:rsidRPr="000A0AF1">
              <w:rPr>
                <w:rFonts w:ascii="Arial" w:eastAsia="Times New Roman" w:hAnsi="Arial" w:cs="Arial"/>
                <w:b/>
                <w:bCs/>
                <w:color w:val="000000"/>
                <w:sz w:val="10"/>
                <w:szCs w:val="10"/>
                <w:bdr w:val="none" w:sz="0" w:space="0" w:color="auto"/>
              </w:rPr>
              <w:t>Programi i Përgjithshëm Analitik i Projektakteve për vitin 2024</w:t>
            </w:r>
          </w:p>
        </w:tc>
      </w:tr>
      <w:tr w:rsidR="000A0AF1" w:rsidRPr="000A0AF1" w14:paraId="724C9353" w14:textId="77777777" w:rsidTr="000A0AF1">
        <w:trPr>
          <w:gridAfter w:val="1"/>
          <w:wAfter w:w="47" w:type="dxa"/>
          <w:trHeight w:val="180"/>
          <w:jc w:val="center"/>
        </w:trPr>
        <w:tc>
          <w:tcPr>
            <w:tcW w:w="15309" w:type="dxa"/>
            <w:gridSpan w:val="11"/>
            <w:tcBorders>
              <w:top w:val="single" w:sz="4" w:space="0" w:color="FFFFFF"/>
              <w:left w:val="nil"/>
              <w:bottom w:val="nil"/>
              <w:right w:val="nil"/>
            </w:tcBorders>
            <w:shd w:val="clear" w:color="000000" w:fill="F2F2F2"/>
            <w:vAlign w:val="center"/>
            <w:hideMark/>
          </w:tcPr>
          <w:p w14:paraId="59ECF3A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0"/>
                <w:szCs w:val="10"/>
                <w:bdr w:val="none" w:sz="0" w:space="0" w:color="auto"/>
              </w:rPr>
            </w:pPr>
            <w:r w:rsidRPr="000A0AF1">
              <w:rPr>
                <w:rFonts w:ascii="Arial" w:eastAsia="Times New Roman" w:hAnsi="Arial" w:cs="Arial"/>
                <w:b/>
                <w:bCs/>
                <w:color w:val="000000"/>
                <w:sz w:val="10"/>
                <w:szCs w:val="10"/>
                <w:bdr w:val="none" w:sz="0" w:space="0" w:color="auto"/>
              </w:rPr>
              <w:t>Ministria e Infrastruktures dhe Energjise</w:t>
            </w:r>
          </w:p>
        </w:tc>
      </w:tr>
      <w:tr w:rsidR="000A0AF1" w:rsidRPr="000A0AF1" w14:paraId="040FFB46" w14:textId="77777777" w:rsidTr="000A0AF1">
        <w:trPr>
          <w:trHeight w:val="180"/>
          <w:jc w:val="center"/>
        </w:trPr>
        <w:tc>
          <w:tcPr>
            <w:tcW w:w="452" w:type="dxa"/>
            <w:tcBorders>
              <w:top w:val="single" w:sz="8" w:space="0" w:color="auto"/>
              <w:left w:val="single" w:sz="8" w:space="0" w:color="auto"/>
              <w:bottom w:val="single" w:sz="4" w:space="0" w:color="auto"/>
              <w:right w:val="single" w:sz="4" w:space="0" w:color="auto"/>
            </w:tcBorders>
            <w:shd w:val="clear" w:color="000000" w:fill="C00000"/>
            <w:vAlign w:val="center"/>
            <w:hideMark/>
          </w:tcPr>
          <w:p w14:paraId="7EBCDDC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Nr.</w:t>
            </w:r>
          </w:p>
        </w:tc>
        <w:tc>
          <w:tcPr>
            <w:tcW w:w="1130" w:type="dxa"/>
            <w:tcBorders>
              <w:top w:val="single" w:sz="8" w:space="0" w:color="auto"/>
              <w:left w:val="nil"/>
              <w:bottom w:val="single" w:sz="4" w:space="0" w:color="auto"/>
              <w:right w:val="single" w:sz="4" w:space="0" w:color="auto"/>
            </w:tcBorders>
            <w:shd w:val="clear" w:color="000000" w:fill="C00000"/>
            <w:vAlign w:val="center"/>
            <w:hideMark/>
          </w:tcPr>
          <w:p w14:paraId="2E95C4A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Titulli i projektaktit</w:t>
            </w:r>
          </w:p>
        </w:tc>
        <w:tc>
          <w:tcPr>
            <w:tcW w:w="834" w:type="dxa"/>
            <w:tcBorders>
              <w:top w:val="single" w:sz="8" w:space="0" w:color="auto"/>
              <w:left w:val="nil"/>
              <w:bottom w:val="single" w:sz="4" w:space="0" w:color="auto"/>
              <w:right w:val="single" w:sz="4" w:space="0" w:color="auto"/>
            </w:tcBorders>
            <w:shd w:val="clear" w:color="000000" w:fill="C00000"/>
            <w:vAlign w:val="center"/>
            <w:hideMark/>
          </w:tcPr>
          <w:p w14:paraId="42A744D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Lloji i projektaktit</w:t>
            </w:r>
          </w:p>
        </w:tc>
        <w:tc>
          <w:tcPr>
            <w:tcW w:w="839" w:type="dxa"/>
            <w:tcBorders>
              <w:top w:val="single" w:sz="8" w:space="0" w:color="auto"/>
              <w:left w:val="nil"/>
              <w:bottom w:val="single" w:sz="4" w:space="0" w:color="auto"/>
              <w:right w:val="single" w:sz="4" w:space="0" w:color="auto"/>
            </w:tcBorders>
            <w:shd w:val="clear" w:color="000000" w:fill="C00000"/>
            <w:vAlign w:val="center"/>
            <w:hideMark/>
          </w:tcPr>
          <w:p w14:paraId="2609C39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Ministri propozues</w:t>
            </w:r>
          </w:p>
        </w:tc>
        <w:tc>
          <w:tcPr>
            <w:tcW w:w="1044" w:type="dxa"/>
            <w:tcBorders>
              <w:top w:val="single" w:sz="8" w:space="0" w:color="auto"/>
              <w:left w:val="nil"/>
              <w:bottom w:val="single" w:sz="4" w:space="0" w:color="auto"/>
              <w:right w:val="single" w:sz="4" w:space="0" w:color="auto"/>
            </w:tcBorders>
            <w:shd w:val="clear" w:color="000000" w:fill="C00000"/>
            <w:vAlign w:val="center"/>
            <w:hideMark/>
          </w:tcPr>
          <w:p w14:paraId="5FA0D0D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Katër mujori</w:t>
            </w:r>
          </w:p>
        </w:tc>
        <w:tc>
          <w:tcPr>
            <w:tcW w:w="1843" w:type="dxa"/>
            <w:tcBorders>
              <w:top w:val="single" w:sz="8" w:space="0" w:color="auto"/>
              <w:left w:val="nil"/>
              <w:bottom w:val="single" w:sz="4" w:space="0" w:color="auto"/>
              <w:right w:val="single" w:sz="4" w:space="0" w:color="auto"/>
            </w:tcBorders>
            <w:shd w:val="clear" w:color="000000" w:fill="C00000"/>
            <w:vAlign w:val="center"/>
            <w:hideMark/>
          </w:tcPr>
          <w:p w14:paraId="3777C9C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Arsyet kryesore për propozimin e projektaktit</w:t>
            </w:r>
          </w:p>
        </w:tc>
        <w:tc>
          <w:tcPr>
            <w:tcW w:w="2126" w:type="dxa"/>
            <w:tcBorders>
              <w:top w:val="single" w:sz="8" w:space="0" w:color="auto"/>
              <w:left w:val="nil"/>
              <w:bottom w:val="single" w:sz="4" w:space="0" w:color="auto"/>
              <w:right w:val="single" w:sz="4" w:space="0" w:color="auto"/>
            </w:tcBorders>
            <w:shd w:val="clear" w:color="000000" w:fill="C00000"/>
            <w:vAlign w:val="center"/>
            <w:hideMark/>
          </w:tcPr>
          <w:p w14:paraId="0984A7B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 xml:space="preserve">Çështjet kryesore që parashikon të rregullojë projektakti </w:t>
            </w:r>
          </w:p>
        </w:tc>
        <w:tc>
          <w:tcPr>
            <w:tcW w:w="1984" w:type="dxa"/>
            <w:tcBorders>
              <w:top w:val="single" w:sz="8" w:space="0" w:color="auto"/>
              <w:left w:val="nil"/>
              <w:bottom w:val="single" w:sz="4" w:space="0" w:color="auto"/>
              <w:right w:val="single" w:sz="4" w:space="0" w:color="auto"/>
            </w:tcBorders>
            <w:shd w:val="clear" w:color="000000" w:fill="C00000"/>
            <w:vAlign w:val="center"/>
            <w:hideMark/>
          </w:tcPr>
          <w:p w14:paraId="4122075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A është parashikuar projektakti në PKIE?</w:t>
            </w:r>
            <w:r w:rsidRPr="000A0AF1">
              <w:rPr>
                <w:rFonts w:ascii="Arial" w:eastAsia="Times New Roman" w:hAnsi="Arial" w:cs="Arial"/>
                <w:b/>
                <w:bCs/>
                <w:color w:val="FFFFFF"/>
                <w:sz w:val="10"/>
                <w:szCs w:val="10"/>
                <w:bdr w:val="none" w:sz="0" w:space="0" w:color="auto"/>
              </w:rPr>
              <w:br/>
            </w:r>
            <w:r w:rsidRPr="000A0AF1">
              <w:rPr>
                <w:rFonts w:ascii="Arial" w:eastAsia="Times New Roman" w:hAnsi="Arial" w:cs="Arial"/>
                <w:b/>
                <w:bCs/>
                <w:color w:val="FFFFFF"/>
                <w:sz w:val="10"/>
                <w:szCs w:val="10"/>
                <w:bdr w:val="none" w:sz="0" w:space="0" w:color="auto"/>
              </w:rPr>
              <w:br/>
              <w:t>Nëse po, të specifikohet kapitulli përkatës</w:t>
            </w:r>
          </w:p>
        </w:tc>
        <w:tc>
          <w:tcPr>
            <w:tcW w:w="1843" w:type="dxa"/>
            <w:tcBorders>
              <w:top w:val="single" w:sz="8" w:space="0" w:color="auto"/>
              <w:left w:val="nil"/>
              <w:bottom w:val="single" w:sz="4" w:space="0" w:color="auto"/>
              <w:right w:val="single" w:sz="4" w:space="0" w:color="auto"/>
            </w:tcBorders>
            <w:shd w:val="clear" w:color="000000" w:fill="C00000"/>
            <w:vAlign w:val="center"/>
            <w:hideMark/>
          </w:tcPr>
          <w:p w14:paraId="517F9C5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Përputhshmëria e projektaktit me programin politik qeverisës 2021-2025</w:t>
            </w:r>
            <w:r w:rsidRPr="000A0AF1">
              <w:rPr>
                <w:rFonts w:ascii="Arial" w:eastAsia="Times New Roman" w:hAnsi="Arial" w:cs="Arial"/>
                <w:b/>
                <w:bCs/>
                <w:color w:val="FFFFFF"/>
                <w:sz w:val="10"/>
                <w:szCs w:val="10"/>
                <w:bdr w:val="none" w:sz="0" w:space="0" w:color="auto"/>
              </w:rPr>
              <w:br/>
            </w:r>
            <w:r w:rsidRPr="000A0AF1">
              <w:rPr>
                <w:rFonts w:ascii="Arial" w:eastAsia="Times New Roman" w:hAnsi="Arial" w:cs="Arial"/>
                <w:b/>
                <w:bCs/>
                <w:color w:val="FFFFFF"/>
                <w:sz w:val="10"/>
                <w:szCs w:val="10"/>
                <w:bdr w:val="none" w:sz="0" w:space="0" w:color="auto"/>
              </w:rPr>
              <w:br/>
              <w:t>Nëse përputhet, të jepet  referenca e saktë në progam</w:t>
            </w:r>
          </w:p>
        </w:tc>
        <w:tc>
          <w:tcPr>
            <w:tcW w:w="1843" w:type="dxa"/>
            <w:tcBorders>
              <w:top w:val="single" w:sz="8" w:space="0" w:color="auto"/>
              <w:left w:val="nil"/>
              <w:bottom w:val="single" w:sz="4" w:space="0" w:color="auto"/>
              <w:right w:val="single" w:sz="4" w:space="0" w:color="auto"/>
            </w:tcBorders>
            <w:shd w:val="clear" w:color="000000" w:fill="C00000"/>
            <w:vAlign w:val="center"/>
            <w:hideMark/>
          </w:tcPr>
          <w:p w14:paraId="279DC7B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Lidhja e projektaktit me strategjitë kombëtare dhe sektoriale</w:t>
            </w:r>
            <w:r w:rsidRPr="000A0AF1">
              <w:rPr>
                <w:rFonts w:ascii="Arial" w:eastAsia="Times New Roman" w:hAnsi="Arial" w:cs="Arial"/>
                <w:b/>
                <w:bCs/>
                <w:color w:val="FFFFFF"/>
                <w:sz w:val="10"/>
                <w:szCs w:val="10"/>
                <w:bdr w:val="none" w:sz="0" w:space="0" w:color="auto"/>
              </w:rPr>
              <w:br/>
            </w:r>
            <w:r w:rsidRPr="000A0AF1">
              <w:rPr>
                <w:rFonts w:ascii="Arial" w:eastAsia="Times New Roman" w:hAnsi="Arial" w:cs="Arial"/>
                <w:b/>
                <w:bCs/>
                <w:color w:val="FFFFFF"/>
                <w:sz w:val="10"/>
                <w:szCs w:val="10"/>
                <w:bdr w:val="none" w:sz="0" w:space="0" w:color="auto"/>
              </w:rPr>
              <w:br/>
              <w:t>Nëse lidhet, të specifikohen strategjitë</w:t>
            </w:r>
          </w:p>
        </w:tc>
        <w:tc>
          <w:tcPr>
            <w:tcW w:w="1418" w:type="dxa"/>
            <w:gridSpan w:val="2"/>
            <w:tcBorders>
              <w:top w:val="single" w:sz="8" w:space="0" w:color="auto"/>
              <w:left w:val="nil"/>
              <w:bottom w:val="single" w:sz="4" w:space="0" w:color="auto"/>
              <w:right w:val="single" w:sz="8" w:space="0" w:color="auto"/>
            </w:tcBorders>
            <w:shd w:val="clear" w:color="000000" w:fill="C00000"/>
            <w:vAlign w:val="center"/>
            <w:hideMark/>
          </w:tcPr>
          <w:p w14:paraId="6B0398F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0"/>
                <w:szCs w:val="10"/>
                <w:bdr w:val="none" w:sz="0" w:space="0" w:color="auto"/>
              </w:rPr>
            </w:pPr>
            <w:r w:rsidRPr="000A0AF1">
              <w:rPr>
                <w:rFonts w:ascii="Arial" w:eastAsia="Times New Roman" w:hAnsi="Arial" w:cs="Arial"/>
                <w:b/>
                <w:bCs/>
                <w:color w:val="FFFFFF"/>
                <w:sz w:val="10"/>
                <w:szCs w:val="10"/>
                <w:bdr w:val="none" w:sz="0" w:space="0" w:color="auto"/>
              </w:rPr>
              <w:t>Ndikimet e mundshme ekonomike, financiare, sociale dhe mjedisore</w:t>
            </w:r>
            <w:r w:rsidRPr="000A0AF1">
              <w:rPr>
                <w:rFonts w:ascii="Arial" w:eastAsia="Times New Roman" w:hAnsi="Arial" w:cs="Arial"/>
                <w:b/>
                <w:bCs/>
                <w:color w:val="FFFFFF"/>
                <w:sz w:val="10"/>
                <w:szCs w:val="10"/>
                <w:bdr w:val="none" w:sz="0" w:space="0" w:color="auto"/>
              </w:rPr>
              <w:br/>
            </w:r>
            <w:r w:rsidRPr="000A0AF1">
              <w:rPr>
                <w:rFonts w:ascii="Arial" w:eastAsia="Times New Roman" w:hAnsi="Arial" w:cs="Arial"/>
                <w:b/>
                <w:bCs/>
                <w:color w:val="FFFFFF"/>
                <w:sz w:val="10"/>
                <w:szCs w:val="10"/>
                <w:bdr w:val="none" w:sz="0" w:space="0" w:color="auto"/>
              </w:rPr>
              <w:br/>
              <w:t xml:space="preserve">Përgjigjuni me Po/Jo për ndikimet përkatëse </w:t>
            </w:r>
          </w:p>
        </w:tc>
      </w:tr>
      <w:tr w:rsidR="000A0AF1" w:rsidRPr="000A0AF1" w14:paraId="728D2643"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7427611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w:t>
            </w:r>
          </w:p>
        </w:tc>
        <w:tc>
          <w:tcPr>
            <w:tcW w:w="1130" w:type="dxa"/>
            <w:tcBorders>
              <w:top w:val="nil"/>
              <w:left w:val="nil"/>
              <w:bottom w:val="single" w:sz="4" w:space="0" w:color="auto"/>
              <w:right w:val="single" w:sz="4" w:space="0" w:color="auto"/>
            </w:tcBorders>
            <w:shd w:val="clear" w:color="auto" w:fill="auto"/>
            <w:vAlign w:val="center"/>
            <w:hideMark/>
          </w:tcPr>
          <w:p w14:paraId="25C516E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etiketimin e produkteve me ndikim në energji</w:t>
            </w:r>
          </w:p>
        </w:tc>
        <w:tc>
          <w:tcPr>
            <w:tcW w:w="834" w:type="dxa"/>
            <w:tcBorders>
              <w:top w:val="nil"/>
              <w:left w:val="nil"/>
              <w:bottom w:val="single" w:sz="4" w:space="0" w:color="auto"/>
              <w:right w:val="single" w:sz="4" w:space="0" w:color="auto"/>
            </w:tcBorders>
            <w:shd w:val="clear" w:color="auto" w:fill="auto"/>
            <w:vAlign w:val="center"/>
            <w:hideMark/>
          </w:tcPr>
          <w:p w14:paraId="150BC06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7EE21E1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43AA3CC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w:t>
            </w:r>
          </w:p>
        </w:tc>
        <w:tc>
          <w:tcPr>
            <w:tcW w:w="1843" w:type="dxa"/>
            <w:tcBorders>
              <w:top w:val="nil"/>
              <w:left w:val="nil"/>
              <w:bottom w:val="single" w:sz="4" w:space="0" w:color="auto"/>
              <w:right w:val="single" w:sz="4" w:space="0" w:color="auto"/>
            </w:tcBorders>
            <w:shd w:val="clear" w:color="auto" w:fill="auto"/>
            <w:vAlign w:val="center"/>
            <w:hideMark/>
          </w:tcPr>
          <w:p w14:paraId="74EAEDC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Transpozimi  Rregullores  se (BE) 2017/1369 e Parlamentit Evropian dhe e Këshillit e datës 4 korrik 2017 që përcakton një kornizë për etiketimin e energjisë dhe shfuqizimin e Direktivës 2010/30/BE.</w:t>
            </w:r>
          </w:p>
        </w:tc>
        <w:tc>
          <w:tcPr>
            <w:tcW w:w="2126" w:type="dxa"/>
            <w:tcBorders>
              <w:top w:val="nil"/>
              <w:left w:val="nil"/>
              <w:bottom w:val="single" w:sz="4" w:space="0" w:color="auto"/>
              <w:right w:val="single" w:sz="4" w:space="0" w:color="auto"/>
            </w:tcBorders>
            <w:shd w:val="clear" w:color="auto" w:fill="auto"/>
            <w:vAlign w:val="center"/>
            <w:hideMark/>
          </w:tcPr>
          <w:p w14:paraId="73B076F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 Informimi i perdoruesit fundor nga mbi konsumin e energjisë nepermjet etiketimit te produkteve me ndikim ne energji.                                   2.Percakton detyrimet  për produktet me ndikim në energji të vendosura në treg ose të vëna në shërbim.                                                                                                                             3- Mbikqyrja e tregut te produkteve me ndikim ne energji;</w:t>
            </w:r>
          </w:p>
        </w:tc>
        <w:tc>
          <w:tcPr>
            <w:tcW w:w="1984" w:type="dxa"/>
            <w:tcBorders>
              <w:top w:val="nil"/>
              <w:left w:val="nil"/>
              <w:bottom w:val="single" w:sz="4" w:space="0" w:color="auto"/>
              <w:right w:val="single" w:sz="4" w:space="0" w:color="auto"/>
            </w:tcBorders>
            <w:shd w:val="clear" w:color="auto" w:fill="auto"/>
            <w:vAlign w:val="center"/>
            <w:hideMark/>
          </w:tcPr>
          <w:p w14:paraId="53D161E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22A602A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55C1C1A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Strategjia Kombetare e Energjisë; Planin Kombëtar për Energjine dhe Klimen </w:t>
            </w:r>
          </w:p>
        </w:tc>
        <w:tc>
          <w:tcPr>
            <w:tcW w:w="1418" w:type="dxa"/>
            <w:gridSpan w:val="2"/>
            <w:tcBorders>
              <w:top w:val="nil"/>
              <w:left w:val="nil"/>
              <w:bottom w:val="single" w:sz="4" w:space="0" w:color="auto"/>
              <w:right w:val="single" w:sz="4" w:space="0" w:color="auto"/>
            </w:tcBorders>
            <w:shd w:val="clear" w:color="auto" w:fill="auto"/>
            <w:vAlign w:val="center"/>
            <w:hideMark/>
          </w:tcPr>
          <w:p w14:paraId="052EE17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73D5C818"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2C01DED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2</w:t>
            </w:r>
          </w:p>
        </w:tc>
        <w:tc>
          <w:tcPr>
            <w:tcW w:w="1130" w:type="dxa"/>
            <w:tcBorders>
              <w:top w:val="nil"/>
              <w:left w:val="nil"/>
              <w:bottom w:val="single" w:sz="4" w:space="0" w:color="auto"/>
              <w:right w:val="single" w:sz="4" w:space="0" w:color="auto"/>
            </w:tcBorders>
            <w:shd w:val="clear" w:color="auto" w:fill="auto"/>
            <w:vAlign w:val="bottom"/>
            <w:hideMark/>
          </w:tcPr>
          <w:p w14:paraId="5ECE936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organizimin dhe funksionimin e Autoritetit Rrugor Shqiptar”</w:t>
            </w:r>
          </w:p>
        </w:tc>
        <w:tc>
          <w:tcPr>
            <w:tcW w:w="834" w:type="dxa"/>
            <w:tcBorders>
              <w:top w:val="nil"/>
              <w:left w:val="nil"/>
              <w:bottom w:val="single" w:sz="4" w:space="0" w:color="auto"/>
              <w:right w:val="single" w:sz="4" w:space="0" w:color="auto"/>
            </w:tcBorders>
            <w:shd w:val="clear" w:color="auto" w:fill="auto"/>
            <w:noWrap/>
            <w:vAlign w:val="bottom"/>
            <w:hideMark/>
          </w:tcPr>
          <w:p w14:paraId="35F8CFB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2544C93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5AE9006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w:t>
            </w:r>
          </w:p>
        </w:tc>
        <w:tc>
          <w:tcPr>
            <w:tcW w:w="1843" w:type="dxa"/>
            <w:tcBorders>
              <w:top w:val="nil"/>
              <w:left w:val="nil"/>
              <w:bottom w:val="single" w:sz="4" w:space="0" w:color="auto"/>
              <w:right w:val="single" w:sz="4" w:space="0" w:color="auto"/>
            </w:tcBorders>
            <w:shd w:val="clear" w:color="auto" w:fill="auto"/>
            <w:noWrap/>
            <w:vAlign w:val="center"/>
            <w:hideMark/>
          </w:tcPr>
          <w:p w14:paraId="37C04D3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Autoriteti Rrugor Shqiptar, si person juridik, publik, jo buxhetor, efektet e pritshmërisë konsistojnë në rritje të performancës, rritje të cilësisë së shërbimit, Planifikim efikas, me cilësi më të lartë dhe në kohën e duhur, lehtësim i buxhetit të shtetit për investime dhe mirëmbajtjen e rrugëve pasi të ardhurat nga tollet  dhe taksat e rrugës do te shkojnë për mirëmbajtjen e rrugëve dhe investime. Lehtësi  në aplikimin për Grante dhe Kredi. </w:t>
            </w:r>
          </w:p>
        </w:tc>
        <w:tc>
          <w:tcPr>
            <w:tcW w:w="2126" w:type="dxa"/>
            <w:tcBorders>
              <w:top w:val="nil"/>
              <w:left w:val="nil"/>
              <w:bottom w:val="single" w:sz="4" w:space="0" w:color="auto"/>
              <w:right w:val="single" w:sz="4" w:space="0" w:color="auto"/>
            </w:tcBorders>
            <w:shd w:val="clear" w:color="auto" w:fill="auto"/>
            <w:noWrap/>
            <w:vAlign w:val="center"/>
            <w:hideMark/>
          </w:tcPr>
          <w:p w14:paraId="675E6DB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Evidentimi i qarte i objektit te projektligjit dhe fushes se veprimtarise se ketij Autoriteti. Saktesimi dhe rritja e kompetencave te Bordit të Menaxhimit, ne funksion te rritjes se autonomisë institucionale, organizative e menaxhuese. Përcaktimet lidhur me organizimin e brendshëm administrativ, ne lidhje me funksionet specifike.Parashikimi per transparencen në veprimtarinë e Autoritetit në përputhje me legjislacionin në fuqi për informimin publik. Saktesimi lidhur me te ardhurat me te cilat financohet Autoriteti, ku percaktohet qe ato realizohen nga pagesat e përdoruesve të rrugës, kredi dhe Grante, Sherbime ndihmese, alokime nga Buxheti i Shtetit. Saktesimi i menyres se perdorimit te te ardhurave, duke parashikuar edhe kryerjen e investimeve per rritjen e kapaciteteve dhe trajnimet profesionale te stafit.</w:t>
            </w:r>
          </w:p>
        </w:tc>
        <w:tc>
          <w:tcPr>
            <w:tcW w:w="1984" w:type="dxa"/>
            <w:tcBorders>
              <w:top w:val="nil"/>
              <w:left w:val="nil"/>
              <w:bottom w:val="single" w:sz="4" w:space="0" w:color="auto"/>
              <w:right w:val="single" w:sz="4" w:space="0" w:color="auto"/>
            </w:tcBorders>
            <w:shd w:val="clear" w:color="auto" w:fill="auto"/>
            <w:noWrap/>
            <w:vAlign w:val="bottom"/>
            <w:hideMark/>
          </w:tcPr>
          <w:p w14:paraId="2CA3538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nil"/>
              <w:right w:val="single" w:sz="4" w:space="0" w:color="auto"/>
            </w:tcBorders>
            <w:shd w:val="clear" w:color="auto" w:fill="auto"/>
            <w:noWrap/>
            <w:vAlign w:val="bottom"/>
            <w:hideMark/>
          </w:tcPr>
          <w:p w14:paraId="10C74FC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jo </w:t>
            </w:r>
          </w:p>
        </w:tc>
        <w:tc>
          <w:tcPr>
            <w:tcW w:w="1843" w:type="dxa"/>
            <w:tcBorders>
              <w:top w:val="nil"/>
              <w:left w:val="nil"/>
              <w:bottom w:val="nil"/>
              <w:right w:val="nil"/>
            </w:tcBorders>
            <w:shd w:val="clear" w:color="auto" w:fill="auto"/>
            <w:vAlign w:val="bottom"/>
            <w:hideMark/>
          </w:tcPr>
          <w:p w14:paraId="494C964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Strategjia Kombëtare për Zhvillim dhe Integrim</w:t>
            </w:r>
          </w:p>
        </w:tc>
        <w:tc>
          <w:tcPr>
            <w:tcW w:w="141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2E0DD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3414E8A0"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B6A3C7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3</w:t>
            </w:r>
          </w:p>
        </w:tc>
        <w:tc>
          <w:tcPr>
            <w:tcW w:w="1130" w:type="dxa"/>
            <w:tcBorders>
              <w:top w:val="nil"/>
              <w:left w:val="nil"/>
              <w:bottom w:val="single" w:sz="4" w:space="0" w:color="auto"/>
              <w:right w:val="single" w:sz="4" w:space="0" w:color="auto"/>
            </w:tcBorders>
            <w:shd w:val="clear" w:color="auto" w:fill="auto"/>
            <w:vAlign w:val="bottom"/>
            <w:hideMark/>
          </w:tcPr>
          <w:p w14:paraId="659FD70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projektimin struktural dhe gjeoteknik të ndërtesave dhe veprave inxhinierike, në përputhje me standardet e harmonizuara shqiptare (EUROKODET)”</w:t>
            </w:r>
          </w:p>
        </w:tc>
        <w:tc>
          <w:tcPr>
            <w:tcW w:w="834" w:type="dxa"/>
            <w:tcBorders>
              <w:top w:val="nil"/>
              <w:left w:val="nil"/>
              <w:bottom w:val="single" w:sz="4" w:space="0" w:color="auto"/>
              <w:right w:val="single" w:sz="4" w:space="0" w:color="auto"/>
            </w:tcBorders>
            <w:shd w:val="clear" w:color="auto" w:fill="auto"/>
            <w:noWrap/>
            <w:vAlign w:val="bottom"/>
            <w:hideMark/>
          </w:tcPr>
          <w:p w14:paraId="40095AB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41E9441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2CE70A7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w:t>
            </w:r>
          </w:p>
        </w:tc>
        <w:tc>
          <w:tcPr>
            <w:tcW w:w="1843" w:type="dxa"/>
            <w:tcBorders>
              <w:top w:val="nil"/>
              <w:left w:val="nil"/>
              <w:bottom w:val="nil"/>
              <w:right w:val="nil"/>
            </w:tcBorders>
            <w:shd w:val="clear" w:color="auto" w:fill="auto"/>
            <w:noWrap/>
            <w:vAlign w:val="center"/>
            <w:hideMark/>
          </w:tcPr>
          <w:p w14:paraId="368A443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Objektivat që kërkohen të arrihen nëpërmjet këtij akti janë rritja e sigurisë së ndërtimeve, cilësisë së projektimit dhe ndërtimit/(zbatimit) të veprave të ndërtimit, rritja e eficencës dhe jetëgjatësisë së veprave ndërtimore, si dhe ulja e shpenzimeve të mirëmbajtjes dhe shërbimit, krijimi i koncepteve të reja nga gjithë projektuesit, por edhe më gjerë që do t’i shërbejë dhe lëvizjes së lirë.</w:t>
            </w:r>
          </w:p>
        </w:tc>
        <w:tc>
          <w:tcPr>
            <w:tcW w:w="2126" w:type="dxa"/>
            <w:tcBorders>
              <w:top w:val="nil"/>
              <w:left w:val="single" w:sz="4" w:space="0" w:color="auto"/>
              <w:bottom w:val="single" w:sz="4" w:space="0" w:color="auto"/>
              <w:right w:val="single" w:sz="4" w:space="0" w:color="auto"/>
            </w:tcBorders>
            <w:shd w:val="clear" w:color="auto" w:fill="auto"/>
            <w:vAlign w:val="bottom"/>
            <w:hideMark/>
          </w:tcPr>
          <w:p w14:paraId="7167AD8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Futja në zbatim e projektimit struktural dhe gjeoteknik të ndërtesave dhe veprave të inxhinierisë civile, në përputhje me rregullat e dhëna në standarded teknike evropiane (Eurokodet), të harmonizuara si standarde shqiptare (SSH EN) dhe ankeseve kombëtare, do të lejojë futjen në zbatim të standardeve europiane të adoptuara në standarde shqiptare, duke  sjellë një ndryshim mjaft cilësor për përmirësimin e metodave të projektimit dhe zbatimit në këtë sektor.   </w:t>
            </w:r>
          </w:p>
        </w:tc>
        <w:tc>
          <w:tcPr>
            <w:tcW w:w="1984" w:type="dxa"/>
            <w:tcBorders>
              <w:top w:val="nil"/>
              <w:left w:val="nil"/>
              <w:bottom w:val="single" w:sz="4" w:space="0" w:color="auto"/>
              <w:right w:val="single" w:sz="4" w:space="0" w:color="auto"/>
            </w:tcBorders>
            <w:shd w:val="clear" w:color="auto" w:fill="auto"/>
            <w:noWrap/>
            <w:vAlign w:val="bottom"/>
            <w:hideMark/>
          </w:tcPr>
          <w:p w14:paraId="3179BD3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265C831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461D748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30C25D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2A6102EB"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212D001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4</w:t>
            </w:r>
          </w:p>
        </w:tc>
        <w:tc>
          <w:tcPr>
            <w:tcW w:w="1130" w:type="dxa"/>
            <w:tcBorders>
              <w:top w:val="nil"/>
              <w:left w:val="nil"/>
              <w:bottom w:val="single" w:sz="4" w:space="0" w:color="auto"/>
              <w:right w:val="single" w:sz="4" w:space="0" w:color="auto"/>
            </w:tcBorders>
            <w:shd w:val="clear" w:color="auto" w:fill="auto"/>
            <w:vAlign w:val="center"/>
            <w:hideMark/>
          </w:tcPr>
          <w:p w14:paraId="5669548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"Për miratimin e karakteristikave të pikave të aksesit pa tel në zona të vogla"</w:t>
            </w:r>
          </w:p>
        </w:tc>
        <w:tc>
          <w:tcPr>
            <w:tcW w:w="834" w:type="dxa"/>
            <w:tcBorders>
              <w:top w:val="nil"/>
              <w:left w:val="nil"/>
              <w:bottom w:val="single" w:sz="4" w:space="0" w:color="auto"/>
              <w:right w:val="single" w:sz="4" w:space="0" w:color="auto"/>
            </w:tcBorders>
            <w:shd w:val="clear" w:color="auto" w:fill="auto"/>
            <w:vAlign w:val="center"/>
            <w:hideMark/>
          </w:tcPr>
          <w:p w14:paraId="21DBFD7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Projektvendim</w:t>
            </w:r>
          </w:p>
        </w:tc>
        <w:tc>
          <w:tcPr>
            <w:tcW w:w="839" w:type="dxa"/>
            <w:tcBorders>
              <w:top w:val="nil"/>
              <w:left w:val="nil"/>
              <w:bottom w:val="single" w:sz="4" w:space="0" w:color="auto"/>
              <w:right w:val="single" w:sz="4" w:space="0" w:color="auto"/>
            </w:tcBorders>
            <w:shd w:val="clear" w:color="auto" w:fill="auto"/>
            <w:vAlign w:val="center"/>
            <w:hideMark/>
          </w:tcPr>
          <w:p w14:paraId="0F98340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5D0F8F1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8F1037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Pas miratimit dhe hyrjes në fuqi të ligjit të ri për komunikimet elektronike në Republikën e Shqipërisë (që transpozon Direktivën BE 2018/1972), MIE do të miratojë VKM "Për miratimin e karakteristikave të pikave të aksesit pa tel në zona të vogla"</w:t>
            </w:r>
          </w:p>
        </w:tc>
        <w:tc>
          <w:tcPr>
            <w:tcW w:w="2126" w:type="dxa"/>
            <w:tcBorders>
              <w:top w:val="nil"/>
              <w:left w:val="nil"/>
              <w:bottom w:val="single" w:sz="4" w:space="0" w:color="auto"/>
              <w:right w:val="single" w:sz="4" w:space="0" w:color="auto"/>
            </w:tcBorders>
            <w:shd w:val="clear" w:color="auto" w:fill="auto"/>
            <w:vAlign w:val="center"/>
            <w:hideMark/>
          </w:tcPr>
          <w:p w14:paraId="111F39E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Me anë të këtij projektvendimi synohet transpozimi i Rregullores Implementuese të Komisionit (EU) 2020/1070, e datës 20 Korrik 2020, mbi specifikimin e karakteristikave të pikave të aksesit pa tel në zona të vogla në përputhje me paragrafin 2, të nenit 57, të Direktivës (EU) 2018/1972 të Parlamentit Evropian dhe e Këshillit për krijimin e Kodit Evropian të Komunikimeve Elektronike. Ky projektvendim ka për qëllim të miratojë karakteristikat teknike dhe fizike të pikave të aksesit pa tel në zona të vogla për të cilat ligji ka parashikuar disa rregullime në nenin 78 të tij.</w:t>
            </w:r>
          </w:p>
        </w:tc>
        <w:tc>
          <w:tcPr>
            <w:tcW w:w="1984" w:type="dxa"/>
            <w:tcBorders>
              <w:top w:val="nil"/>
              <w:left w:val="nil"/>
              <w:bottom w:val="single" w:sz="4" w:space="0" w:color="auto"/>
              <w:right w:val="single" w:sz="4" w:space="0" w:color="auto"/>
            </w:tcBorders>
            <w:shd w:val="clear" w:color="auto" w:fill="auto"/>
            <w:vAlign w:val="center"/>
            <w:hideMark/>
          </w:tcPr>
          <w:p w14:paraId="75FD6A4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10 (Shoqeria e informacionit dhe media)</w:t>
            </w:r>
          </w:p>
        </w:tc>
        <w:tc>
          <w:tcPr>
            <w:tcW w:w="1843" w:type="dxa"/>
            <w:tcBorders>
              <w:top w:val="nil"/>
              <w:left w:val="nil"/>
              <w:bottom w:val="single" w:sz="4" w:space="0" w:color="auto"/>
              <w:right w:val="single" w:sz="4" w:space="0" w:color="auto"/>
            </w:tcBorders>
            <w:shd w:val="clear" w:color="000000" w:fill="FFFFFF"/>
            <w:vAlign w:val="center"/>
            <w:hideMark/>
          </w:tcPr>
          <w:p w14:paraId="15E2D5F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000000" w:fill="FFFFFF"/>
            <w:vAlign w:val="center"/>
            <w:hideMark/>
          </w:tcPr>
          <w:p w14:paraId="3A37838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VKM 434 date 3.6.2020 "Per planin Kombetar te Zhvillimin e qendrueshem te infrastruktures Digjitale broadband"</w:t>
            </w:r>
          </w:p>
        </w:tc>
        <w:tc>
          <w:tcPr>
            <w:tcW w:w="1418" w:type="dxa"/>
            <w:gridSpan w:val="2"/>
            <w:tcBorders>
              <w:top w:val="nil"/>
              <w:left w:val="nil"/>
              <w:bottom w:val="single" w:sz="4" w:space="0" w:color="auto"/>
              <w:right w:val="single" w:sz="4" w:space="0" w:color="auto"/>
            </w:tcBorders>
            <w:shd w:val="clear" w:color="000000" w:fill="FFFFFF"/>
            <w:vAlign w:val="center"/>
            <w:hideMark/>
          </w:tcPr>
          <w:p w14:paraId="7EBCC1B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1F9344DE"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6B9BF1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5</w:t>
            </w:r>
          </w:p>
        </w:tc>
        <w:tc>
          <w:tcPr>
            <w:tcW w:w="1130" w:type="dxa"/>
            <w:tcBorders>
              <w:top w:val="nil"/>
              <w:left w:val="nil"/>
              <w:bottom w:val="single" w:sz="4" w:space="0" w:color="auto"/>
              <w:right w:val="single" w:sz="4" w:space="0" w:color="auto"/>
            </w:tcBorders>
            <w:shd w:val="clear" w:color="000000" w:fill="FFFFFF"/>
            <w:vAlign w:val="center"/>
            <w:hideMark/>
          </w:tcPr>
          <w:p w14:paraId="7EE3FD3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Per miratimin e grupeve tematike të të dhënave me vlerë të lartë dhe masat për publikimin dhe ripërdorimin e tyre, ne zbatim te ligjit nr.33/2022</w:t>
            </w:r>
          </w:p>
        </w:tc>
        <w:tc>
          <w:tcPr>
            <w:tcW w:w="834" w:type="dxa"/>
            <w:tcBorders>
              <w:top w:val="nil"/>
              <w:left w:val="nil"/>
              <w:bottom w:val="single" w:sz="4" w:space="0" w:color="auto"/>
              <w:right w:val="single" w:sz="4" w:space="0" w:color="auto"/>
            </w:tcBorders>
            <w:shd w:val="clear" w:color="auto" w:fill="auto"/>
            <w:vAlign w:val="center"/>
            <w:hideMark/>
          </w:tcPr>
          <w:p w14:paraId="0B76F5F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Projektvendim</w:t>
            </w:r>
          </w:p>
        </w:tc>
        <w:tc>
          <w:tcPr>
            <w:tcW w:w="839" w:type="dxa"/>
            <w:tcBorders>
              <w:top w:val="nil"/>
              <w:left w:val="nil"/>
              <w:bottom w:val="single" w:sz="4" w:space="0" w:color="auto"/>
              <w:right w:val="single" w:sz="4" w:space="0" w:color="auto"/>
            </w:tcBorders>
            <w:shd w:val="clear" w:color="auto" w:fill="auto"/>
            <w:vAlign w:val="center"/>
            <w:hideMark/>
          </w:tcPr>
          <w:p w14:paraId="6DC7A2E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1EC085E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w:t>
            </w:r>
          </w:p>
        </w:tc>
        <w:tc>
          <w:tcPr>
            <w:tcW w:w="1843" w:type="dxa"/>
            <w:tcBorders>
              <w:top w:val="nil"/>
              <w:left w:val="nil"/>
              <w:bottom w:val="single" w:sz="4" w:space="0" w:color="auto"/>
              <w:right w:val="single" w:sz="4" w:space="0" w:color="auto"/>
            </w:tcBorders>
            <w:shd w:val="clear" w:color="auto" w:fill="auto"/>
            <w:vAlign w:val="center"/>
            <w:hideMark/>
          </w:tcPr>
          <w:p w14:paraId="5ADCD13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Transpozim i rregullores Zbatuese te Komisionit (BE) 2023/138 e datës 21 dhjetor 2022 që përcakton një listë të grupeve specifike të të dhënave me vlerë të lartë dhe masat për publikimin dhe ripërdorimin e tyre</w:t>
            </w:r>
          </w:p>
        </w:tc>
        <w:tc>
          <w:tcPr>
            <w:tcW w:w="2126" w:type="dxa"/>
            <w:tcBorders>
              <w:top w:val="nil"/>
              <w:left w:val="nil"/>
              <w:bottom w:val="single" w:sz="4" w:space="0" w:color="auto"/>
              <w:right w:val="single" w:sz="4" w:space="0" w:color="auto"/>
            </w:tcBorders>
            <w:shd w:val="clear" w:color="000000" w:fill="FFFFFF"/>
            <w:vAlign w:val="center"/>
            <w:hideMark/>
          </w:tcPr>
          <w:p w14:paraId="6452377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Me ane te ketij akti synohet te plotesohet kuadri nenligjor per ligjin nr. 33/2022 per te dhenat e hapura dhe riperdorimn e informacionit publik; gjithashtu synohet transpozimi i Rregullores Zbatuese te BE-se 2023/138/EU mbi listen e te dhenave me vlere te larte;</w:t>
            </w:r>
          </w:p>
        </w:tc>
        <w:tc>
          <w:tcPr>
            <w:tcW w:w="1984" w:type="dxa"/>
            <w:tcBorders>
              <w:top w:val="nil"/>
              <w:left w:val="nil"/>
              <w:bottom w:val="single" w:sz="4" w:space="0" w:color="auto"/>
              <w:right w:val="single" w:sz="4" w:space="0" w:color="auto"/>
            </w:tcBorders>
            <w:shd w:val="clear" w:color="auto" w:fill="auto"/>
            <w:vAlign w:val="center"/>
            <w:hideMark/>
          </w:tcPr>
          <w:p w14:paraId="4125C07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10 (Shoqeria e informacionit dhe media)</w:t>
            </w:r>
          </w:p>
        </w:tc>
        <w:tc>
          <w:tcPr>
            <w:tcW w:w="1843" w:type="dxa"/>
            <w:tcBorders>
              <w:top w:val="nil"/>
              <w:left w:val="nil"/>
              <w:bottom w:val="single" w:sz="4" w:space="0" w:color="auto"/>
              <w:right w:val="single" w:sz="4" w:space="0" w:color="auto"/>
            </w:tcBorders>
            <w:shd w:val="clear" w:color="auto" w:fill="auto"/>
            <w:vAlign w:val="center"/>
            <w:hideMark/>
          </w:tcPr>
          <w:p w14:paraId="6054997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288FA7E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418" w:type="dxa"/>
            <w:gridSpan w:val="2"/>
            <w:tcBorders>
              <w:top w:val="nil"/>
              <w:left w:val="nil"/>
              <w:bottom w:val="single" w:sz="4" w:space="0" w:color="auto"/>
              <w:right w:val="single" w:sz="4" w:space="0" w:color="auto"/>
            </w:tcBorders>
            <w:shd w:val="clear" w:color="auto" w:fill="auto"/>
            <w:vAlign w:val="center"/>
            <w:hideMark/>
          </w:tcPr>
          <w:p w14:paraId="2A29C5B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772954CB"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FC5B96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6</w:t>
            </w:r>
          </w:p>
        </w:tc>
        <w:tc>
          <w:tcPr>
            <w:tcW w:w="1130" w:type="dxa"/>
            <w:tcBorders>
              <w:top w:val="nil"/>
              <w:left w:val="nil"/>
              <w:bottom w:val="single" w:sz="4" w:space="0" w:color="auto"/>
              <w:right w:val="single" w:sz="4" w:space="0" w:color="auto"/>
            </w:tcBorders>
            <w:shd w:val="clear" w:color="auto" w:fill="auto"/>
            <w:vAlign w:val="center"/>
            <w:hideMark/>
          </w:tcPr>
          <w:p w14:paraId="0F65E26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disa ndryshime në Vendimin e Këshillit të Ministrave Nr. 1095, datë 24.12.2020 Për miratimin e kërkesave thelbësore në fushën e aviacionit civil</w:t>
            </w:r>
          </w:p>
        </w:tc>
        <w:tc>
          <w:tcPr>
            <w:tcW w:w="834" w:type="dxa"/>
            <w:tcBorders>
              <w:top w:val="nil"/>
              <w:left w:val="nil"/>
              <w:bottom w:val="single" w:sz="4" w:space="0" w:color="auto"/>
              <w:right w:val="single" w:sz="4" w:space="0" w:color="auto"/>
            </w:tcBorders>
            <w:shd w:val="clear" w:color="auto" w:fill="auto"/>
            <w:vAlign w:val="center"/>
            <w:hideMark/>
          </w:tcPr>
          <w:p w14:paraId="52AB88B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Projektvendim</w:t>
            </w:r>
          </w:p>
        </w:tc>
        <w:tc>
          <w:tcPr>
            <w:tcW w:w="839" w:type="dxa"/>
            <w:tcBorders>
              <w:top w:val="nil"/>
              <w:left w:val="nil"/>
              <w:bottom w:val="single" w:sz="4" w:space="0" w:color="auto"/>
              <w:right w:val="single" w:sz="4" w:space="0" w:color="auto"/>
            </w:tcBorders>
            <w:shd w:val="clear" w:color="auto" w:fill="auto"/>
            <w:vAlign w:val="center"/>
            <w:hideMark/>
          </w:tcPr>
          <w:p w14:paraId="19A8EBF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0072070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w:t>
            </w:r>
          </w:p>
        </w:tc>
        <w:tc>
          <w:tcPr>
            <w:tcW w:w="1843" w:type="dxa"/>
            <w:tcBorders>
              <w:top w:val="nil"/>
              <w:left w:val="nil"/>
              <w:bottom w:val="single" w:sz="4" w:space="0" w:color="auto"/>
              <w:right w:val="single" w:sz="4" w:space="0" w:color="auto"/>
            </w:tcBorders>
            <w:shd w:val="clear" w:color="auto" w:fill="auto"/>
            <w:vAlign w:val="center"/>
            <w:hideMark/>
          </w:tcPr>
          <w:p w14:paraId="3184614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Rritja e nivelit të harmonizimit me standardet e aviacionit evropian për sigurinë në operime dhe me standardet e Organizatës Ndërkombëtare të Aviacionit Civil.</w:t>
            </w:r>
          </w:p>
        </w:tc>
        <w:tc>
          <w:tcPr>
            <w:tcW w:w="2126" w:type="dxa"/>
            <w:tcBorders>
              <w:top w:val="nil"/>
              <w:left w:val="nil"/>
              <w:bottom w:val="single" w:sz="4" w:space="0" w:color="auto"/>
              <w:right w:val="single" w:sz="4" w:space="0" w:color="auto"/>
            </w:tcBorders>
            <w:shd w:val="clear" w:color="auto" w:fill="auto"/>
            <w:vAlign w:val="center"/>
            <w:hideMark/>
          </w:tcPr>
          <w:p w14:paraId="3E948A1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Do të sigurohet referimi korrekt ndaj standarteve të Aneksit 16 të ICAO.</w:t>
            </w:r>
          </w:p>
        </w:tc>
        <w:tc>
          <w:tcPr>
            <w:tcW w:w="1984" w:type="dxa"/>
            <w:tcBorders>
              <w:top w:val="nil"/>
              <w:left w:val="nil"/>
              <w:bottom w:val="single" w:sz="4" w:space="0" w:color="auto"/>
              <w:right w:val="single" w:sz="4" w:space="0" w:color="auto"/>
            </w:tcBorders>
            <w:shd w:val="clear" w:color="auto" w:fill="auto"/>
            <w:vAlign w:val="center"/>
            <w:hideMark/>
          </w:tcPr>
          <w:p w14:paraId="638209D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14</w:t>
            </w:r>
          </w:p>
        </w:tc>
        <w:tc>
          <w:tcPr>
            <w:tcW w:w="1843" w:type="dxa"/>
            <w:tcBorders>
              <w:top w:val="nil"/>
              <w:left w:val="nil"/>
              <w:bottom w:val="single" w:sz="4" w:space="0" w:color="auto"/>
              <w:right w:val="single" w:sz="4" w:space="0" w:color="auto"/>
            </w:tcBorders>
            <w:shd w:val="clear" w:color="000000" w:fill="FFFFFF"/>
            <w:vAlign w:val="center"/>
            <w:hideMark/>
          </w:tcPr>
          <w:p w14:paraId="0EBFE30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Pjese e politikave per  ushen e aviacionit civil</w:t>
            </w:r>
          </w:p>
        </w:tc>
        <w:tc>
          <w:tcPr>
            <w:tcW w:w="1843" w:type="dxa"/>
            <w:tcBorders>
              <w:top w:val="nil"/>
              <w:left w:val="nil"/>
              <w:bottom w:val="single" w:sz="4" w:space="0" w:color="auto"/>
              <w:right w:val="single" w:sz="4" w:space="0" w:color="auto"/>
            </w:tcBorders>
            <w:shd w:val="clear" w:color="000000" w:fill="FFFFFF"/>
            <w:vAlign w:val="center"/>
            <w:hideMark/>
          </w:tcPr>
          <w:p w14:paraId="72757BA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418" w:type="dxa"/>
            <w:gridSpan w:val="2"/>
            <w:tcBorders>
              <w:top w:val="nil"/>
              <w:left w:val="nil"/>
              <w:bottom w:val="single" w:sz="4" w:space="0" w:color="auto"/>
              <w:right w:val="single" w:sz="4" w:space="0" w:color="auto"/>
            </w:tcBorders>
            <w:shd w:val="clear" w:color="auto" w:fill="auto"/>
            <w:vAlign w:val="center"/>
            <w:hideMark/>
          </w:tcPr>
          <w:p w14:paraId="2015960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 ndikim mjedisor pozitiv</w:t>
            </w:r>
          </w:p>
        </w:tc>
      </w:tr>
      <w:tr w:rsidR="000A0AF1" w:rsidRPr="000A0AF1" w14:paraId="1D60C070"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07A6F02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7</w:t>
            </w:r>
          </w:p>
        </w:tc>
        <w:tc>
          <w:tcPr>
            <w:tcW w:w="1130" w:type="dxa"/>
            <w:tcBorders>
              <w:top w:val="nil"/>
              <w:left w:val="nil"/>
              <w:bottom w:val="single" w:sz="4" w:space="0" w:color="auto"/>
              <w:right w:val="single" w:sz="4" w:space="0" w:color="auto"/>
            </w:tcBorders>
            <w:shd w:val="clear" w:color="auto" w:fill="auto"/>
            <w:vAlign w:val="center"/>
            <w:hideMark/>
          </w:tcPr>
          <w:p w14:paraId="2A58AEB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miratimin e Programit Kombëtar të Sigurisë në Aviacion</w:t>
            </w:r>
          </w:p>
        </w:tc>
        <w:tc>
          <w:tcPr>
            <w:tcW w:w="834" w:type="dxa"/>
            <w:tcBorders>
              <w:top w:val="nil"/>
              <w:left w:val="nil"/>
              <w:bottom w:val="single" w:sz="4" w:space="0" w:color="auto"/>
              <w:right w:val="single" w:sz="4" w:space="0" w:color="auto"/>
            </w:tcBorders>
            <w:shd w:val="clear" w:color="auto" w:fill="auto"/>
            <w:vAlign w:val="center"/>
            <w:hideMark/>
          </w:tcPr>
          <w:p w14:paraId="2733571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Projektvendim</w:t>
            </w:r>
          </w:p>
        </w:tc>
        <w:tc>
          <w:tcPr>
            <w:tcW w:w="839" w:type="dxa"/>
            <w:tcBorders>
              <w:top w:val="nil"/>
              <w:left w:val="nil"/>
              <w:bottom w:val="single" w:sz="4" w:space="0" w:color="auto"/>
              <w:right w:val="single" w:sz="4" w:space="0" w:color="auto"/>
            </w:tcBorders>
            <w:shd w:val="clear" w:color="auto" w:fill="auto"/>
            <w:vAlign w:val="center"/>
            <w:hideMark/>
          </w:tcPr>
          <w:p w14:paraId="77A087B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64841F9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w:t>
            </w:r>
          </w:p>
        </w:tc>
        <w:tc>
          <w:tcPr>
            <w:tcW w:w="1843" w:type="dxa"/>
            <w:tcBorders>
              <w:top w:val="nil"/>
              <w:left w:val="nil"/>
              <w:bottom w:val="single" w:sz="4" w:space="0" w:color="auto"/>
              <w:right w:val="single" w:sz="4" w:space="0" w:color="auto"/>
            </w:tcBorders>
            <w:shd w:val="clear" w:color="auto" w:fill="auto"/>
            <w:vAlign w:val="center"/>
            <w:hideMark/>
          </w:tcPr>
          <w:p w14:paraId="3BBD046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Arsyeja e nxjerrjes së këtij akti ështe rritja e nivelit të harmonizimit të standarteve kombëtare me ato të BE dhe ICAO në drejtim të sigurisë në aviacion. </w:t>
            </w:r>
          </w:p>
        </w:tc>
        <w:tc>
          <w:tcPr>
            <w:tcW w:w="2126" w:type="dxa"/>
            <w:tcBorders>
              <w:top w:val="nil"/>
              <w:left w:val="nil"/>
              <w:bottom w:val="single" w:sz="4" w:space="0" w:color="auto"/>
              <w:right w:val="single" w:sz="4" w:space="0" w:color="auto"/>
            </w:tcBorders>
            <w:shd w:val="clear" w:color="auto" w:fill="auto"/>
            <w:vAlign w:val="center"/>
            <w:hideMark/>
          </w:tcPr>
          <w:p w14:paraId="5D5FAD4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 akti përcakton kuadrin rregullator të masave të sigurisë që duhet të ndërmarrin të gjithe subjektet me funksione në fushën e sigurisë ne aviacion, detyrimin e këtyre të fundit për të pasur sistem të manaxhimit të sigurisë në aviacion dhe elementët qe duhet të ketë ai, parashikime për vlerësimin e riskut ne rang kombëtar, detyrimin përngritjen e Komitetit Kombëtar të Sigurisë dhe mënyrën e funksionimit të tij.</w:t>
            </w:r>
          </w:p>
        </w:tc>
        <w:tc>
          <w:tcPr>
            <w:tcW w:w="1984" w:type="dxa"/>
            <w:tcBorders>
              <w:top w:val="nil"/>
              <w:left w:val="nil"/>
              <w:bottom w:val="single" w:sz="4" w:space="0" w:color="auto"/>
              <w:right w:val="single" w:sz="4" w:space="0" w:color="auto"/>
            </w:tcBorders>
            <w:shd w:val="clear" w:color="auto" w:fill="auto"/>
            <w:vAlign w:val="center"/>
            <w:hideMark/>
          </w:tcPr>
          <w:p w14:paraId="3A86606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14</w:t>
            </w:r>
          </w:p>
        </w:tc>
        <w:tc>
          <w:tcPr>
            <w:tcW w:w="1843" w:type="dxa"/>
            <w:tcBorders>
              <w:top w:val="nil"/>
              <w:left w:val="nil"/>
              <w:bottom w:val="single" w:sz="4" w:space="0" w:color="auto"/>
              <w:right w:val="single" w:sz="4" w:space="0" w:color="auto"/>
            </w:tcBorders>
            <w:shd w:val="clear" w:color="000000" w:fill="FFFFFF"/>
            <w:vAlign w:val="center"/>
            <w:hideMark/>
          </w:tcPr>
          <w:p w14:paraId="502DBF7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Pjese e politikave per f ushen e aviacionit civil</w:t>
            </w:r>
          </w:p>
        </w:tc>
        <w:tc>
          <w:tcPr>
            <w:tcW w:w="1843" w:type="dxa"/>
            <w:tcBorders>
              <w:top w:val="nil"/>
              <w:left w:val="nil"/>
              <w:bottom w:val="single" w:sz="4" w:space="0" w:color="auto"/>
              <w:right w:val="single" w:sz="4" w:space="0" w:color="auto"/>
            </w:tcBorders>
            <w:shd w:val="clear" w:color="000000" w:fill="FFFFFF"/>
            <w:vAlign w:val="center"/>
            <w:hideMark/>
          </w:tcPr>
          <w:p w14:paraId="0617F75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418" w:type="dxa"/>
            <w:gridSpan w:val="2"/>
            <w:tcBorders>
              <w:top w:val="nil"/>
              <w:left w:val="nil"/>
              <w:bottom w:val="single" w:sz="4" w:space="0" w:color="auto"/>
              <w:right w:val="single" w:sz="4" w:space="0" w:color="auto"/>
            </w:tcBorders>
            <w:shd w:val="clear" w:color="auto" w:fill="auto"/>
            <w:vAlign w:val="center"/>
            <w:hideMark/>
          </w:tcPr>
          <w:p w14:paraId="6079027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 ndikim social pozitiv, pasi vendos standarte te reja ne sigurine e aviacionit</w:t>
            </w:r>
          </w:p>
        </w:tc>
      </w:tr>
      <w:tr w:rsidR="000A0AF1" w:rsidRPr="000A0AF1" w14:paraId="42AB7A85"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23C3526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8</w:t>
            </w:r>
          </w:p>
        </w:tc>
        <w:tc>
          <w:tcPr>
            <w:tcW w:w="1130" w:type="dxa"/>
            <w:tcBorders>
              <w:top w:val="nil"/>
              <w:left w:val="nil"/>
              <w:bottom w:val="single" w:sz="4" w:space="0" w:color="auto"/>
              <w:right w:val="single" w:sz="4" w:space="0" w:color="auto"/>
            </w:tcBorders>
            <w:shd w:val="clear" w:color="auto" w:fill="auto"/>
            <w:vAlign w:val="center"/>
            <w:hideMark/>
          </w:tcPr>
          <w:p w14:paraId="173DA28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“Për miratimin e procedurave e të kritereve </w:t>
            </w:r>
            <w:r w:rsidRPr="000A0AF1">
              <w:rPr>
                <w:rFonts w:ascii="Arial" w:eastAsia="Times New Roman" w:hAnsi="Arial" w:cs="Arial"/>
                <w:color w:val="000000"/>
                <w:sz w:val="10"/>
                <w:szCs w:val="10"/>
                <w:bdr w:val="none" w:sz="0" w:space="0" w:color="auto"/>
              </w:rPr>
              <w:br/>
              <w:t>të konkurrimit dhe të afateve të shqyrtimit të kërkesave për marrjen e lejeve minerare në zonat konkurruese”</w:t>
            </w:r>
          </w:p>
        </w:tc>
        <w:tc>
          <w:tcPr>
            <w:tcW w:w="834" w:type="dxa"/>
            <w:tcBorders>
              <w:top w:val="nil"/>
              <w:left w:val="nil"/>
              <w:bottom w:val="single" w:sz="4" w:space="0" w:color="auto"/>
              <w:right w:val="single" w:sz="4" w:space="0" w:color="auto"/>
            </w:tcBorders>
            <w:shd w:val="clear" w:color="auto" w:fill="auto"/>
            <w:vAlign w:val="center"/>
            <w:hideMark/>
          </w:tcPr>
          <w:p w14:paraId="3290A56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722544A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1AC72F9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w:t>
            </w:r>
          </w:p>
        </w:tc>
        <w:tc>
          <w:tcPr>
            <w:tcW w:w="1843" w:type="dxa"/>
            <w:tcBorders>
              <w:top w:val="nil"/>
              <w:left w:val="nil"/>
              <w:bottom w:val="single" w:sz="4" w:space="0" w:color="auto"/>
              <w:right w:val="single" w:sz="4" w:space="0" w:color="auto"/>
            </w:tcBorders>
            <w:shd w:val="clear" w:color="auto" w:fill="auto"/>
            <w:vAlign w:val="center"/>
            <w:hideMark/>
          </w:tcPr>
          <w:p w14:paraId="66791F1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Shfuqizimi i VKM aktuale për përditësimet e aktit me ndryshimet</w:t>
            </w:r>
            <w:r w:rsidRPr="000A0AF1">
              <w:rPr>
                <w:rFonts w:ascii="Arial" w:eastAsia="Times New Roman" w:hAnsi="Arial" w:cs="Arial"/>
                <w:color w:val="000000"/>
                <w:sz w:val="10"/>
                <w:szCs w:val="10"/>
                <w:bdr w:val="none" w:sz="0" w:space="0" w:color="auto"/>
              </w:rPr>
              <w:br/>
              <w:t xml:space="preserve"> ligjore të akteve të tjera nënligjore të lidhura me të, si dhe përcaktimi në mënyrë më të detajuar për kriteret e konkurrimit për dhënien e të drejtës për aplikim për leje minerare në Qendrën Kombëtare të Biznesit për zonat minerare konkurruese.</w:t>
            </w:r>
          </w:p>
        </w:tc>
        <w:tc>
          <w:tcPr>
            <w:tcW w:w="2126" w:type="dxa"/>
            <w:tcBorders>
              <w:top w:val="nil"/>
              <w:left w:val="nil"/>
              <w:bottom w:val="single" w:sz="4" w:space="0" w:color="auto"/>
              <w:right w:val="single" w:sz="4" w:space="0" w:color="auto"/>
            </w:tcBorders>
            <w:shd w:val="clear" w:color="auto" w:fill="auto"/>
            <w:vAlign w:val="center"/>
            <w:hideMark/>
          </w:tcPr>
          <w:p w14:paraId="4FAAF63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Procedurat për pjesmarrjen e subjekteve në konkurrimin për dhënien e së drejtës së aplikimit për leje minerare në QKB</w:t>
            </w:r>
            <w:r w:rsidRPr="000A0AF1">
              <w:rPr>
                <w:rFonts w:ascii="Arial" w:eastAsia="Times New Roman" w:hAnsi="Arial" w:cs="Arial"/>
                <w:color w:val="000000"/>
                <w:sz w:val="10"/>
                <w:szCs w:val="10"/>
                <w:bdr w:val="none" w:sz="0" w:space="0" w:color="auto"/>
              </w:rPr>
              <w:br/>
              <w:t>- Dokumentacioni I kërkuar</w:t>
            </w:r>
            <w:r w:rsidRPr="000A0AF1">
              <w:rPr>
                <w:rFonts w:ascii="Arial" w:eastAsia="Times New Roman" w:hAnsi="Arial" w:cs="Arial"/>
                <w:color w:val="000000"/>
                <w:sz w:val="10"/>
                <w:szCs w:val="10"/>
                <w:bdr w:val="none" w:sz="0" w:space="0" w:color="auto"/>
              </w:rPr>
              <w:br/>
              <w:t>- Kriteret dhe afatet e shqyrtimeve të procedurave konkurruese</w:t>
            </w:r>
          </w:p>
        </w:tc>
        <w:tc>
          <w:tcPr>
            <w:tcW w:w="1984" w:type="dxa"/>
            <w:tcBorders>
              <w:top w:val="nil"/>
              <w:left w:val="nil"/>
              <w:bottom w:val="single" w:sz="4" w:space="0" w:color="auto"/>
              <w:right w:val="single" w:sz="4" w:space="0" w:color="auto"/>
            </w:tcBorders>
            <w:shd w:val="clear" w:color="auto" w:fill="auto"/>
            <w:vAlign w:val="center"/>
            <w:hideMark/>
          </w:tcPr>
          <w:p w14:paraId="6CB4B10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6AF7A4C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Pjese e politikave per sektorin minerar</w:t>
            </w:r>
          </w:p>
        </w:tc>
        <w:tc>
          <w:tcPr>
            <w:tcW w:w="1843" w:type="dxa"/>
            <w:tcBorders>
              <w:top w:val="nil"/>
              <w:left w:val="nil"/>
              <w:bottom w:val="single" w:sz="4" w:space="0" w:color="auto"/>
              <w:right w:val="single" w:sz="4" w:space="0" w:color="auto"/>
            </w:tcBorders>
            <w:shd w:val="clear" w:color="auto" w:fill="auto"/>
            <w:vAlign w:val="center"/>
            <w:hideMark/>
          </w:tcPr>
          <w:p w14:paraId="3979DE6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Strategjia minerare</w:t>
            </w:r>
          </w:p>
        </w:tc>
        <w:tc>
          <w:tcPr>
            <w:tcW w:w="1418" w:type="dxa"/>
            <w:gridSpan w:val="2"/>
            <w:tcBorders>
              <w:top w:val="nil"/>
              <w:left w:val="nil"/>
              <w:bottom w:val="single" w:sz="4" w:space="0" w:color="auto"/>
              <w:right w:val="single" w:sz="4" w:space="0" w:color="auto"/>
            </w:tcBorders>
            <w:shd w:val="clear" w:color="auto" w:fill="auto"/>
            <w:vAlign w:val="center"/>
            <w:hideMark/>
          </w:tcPr>
          <w:p w14:paraId="135518F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63BFEDEC"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4788226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9</w:t>
            </w:r>
          </w:p>
        </w:tc>
        <w:tc>
          <w:tcPr>
            <w:tcW w:w="1130" w:type="dxa"/>
            <w:tcBorders>
              <w:top w:val="nil"/>
              <w:left w:val="nil"/>
              <w:bottom w:val="single" w:sz="4" w:space="0" w:color="auto"/>
              <w:right w:val="single" w:sz="4" w:space="0" w:color="auto"/>
            </w:tcBorders>
            <w:shd w:val="clear" w:color="auto" w:fill="auto"/>
            <w:vAlign w:val="center"/>
            <w:hideMark/>
          </w:tcPr>
          <w:p w14:paraId="4C9C73F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"Për disa ndryshime në VKM Nr. 218, </w:t>
            </w:r>
            <w:r w:rsidRPr="000A0AF1">
              <w:rPr>
                <w:rFonts w:ascii="Arial" w:eastAsia="Times New Roman" w:hAnsi="Arial" w:cs="Arial"/>
                <w:color w:val="000000"/>
                <w:sz w:val="10"/>
                <w:szCs w:val="10"/>
                <w:bdr w:val="none" w:sz="0" w:space="0" w:color="auto"/>
              </w:rPr>
              <w:br/>
              <w:t>datë 11.3.2015 “Për përcaktimin e kritereve, procedurave dhe rregullave për shfrytëzimin, në sipërfaqe dhe nëntokë, të zonave që janë ngjitur me lejet ekzistuese dhe ndryshimin e koordinatave për lejet minerare të përcaktuara në hapësirë me tri koordinata”, I ndryshuar.</w:t>
            </w:r>
          </w:p>
        </w:tc>
        <w:tc>
          <w:tcPr>
            <w:tcW w:w="834" w:type="dxa"/>
            <w:tcBorders>
              <w:top w:val="nil"/>
              <w:left w:val="nil"/>
              <w:bottom w:val="single" w:sz="4" w:space="0" w:color="auto"/>
              <w:right w:val="single" w:sz="4" w:space="0" w:color="auto"/>
            </w:tcBorders>
            <w:shd w:val="clear" w:color="auto" w:fill="auto"/>
            <w:vAlign w:val="center"/>
            <w:hideMark/>
          </w:tcPr>
          <w:p w14:paraId="291A1E4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6A0774A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3B144BF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w:t>
            </w:r>
          </w:p>
        </w:tc>
        <w:tc>
          <w:tcPr>
            <w:tcW w:w="1843" w:type="dxa"/>
            <w:tcBorders>
              <w:top w:val="nil"/>
              <w:left w:val="nil"/>
              <w:bottom w:val="single" w:sz="4" w:space="0" w:color="auto"/>
              <w:right w:val="single" w:sz="4" w:space="0" w:color="auto"/>
            </w:tcBorders>
            <w:shd w:val="clear" w:color="auto" w:fill="auto"/>
            <w:vAlign w:val="center"/>
            <w:hideMark/>
          </w:tcPr>
          <w:p w14:paraId="14B24BB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-Përcaktimi i afateve të aplikimit në QKB </w:t>
            </w:r>
            <w:r w:rsidRPr="000A0AF1">
              <w:rPr>
                <w:rFonts w:ascii="Arial" w:eastAsia="Times New Roman" w:hAnsi="Arial" w:cs="Arial"/>
                <w:color w:val="000000"/>
                <w:sz w:val="10"/>
                <w:szCs w:val="10"/>
                <w:bdr w:val="none" w:sz="0" w:space="0" w:color="auto"/>
              </w:rPr>
              <w:br/>
              <w:t>në rastet miratimit nga Ministri të ndryshimit të sipërfaqeve të lejeve minerare</w:t>
            </w:r>
          </w:p>
        </w:tc>
        <w:tc>
          <w:tcPr>
            <w:tcW w:w="2126" w:type="dxa"/>
            <w:tcBorders>
              <w:top w:val="nil"/>
              <w:left w:val="nil"/>
              <w:bottom w:val="single" w:sz="4" w:space="0" w:color="auto"/>
              <w:right w:val="single" w:sz="4" w:space="0" w:color="auto"/>
            </w:tcBorders>
            <w:shd w:val="clear" w:color="auto" w:fill="auto"/>
            <w:vAlign w:val="center"/>
            <w:hideMark/>
          </w:tcPr>
          <w:p w14:paraId="1710A72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-Vendosja e afateve të aplikimit në QKB  në rastet miratimit nga Ministri të ndryshimit të sipërfaqeve të lejeve minerare</w:t>
            </w:r>
          </w:p>
        </w:tc>
        <w:tc>
          <w:tcPr>
            <w:tcW w:w="1984" w:type="dxa"/>
            <w:tcBorders>
              <w:top w:val="nil"/>
              <w:left w:val="nil"/>
              <w:bottom w:val="single" w:sz="4" w:space="0" w:color="auto"/>
              <w:right w:val="single" w:sz="4" w:space="0" w:color="auto"/>
            </w:tcBorders>
            <w:shd w:val="clear" w:color="auto" w:fill="auto"/>
            <w:vAlign w:val="center"/>
            <w:hideMark/>
          </w:tcPr>
          <w:p w14:paraId="74E8F83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2887B55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Pjese e politikave per sektorin minerar</w:t>
            </w:r>
          </w:p>
        </w:tc>
        <w:tc>
          <w:tcPr>
            <w:tcW w:w="1843" w:type="dxa"/>
            <w:tcBorders>
              <w:top w:val="nil"/>
              <w:left w:val="nil"/>
              <w:bottom w:val="single" w:sz="4" w:space="0" w:color="auto"/>
              <w:right w:val="single" w:sz="4" w:space="0" w:color="auto"/>
            </w:tcBorders>
            <w:shd w:val="clear" w:color="auto" w:fill="auto"/>
            <w:vAlign w:val="center"/>
            <w:hideMark/>
          </w:tcPr>
          <w:p w14:paraId="7944B69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Strategjia minerare</w:t>
            </w:r>
          </w:p>
        </w:tc>
        <w:tc>
          <w:tcPr>
            <w:tcW w:w="1418" w:type="dxa"/>
            <w:gridSpan w:val="2"/>
            <w:tcBorders>
              <w:top w:val="nil"/>
              <w:left w:val="nil"/>
              <w:bottom w:val="single" w:sz="4" w:space="0" w:color="auto"/>
              <w:right w:val="single" w:sz="4" w:space="0" w:color="auto"/>
            </w:tcBorders>
            <w:shd w:val="clear" w:color="auto" w:fill="auto"/>
            <w:vAlign w:val="center"/>
            <w:hideMark/>
          </w:tcPr>
          <w:p w14:paraId="5C1D1BC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1F82773B"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551752E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10</w:t>
            </w:r>
          </w:p>
        </w:tc>
        <w:tc>
          <w:tcPr>
            <w:tcW w:w="1130" w:type="dxa"/>
            <w:tcBorders>
              <w:top w:val="nil"/>
              <w:left w:val="nil"/>
              <w:bottom w:val="single" w:sz="4" w:space="0" w:color="auto"/>
              <w:right w:val="single" w:sz="4" w:space="0" w:color="auto"/>
            </w:tcBorders>
            <w:shd w:val="clear" w:color="auto" w:fill="auto"/>
            <w:vAlign w:val="center"/>
            <w:hideMark/>
          </w:tcPr>
          <w:p w14:paraId="7AD4051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Miratimin e Rregullores për Sigurinë e Furnizimit dhe Menaxhimin e Riskut në Sektorin e Energjisë Elektrike"</w:t>
            </w:r>
          </w:p>
        </w:tc>
        <w:tc>
          <w:tcPr>
            <w:tcW w:w="834" w:type="dxa"/>
            <w:tcBorders>
              <w:top w:val="nil"/>
              <w:left w:val="nil"/>
              <w:bottom w:val="single" w:sz="4" w:space="0" w:color="auto"/>
              <w:right w:val="single" w:sz="4" w:space="0" w:color="auto"/>
            </w:tcBorders>
            <w:shd w:val="clear" w:color="auto" w:fill="auto"/>
            <w:vAlign w:val="center"/>
            <w:hideMark/>
          </w:tcPr>
          <w:p w14:paraId="32D329E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69FB5CC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6B22502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w:t>
            </w:r>
          </w:p>
        </w:tc>
        <w:tc>
          <w:tcPr>
            <w:tcW w:w="1843" w:type="dxa"/>
            <w:tcBorders>
              <w:top w:val="nil"/>
              <w:left w:val="nil"/>
              <w:bottom w:val="single" w:sz="4" w:space="0" w:color="auto"/>
              <w:right w:val="single" w:sz="4" w:space="0" w:color="auto"/>
            </w:tcBorders>
            <w:shd w:val="clear" w:color="auto" w:fill="auto"/>
            <w:vAlign w:val="center"/>
            <w:hideMark/>
          </w:tcPr>
          <w:p w14:paraId="1E699B3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Në mbështetje të Ligjit Nr. 43/2015 "Për sektorin e energjisë elektrike",  të ndryshuar si dhe Rregullores (BE) 2019/941  mbi gatishmërinë ndaj rrezikut në sektorin e energjisë elektrike dhe shfuqizimin e Direktivës 2005/89/EC</w:t>
            </w:r>
          </w:p>
        </w:tc>
        <w:tc>
          <w:tcPr>
            <w:tcW w:w="2126" w:type="dxa"/>
            <w:tcBorders>
              <w:top w:val="nil"/>
              <w:left w:val="nil"/>
              <w:bottom w:val="single" w:sz="4" w:space="0" w:color="auto"/>
              <w:right w:val="single" w:sz="4" w:space="0" w:color="auto"/>
            </w:tcBorders>
            <w:shd w:val="clear" w:color="auto" w:fill="auto"/>
            <w:vAlign w:val="center"/>
            <w:hideMark/>
          </w:tcPr>
          <w:p w14:paraId="54739B7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Qëllimi i hartimit të këtij projektvendimi, i cili përbën një akt juridik për sektorin e energjisë elektrike, nisur nga kërkesat e nenit 6  të ligjit Nr. 43/2015 "Për sektorin e energjisë elektrike", të ndryshuar, është miratimi i rregullave për sigurinë e furnizimit me energji elektrike të cilat përfshijnë masat që duhet të ndërmerren në rastet e situatave emergjente, rolin dhe detyrimet e pjesëmarrësve të tregut të energjisë elektrike në lidhje me sigurinë e furnizimit me energji elektrike                        </w:t>
            </w:r>
          </w:p>
        </w:tc>
        <w:tc>
          <w:tcPr>
            <w:tcW w:w="1984" w:type="dxa"/>
            <w:tcBorders>
              <w:top w:val="nil"/>
              <w:left w:val="nil"/>
              <w:bottom w:val="single" w:sz="4" w:space="0" w:color="auto"/>
              <w:right w:val="single" w:sz="4" w:space="0" w:color="auto"/>
            </w:tcBorders>
            <w:shd w:val="clear" w:color="auto" w:fill="auto"/>
            <w:vAlign w:val="center"/>
            <w:hideMark/>
          </w:tcPr>
          <w:p w14:paraId="721FF6F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15 "Energjia"</w:t>
            </w:r>
          </w:p>
        </w:tc>
        <w:tc>
          <w:tcPr>
            <w:tcW w:w="1843" w:type="dxa"/>
            <w:tcBorders>
              <w:top w:val="nil"/>
              <w:left w:val="nil"/>
              <w:bottom w:val="single" w:sz="4" w:space="0" w:color="auto"/>
              <w:right w:val="single" w:sz="4" w:space="0" w:color="auto"/>
            </w:tcBorders>
            <w:shd w:val="clear" w:color="auto" w:fill="auto"/>
            <w:vAlign w:val="center"/>
            <w:hideMark/>
          </w:tcPr>
          <w:p w14:paraId="4F51B67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Pjesë e politikave për zhvilimin e sektorit elektroenergjetik</w:t>
            </w:r>
          </w:p>
        </w:tc>
        <w:tc>
          <w:tcPr>
            <w:tcW w:w="1843" w:type="dxa"/>
            <w:tcBorders>
              <w:top w:val="nil"/>
              <w:left w:val="nil"/>
              <w:bottom w:val="single" w:sz="4" w:space="0" w:color="auto"/>
              <w:right w:val="single" w:sz="4" w:space="0" w:color="auto"/>
            </w:tcBorders>
            <w:shd w:val="clear" w:color="auto" w:fill="auto"/>
            <w:vAlign w:val="center"/>
            <w:hideMark/>
          </w:tcPr>
          <w:p w14:paraId="0CD3077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Vendim nr. 480, datë 31.7.2018 “Për miratimin e strategjisë kombëtare të energjisë për periudhën 2018–2030”</w:t>
            </w:r>
          </w:p>
        </w:tc>
        <w:tc>
          <w:tcPr>
            <w:tcW w:w="1418" w:type="dxa"/>
            <w:gridSpan w:val="2"/>
            <w:tcBorders>
              <w:top w:val="nil"/>
              <w:left w:val="nil"/>
              <w:bottom w:val="single" w:sz="4" w:space="0" w:color="auto"/>
              <w:right w:val="single" w:sz="4" w:space="0" w:color="auto"/>
            </w:tcBorders>
            <w:shd w:val="clear" w:color="auto" w:fill="auto"/>
            <w:vAlign w:val="center"/>
            <w:hideMark/>
          </w:tcPr>
          <w:p w14:paraId="16D25E9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4E01D21E"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B24DFC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11</w:t>
            </w:r>
          </w:p>
        </w:tc>
        <w:tc>
          <w:tcPr>
            <w:tcW w:w="1130" w:type="dxa"/>
            <w:tcBorders>
              <w:top w:val="nil"/>
              <w:left w:val="nil"/>
              <w:bottom w:val="single" w:sz="4" w:space="0" w:color="auto"/>
              <w:right w:val="single" w:sz="4" w:space="0" w:color="auto"/>
            </w:tcBorders>
            <w:shd w:val="clear" w:color="auto" w:fill="auto"/>
            <w:vAlign w:val="center"/>
            <w:hideMark/>
          </w:tcPr>
          <w:p w14:paraId="00A900B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"Për miratimin e Strategjise se Sektorit te Transportit 2025"</w:t>
            </w:r>
          </w:p>
        </w:tc>
        <w:tc>
          <w:tcPr>
            <w:tcW w:w="834" w:type="dxa"/>
            <w:tcBorders>
              <w:top w:val="nil"/>
              <w:left w:val="nil"/>
              <w:bottom w:val="single" w:sz="4" w:space="0" w:color="auto"/>
              <w:right w:val="single" w:sz="4" w:space="0" w:color="auto"/>
            </w:tcBorders>
            <w:shd w:val="clear" w:color="auto" w:fill="auto"/>
            <w:vAlign w:val="center"/>
            <w:hideMark/>
          </w:tcPr>
          <w:p w14:paraId="6E8CAA2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Projektvendim</w:t>
            </w:r>
          </w:p>
        </w:tc>
        <w:tc>
          <w:tcPr>
            <w:tcW w:w="839" w:type="dxa"/>
            <w:tcBorders>
              <w:top w:val="nil"/>
              <w:left w:val="nil"/>
              <w:bottom w:val="single" w:sz="4" w:space="0" w:color="auto"/>
              <w:right w:val="single" w:sz="4" w:space="0" w:color="auto"/>
            </w:tcBorders>
            <w:shd w:val="clear" w:color="auto" w:fill="auto"/>
            <w:vAlign w:val="center"/>
            <w:hideMark/>
          </w:tcPr>
          <w:p w14:paraId="256916F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4BA354A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w:t>
            </w:r>
          </w:p>
        </w:tc>
        <w:tc>
          <w:tcPr>
            <w:tcW w:w="1843" w:type="dxa"/>
            <w:tcBorders>
              <w:top w:val="nil"/>
              <w:left w:val="nil"/>
              <w:bottom w:val="single" w:sz="4" w:space="0" w:color="auto"/>
              <w:right w:val="single" w:sz="4" w:space="0" w:color="auto"/>
            </w:tcBorders>
            <w:shd w:val="clear" w:color="auto" w:fill="auto"/>
            <w:vAlign w:val="center"/>
            <w:hideMark/>
          </w:tcPr>
          <w:p w14:paraId="53F370B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Hartimi dhe miratimi I Strategjise se Sektorit te Transportit eshte nje rekomandim I vazhdueshem (qe nga viti 2021) i Raporteve te Progresit.</w:t>
            </w:r>
          </w:p>
        </w:tc>
        <w:tc>
          <w:tcPr>
            <w:tcW w:w="2126" w:type="dxa"/>
            <w:tcBorders>
              <w:top w:val="nil"/>
              <w:left w:val="nil"/>
              <w:bottom w:val="single" w:sz="4" w:space="0" w:color="auto"/>
              <w:right w:val="single" w:sz="4" w:space="0" w:color="auto"/>
            </w:tcBorders>
            <w:shd w:val="clear" w:color="auto" w:fill="auto"/>
            <w:vAlign w:val="center"/>
            <w:hideMark/>
          </w:tcPr>
          <w:p w14:paraId="3D382BD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Ky projektvendim ka për qëllim të miratojë strategjine e sektorit te transportit deri ne vitin 2025, duke dhene prioritetet strategjike, objektivat ku do arrihet dhe masat per arritjen e tyre.</w:t>
            </w:r>
          </w:p>
        </w:tc>
        <w:tc>
          <w:tcPr>
            <w:tcW w:w="1984" w:type="dxa"/>
            <w:tcBorders>
              <w:top w:val="nil"/>
              <w:left w:val="nil"/>
              <w:bottom w:val="single" w:sz="4" w:space="0" w:color="auto"/>
              <w:right w:val="single" w:sz="4" w:space="0" w:color="auto"/>
            </w:tcBorders>
            <w:shd w:val="clear" w:color="auto" w:fill="auto"/>
            <w:vAlign w:val="center"/>
            <w:hideMark/>
          </w:tcPr>
          <w:p w14:paraId="2EF5DD2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000000" w:fill="FFFFFF"/>
            <w:vAlign w:val="center"/>
            <w:hideMark/>
          </w:tcPr>
          <w:p w14:paraId="2930D33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000000" w:fill="FFFFFF"/>
            <w:vAlign w:val="center"/>
            <w:hideMark/>
          </w:tcPr>
          <w:p w14:paraId="5122CBF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SKZHI 2030</w:t>
            </w:r>
          </w:p>
        </w:tc>
        <w:tc>
          <w:tcPr>
            <w:tcW w:w="1418" w:type="dxa"/>
            <w:gridSpan w:val="2"/>
            <w:tcBorders>
              <w:top w:val="nil"/>
              <w:left w:val="nil"/>
              <w:bottom w:val="single" w:sz="4" w:space="0" w:color="auto"/>
              <w:right w:val="single" w:sz="4" w:space="0" w:color="auto"/>
            </w:tcBorders>
            <w:shd w:val="clear" w:color="000000" w:fill="FFFFFF"/>
            <w:vAlign w:val="center"/>
            <w:hideMark/>
          </w:tcPr>
          <w:p w14:paraId="3EF8131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538906A6"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36E6A48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12</w:t>
            </w:r>
          </w:p>
        </w:tc>
        <w:tc>
          <w:tcPr>
            <w:tcW w:w="1130" w:type="dxa"/>
            <w:tcBorders>
              <w:top w:val="nil"/>
              <w:left w:val="nil"/>
              <w:bottom w:val="single" w:sz="4" w:space="0" w:color="auto"/>
              <w:right w:val="single" w:sz="4" w:space="0" w:color="auto"/>
            </w:tcBorders>
            <w:shd w:val="clear" w:color="auto" w:fill="auto"/>
            <w:vAlign w:val="center"/>
            <w:hideMark/>
          </w:tcPr>
          <w:p w14:paraId="4942FB3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Projekt-Ligj per ratifikimin/aderimin ne aktet finale te Kongresit te UPU-se 2018 dhe 2019</w:t>
            </w:r>
          </w:p>
        </w:tc>
        <w:tc>
          <w:tcPr>
            <w:tcW w:w="834" w:type="dxa"/>
            <w:tcBorders>
              <w:top w:val="nil"/>
              <w:left w:val="nil"/>
              <w:bottom w:val="single" w:sz="4" w:space="0" w:color="auto"/>
              <w:right w:val="single" w:sz="4" w:space="0" w:color="auto"/>
            </w:tcBorders>
            <w:shd w:val="clear" w:color="auto" w:fill="auto"/>
            <w:vAlign w:val="center"/>
            <w:hideMark/>
          </w:tcPr>
          <w:p w14:paraId="29ACC9A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64C0962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4B4D66D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736FAFB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Permbushja e detyrimeve nderkombetare per anetaresimin ne UPU</w:t>
            </w:r>
          </w:p>
        </w:tc>
        <w:tc>
          <w:tcPr>
            <w:tcW w:w="2126" w:type="dxa"/>
            <w:tcBorders>
              <w:top w:val="nil"/>
              <w:left w:val="nil"/>
              <w:bottom w:val="single" w:sz="4" w:space="0" w:color="auto"/>
              <w:right w:val="single" w:sz="4" w:space="0" w:color="auto"/>
            </w:tcBorders>
            <w:shd w:val="clear" w:color="auto" w:fill="auto"/>
            <w:vAlign w:val="center"/>
            <w:hideMark/>
          </w:tcPr>
          <w:p w14:paraId="1EB5806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Perditesim per rregullat postare nderkombetare</w:t>
            </w:r>
          </w:p>
        </w:tc>
        <w:tc>
          <w:tcPr>
            <w:tcW w:w="1984" w:type="dxa"/>
            <w:tcBorders>
              <w:top w:val="nil"/>
              <w:left w:val="nil"/>
              <w:bottom w:val="single" w:sz="4" w:space="0" w:color="auto"/>
              <w:right w:val="single" w:sz="4" w:space="0" w:color="auto"/>
            </w:tcBorders>
            <w:shd w:val="clear" w:color="auto" w:fill="auto"/>
            <w:vAlign w:val="center"/>
            <w:hideMark/>
          </w:tcPr>
          <w:p w14:paraId="340C102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000000" w:fill="FFFFFF"/>
            <w:vAlign w:val="center"/>
            <w:hideMark/>
          </w:tcPr>
          <w:p w14:paraId="4DD4004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000000" w:fill="FFFFFF"/>
            <w:vAlign w:val="center"/>
            <w:hideMark/>
          </w:tcPr>
          <w:p w14:paraId="591C984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VKM nr. 207 date 6.4.2022 "Per miratimin e dokumentit te politikes postare ne Republiken e Shqiperise"</w:t>
            </w:r>
          </w:p>
        </w:tc>
        <w:tc>
          <w:tcPr>
            <w:tcW w:w="1418" w:type="dxa"/>
            <w:gridSpan w:val="2"/>
            <w:tcBorders>
              <w:top w:val="nil"/>
              <w:left w:val="nil"/>
              <w:bottom w:val="single" w:sz="4" w:space="0" w:color="auto"/>
              <w:right w:val="single" w:sz="4" w:space="0" w:color="auto"/>
            </w:tcBorders>
            <w:shd w:val="clear" w:color="000000" w:fill="FFFFFF"/>
            <w:vAlign w:val="center"/>
            <w:hideMark/>
          </w:tcPr>
          <w:p w14:paraId="390A19B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5C3549D5"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4AD0FC9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13</w:t>
            </w:r>
          </w:p>
        </w:tc>
        <w:tc>
          <w:tcPr>
            <w:tcW w:w="1130" w:type="dxa"/>
            <w:tcBorders>
              <w:top w:val="nil"/>
              <w:left w:val="nil"/>
              <w:bottom w:val="single" w:sz="4" w:space="0" w:color="auto"/>
              <w:right w:val="single" w:sz="4" w:space="0" w:color="auto"/>
            </w:tcBorders>
            <w:shd w:val="clear" w:color="000000" w:fill="FFFFFF"/>
            <w:vAlign w:val="center"/>
            <w:hideMark/>
          </w:tcPr>
          <w:p w14:paraId="4E7761C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Për disa ndryshime në ligjin Nr. 43/2015 "Për sektorin e energjisë elektrike", të ndryshuar</w:t>
            </w:r>
          </w:p>
        </w:tc>
        <w:tc>
          <w:tcPr>
            <w:tcW w:w="834" w:type="dxa"/>
            <w:tcBorders>
              <w:top w:val="nil"/>
              <w:left w:val="nil"/>
              <w:bottom w:val="single" w:sz="4" w:space="0" w:color="auto"/>
              <w:right w:val="single" w:sz="4" w:space="0" w:color="auto"/>
            </w:tcBorders>
            <w:shd w:val="clear" w:color="auto" w:fill="auto"/>
            <w:vAlign w:val="center"/>
            <w:hideMark/>
          </w:tcPr>
          <w:p w14:paraId="54F00F1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187F33A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62EE63A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6E7164B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Adreson rekomandimet e BE e për transpozimin e Direktivës (BE) 2019/944 mbi rregullat e përbashkëta për tregun e brendshëm të energjisë elektrike dhe ndryshimin e Direktivës 2012/27/BE si dhe Rregullores (BE) 2019/943 mbi tregun e brendshëm të energjisë elektrike</w:t>
            </w:r>
          </w:p>
        </w:tc>
        <w:tc>
          <w:tcPr>
            <w:tcW w:w="2126" w:type="dxa"/>
            <w:tcBorders>
              <w:top w:val="nil"/>
              <w:left w:val="nil"/>
              <w:bottom w:val="single" w:sz="4" w:space="0" w:color="auto"/>
              <w:right w:val="single" w:sz="4" w:space="0" w:color="auto"/>
            </w:tcBorders>
            <w:shd w:val="clear" w:color="auto" w:fill="auto"/>
            <w:vAlign w:val="center"/>
            <w:hideMark/>
          </w:tcPr>
          <w:p w14:paraId="0F31AE0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Projektligji parashikon percaktimin e rregullave të përbashkëta për prodhimin, transmetimin, shpërndarjen dhe furnizimin me energji elektrike, së bashku me dispozitat për mbrojtjen e konsumatorit, me qellim krijimin e kushteve për një treg të integruar të energjisë elektrike në rajon si dhe përmirësimin e sigurisë së furnizimit dhe funksionimin e përgjithshëm të sistemit energjetik të Shqipërisë</w:t>
            </w:r>
          </w:p>
        </w:tc>
        <w:tc>
          <w:tcPr>
            <w:tcW w:w="1984" w:type="dxa"/>
            <w:tcBorders>
              <w:top w:val="nil"/>
              <w:left w:val="nil"/>
              <w:bottom w:val="single" w:sz="4" w:space="0" w:color="auto"/>
              <w:right w:val="single" w:sz="4" w:space="0" w:color="auto"/>
            </w:tcBorders>
            <w:shd w:val="clear" w:color="auto" w:fill="auto"/>
            <w:vAlign w:val="center"/>
            <w:hideMark/>
          </w:tcPr>
          <w:p w14:paraId="7FEE0B9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15 "Energjia"</w:t>
            </w:r>
          </w:p>
        </w:tc>
        <w:tc>
          <w:tcPr>
            <w:tcW w:w="1843" w:type="dxa"/>
            <w:tcBorders>
              <w:top w:val="nil"/>
              <w:left w:val="nil"/>
              <w:bottom w:val="single" w:sz="4" w:space="0" w:color="auto"/>
              <w:right w:val="single" w:sz="4" w:space="0" w:color="auto"/>
            </w:tcBorders>
            <w:shd w:val="clear" w:color="auto" w:fill="auto"/>
            <w:vAlign w:val="center"/>
            <w:hideMark/>
          </w:tcPr>
          <w:p w14:paraId="6A3FCA3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Pjesë e politikave për zhvilimin e sektorit elektroenergjetik</w:t>
            </w:r>
          </w:p>
        </w:tc>
        <w:tc>
          <w:tcPr>
            <w:tcW w:w="1843" w:type="dxa"/>
            <w:tcBorders>
              <w:top w:val="nil"/>
              <w:left w:val="nil"/>
              <w:bottom w:val="single" w:sz="4" w:space="0" w:color="auto"/>
              <w:right w:val="single" w:sz="4" w:space="0" w:color="auto"/>
            </w:tcBorders>
            <w:shd w:val="clear" w:color="auto" w:fill="auto"/>
            <w:vAlign w:val="center"/>
            <w:hideMark/>
          </w:tcPr>
          <w:p w14:paraId="2C3E887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Vendim nr. 480, datë 31.7.2018 “Për miratimin e strategjisë kombëtare të energjisë për periudhën 2018–2030”</w:t>
            </w:r>
          </w:p>
        </w:tc>
        <w:tc>
          <w:tcPr>
            <w:tcW w:w="1418" w:type="dxa"/>
            <w:gridSpan w:val="2"/>
            <w:tcBorders>
              <w:top w:val="nil"/>
              <w:left w:val="nil"/>
              <w:bottom w:val="single" w:sz="4" w:space="0" w:color="auto"/>
              <w:right w:val="single" w:sz="4" w:space="0" w:color="auto"/>
            </w:tcBorders>
            <w:shd w:val="clear" w:color="auto" w:fill="auto"/>
            <w:vAlign w:val="center"/>
            <w:hideMark/>
          </w:tcPr>
          <w:p w14:paraId="7605EBD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746D1A5E"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035E492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14</w:t>
            </w:r>
          </w:p>
        </w:tc>
        <w:tc>
          <w:tcPr>
            <w:tcW w:w="1130" w:type="dxa"/>
            <w:tcBorders>
              <w:top w:val="nil"/>
              <w:left w:val="nil"/>
              <w:bottom w:val="single" w:sz="4" w:space="0" w:color="auto"/>
              <w:right w:val="single" w:sz="4" w:space="0" w:color="auto"/>
            </w:tcBorders>
            <w:shd w:val="clear" w:color="auto" w:fill="auto"/>
            <w:vAlign w:val="center"/>
            <w:hideMark/>
          </w:tcPr>
          <w:p w14:paraId="5329D9D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“Për prodhimin, transportin dhe tregtimin e biokarburanteve </w:t>
            </w:r>
            <w:r w:rsidRPr="000A0AF1">
              <w:rPr>
                <w:rFonts w:ascii="Arial" w:eastAsia="Times New Roman" w:hAnsi="Arial" w:cs="Arial"/>
                <w:color w:val="000000"/>
                <w:sz w:val="10"/>
                <w:szCs w:val="10"/>
                <w:bdr w:val="none" w:sz="0" w:space="0" w:color="auto"/>
              </w:rPr>
              <w:br/>
              <w:t>dhe lëndëve djegëse të tjera të rinovueshme, për transport”</w:t>
            </w:r>
          </w:p>
        </w:tc>
        <w:tc>
          <w:tcPr>
            <w:tcW w:w="834" w:type="dxa"/>
            <w:tcBorders>
              <w:top w:val="nil"/>
              <w:left w:val="nil"/>
              <w:bottom w:val="single" w:sz="4" w:space="0" w:color="auto"/>
              <w:right w:val="single" w:sz="4" w:space="0" w:color="auto"/>
            </w:tcBorders>
            <w:shd w:val="clear" w:color="auto" w:fill="auto"/>
            <w:vAlign w:val="center"/>
            <w:hideMark/>
          </w:tcPr>
          <w:p w14:paraId="0796606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2EFC0BD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165FA74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6EA0222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Per te perafruar Direktiven (BE) 2018/2001 e Parlamentit Evropian dhe e Këshillit e datës 11 dhjetor 2018 për promovimin e përdorimit të energjisë nga burimet e rinovueshme (VETËM SEKSIONETqe kane te bejne me fushën e karburanteve të rinovueshme për sektorin e transportit)</w:t>
            </w:r>
          </w:p>
        </w:tc>
        <w:tc>
          <w:tcPr>
            <w:tcW w:w="2126" w:type="dxa"/>
            <w:tcBorders>
              <w:top w:val="nil"/>
              <w:left w:val="nil"/>
              <w:bottom w:val="single" w:sz="4" w:space="0" w:color="auto"/>
              <w:right w:val="single" w:sz="4" w:space="0" w:color="auto"/>
            </w:tcBorders>
            <w:shd w:val="clear" w:color="auto" w:fill="auto"/>
            <w:vAlign w:val="center"/>
            <w:hideMark/>
          </w:tcPr>
          <w:p w14:paraId="104B458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Projektligji për Biokarburantet i vitit 2016, i cili synonte shfuqizimin e ligjit nr. 9876 dhe transpozimin e dispozitave të Direktivës 2009/28/EC të shfuqizuar në lidhje me biokarburantet dhe lëndët djegëse të tjera të rinovueshme për transport. Ky version u anulua për rishikimin e tij në përputhje me Direktivën (BE) 2018/2001.MIE ka hartuar Projektligjin e ri për Biokarburantet duke reflektuar elementet e reja të Direktivës (BE) 2018/2001 si dhe duke marrë parasysh sugjerimet e bëra nga palët e interesuara në komisionet parlamentare. Për përgatitjen e këtij Projektligji, MIE ka bashkëpunuar me ekspertë të Sekretariatit të Komunitetit të Energjisë.</w:t>
            </w:r>
          </w:p>
        </w:tc>
        <w:tc>
          <w:tcPr>
            <w:tcW w:w="1984" w:type="dxa"/>
            <w:tcBorders>
              <w:top w:val="nil"/>
              <w:left w:val="nil"/>
              <w:bottom w:val="single" w:sz="4" w:space="0" w:color="auto"/>
              <w:right w:val="single" w:sz="4" w:space="0" w:color="auto"/>
            </w:tcBorders>
            <w:shd w:val="clear" w:color="auto" w:fill="auto"/>
            <w:vAlign w:val="center"/>
            <w:hideMark/>
          </w:tcPr>
          <w:p w14:paraId="32B8172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15 "Energjia"</w:t>
            </w:r>
          </w:p>
        </w:tc>
        <w:tc>
          <w:tcPr>
            <w:tcW w:w="1843" w:type="dxa"/>
            <w:tcBorders>
              <w:top w:val="nil"/>
              <w:left w:val="nil"/>
              <w:bottom w:val="single" w:sz="4" w:space="0" w:color="auto"/>
              <w:right w:val="single" w:sz="4" w:space="0" w:color="auto"/>
            </w:tcBorders>
            <w:shd w:val="clear" w:color="auto" w:fill="auto"/>
            <w:vAlign w:val="center"/>
            <w:hideMark/>
          </w:tcPr>
          <w:p w14:paraId="5B5D005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Pjesë e politikave për zhvilimin e sektorit energjetik duke promovuar perdorimin e energjive te rinovueshme</w:t>
            </w:r>
          </w:p>
        </w:tc>
        <w:tc>
          <w:tcPr>
            <w:tcW w:w="1843" w:type="dxa"/>
            <w:tcBorders>
              <w:top w:val="nil"/>
              <w:left w:val="nil"/>
              <w:bottom w:val="single" w:sz="4" w:space="0" w:color="auto"/>
              <w:right w:val="single" w:sz="4" w:space="0" w:color="auto"/>
            </w:tcBorders>
            <w:shd w:val="clear" w:color="auto" w:fill="auto"/>
            <w:vAlign w:val="center"/>
            <w:hideMark/>
          </w:tcPr>
          <w:p w14:paraId="19E30D4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Vendim nr. 480, datë 31.7.2018 “Për miratimin e strategjisë kombëtare të energjisë për periudhën 2018–2030”</w:t>
            </w:r>
          </w:p>
        </w:tc>
        <w:tc>
          <w:tcPr>
            <w:tcW w:w="1418" w:type="dxa"/>
            <w:gridSpan w:val="2"/>
            <w:tcBorders>
              <w:top w:val="nil"/>
              <w:left w:val="nil"/>
              <w:bottom w:val="single" w:sz="4" w:space="0" w:color="auto"/>
              <w:right w:val="single" w:sz="4" w:space="0" w:color="auto"/>
            </w:tcBorders>
            <w:shd w:val="clear" w:color="auto" w:fill="auto"/>
            <w:vAlign w:val="center"/>
            <w:hideMark/>
          </w:tcPr>
          <w:p w14:paraId="368055E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3CFB260B"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18998DF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15</w:t>
            </w:r>
          </w:p>
        </w:tc>
        <w:tc>
          <w:tcPr>
            <w:tcW w:w="1130" w:type="dxa"/>
            <w:tcBorders>
              <w:top w:val="nil"/>
              <w:left w:val="nil"/>
              <w:bottom w:val="single" w:sz="4" w:space="0" w:color="auto"/>
              <w:right w:val="single" w:sz="4" w:space="0" w:color="auto"/>
            </w:tcBorders>
            <w:shd w:val="clear" w:color="auto" w:fill="auto"/>
            <w:vAlign w:val="center"/>
            <w:hideMark/>
          </w:tcPr>
          <w:p w14:paraId="55E84CD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"Për disa ndryshime në Ligjin nr. 10304 </w:t>
            </w:r>
            <w:r w:rsidRPr="000A0AF1">
              <w:rPr>
                <w:rFonts w:ascii="Arial" w:eastAsia="Times New Roman" w:hAnsi="Arial" w:cs="Arial"/>
                <w:color w:val="000000"/>
                <w:sz w:val="10"/>
                <w:szCs w:val="10"/>
                <w:bdr w:val="none" w:sz="0" w:space="0" w:color="auto"/>
              </w:rPr>
              <w:br/>
              <w:t>“Për Sektorin Minerar në Republikën e Shqipërisë”, i ndryshuar.</w:t>
            </w:r>
          </w:p>
        </w:tc>
        <w:tc>
          <w:tcPr>
            <w:tcW w:w="834" w:type="dxa"/>
            <w:tcBorders>
              <w:top w:val="nil"/>
              <w:left w:val="nil"/>
              <w:bottom w:val="single" w:sz="4" w:space="0" w:color="auto"/>
              <w:right w:val="single" w:sz="4" w:space="0" w:color="auto"/>
            </w:tcBorders>
            <w:shd w:val="clear" w:color="auto" w:fill="auto"/>
            <w:vAlign w:val="center"/>
            <w:hideMark/>
          </w:tcPr>
          <w:p w14:paraId="4BD7D31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31C9885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1B808F4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2E04910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Përmirësimi i praktikave të</w:t>
            </w:r>
            <w:r w:rsidRPr="000A0AF1">
              <w:rPr>
                <w:rFonts w:ascii="Arial" w:eastAsia="Times New Roman" w:hAnsi="Arial" w:cs="Arial"/>
                <w:color w:val="000000"/>
                <w:sz w:val="10"/>
                <w:szCs w:val="10"/>
                <w:bdr w:val="none" w:sz="0" w:space="0" w:color="auto"/>
              </w:rPr>
              <w:br/>
              <w:t xml:space="preserve"> punës në lidhje me veprimtarinë minerare</w:t>
            </w:r>
          </w:p>
        </w:tc>
        <w:tc>
          <w:tcPr>
            <w:tcW w:w="2126" w:type="dxa"/>
            <w:tcBorders>
              <w:top w:val="nil"/>
              <w:left w:val="nil"/>
              <w:bottom w:val="single" w:sz="4" w:space="0" w:color="auto"/>
              <w:right w:val="single" w:sz="4" w:space="0" w:color="auto"/>
            </w:tcBorders>
            <w:shd w:val="clear" w:color="auto" w:fill="auto"/>
            <w:vAlign w:val="center"/>
            <w:hideMark/>
          </w:tcPr>
          <w:p w14:paraId="003D4A7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Vënia e afateve për                                                                                                                                                                                                                                                                 pezullimin e përkohshëm të lejeve minerare, kur pezullimi kërkohet nga vetë subjekti</w:t>
            </w:r>
            <w:r w:rsidRPr="000A0AF1">
              <w:rPr>
                <w:rFonts w:ascii="Arial" w:eastAsia="Times New Roman" w:hAnsi="Arial" w:cs="Arial"/>
                <w:color w:val="000000"/>
                <w:sz w:val="10"/>
                <w:szCs w:val="10"/>
                <w:bdr w:val="none" w:sz="0" w:space="0" w:color="auto"/>
              </w:rPr>
              <w:br/>
              <w:t>- Heqja e detyrimit të subjektit për të paraqitur në MIE kërkesën për heqje nga fondi pyjor (kërkesa do bëhet te ministria përgjegjëse pë mjedisin)</w:t>
            </w:r>
            <w:r w:rsidRPr="000A0AF1">
              <w:rPr>
                <w:rFonts w:ascii="Arial" w:eastAsia="Times New Roman" w:hAnsi="Arial" w:cs="Arial"/>
                <w:color w:val="000000"/>
                <w:sz w:val="10"/>
                <w:szCs w:val="10"/>
                <w:bdr w:val="none" w:sz="0" w:space="0" w:color="auto"/>
              </w:rPr>
              <w:br/>
              <w:t>- Heqja nga fondi pyjor i sipërfaqes minerare njëkohësisht me marrjen e lejes së mjedisit.</w:t>
            </w:r>
          </w:p>
        </w:tc>
        <w:tc>
          <w:tcPr>
            <w:tcW w:w="1984" w:type="dxa"/>
            <w:tcBorders>
              <w:top w:val="nil"/>
              <w:left w:val="nil"/>
              <w:bottom w:val="single" w:sz="4" w:space="0" w:color="auto"/>
              <w:right w:val="single" w:sz="4" w:space="0" w:color="auto"/>
            </w:tcBorders>
            <w:shd w:val="clear" w:color="auto" w:fill="auto"/>
            <w:vAlign w:val="center"/>
            <w:hideMark/>
          </w:tcPr>
          <w:p w14:paraId="4A5D4C5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784621B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Pjese e politikave per sektorin minerar</w:t>
            </w:r>
          </w:p>
        </w:tc>
        <w:tc>
          <w:tcPr>
            <w:tcW w:w="1843" w:type="dxa"/>
            <w:tcBorders>
              <w:top w:val="nil"/>
              <w:left w:val="nil"/>
              <w:bottom w:val="single" w:sz="4" w:space="0" w:color="auto"/>
              <w:right w:val="single" w:sz="4" w:space="0" w:color="auto"/>
            </w:tcBorders>
            <w:shd w:val="clear" w:color="auto" w:fill="auto"/>
            <w:vAlign w:val="center"/>
            <w:hideMark/>
          </w:tcPr>
          <w:p w14:paraId="35881A4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Strategjia minerare</w:t>
            </w:r>
          </w:p>
        </w:tc>
        <w:tc>
          <w:tcPr>
            <w:tcW w:w="1418" w:type="dxa"/>
            <w:gridSpan w:val="2"/>
            <w:tcBorders>
              <w:top w:val="nil"/>
              <w:left w:val="nil"/>
              <w:bottom w:val="single" w:sz="4" w:space="0" w:color="auto"/>
              <w:right w:val="single" w:sz="4" w:space="0" w:color="auto"/>
            </w:tcBorders>
            <w:shd w:val="clear" w:color="auto" w:fill="auto"/>
            <w:vAlign w:val="center"/>
            <w:hideMark/>
          </w:tcPr>
          <w:p w14:paraId="4164396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4FA43FE1"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09EF56F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16</w:t>
            </w:r>
          </w:p>
        </w:tc>
        <w:tc>
          <w:tcPr>
            <w:tcW w:w="1130" w:type="dxa"/>
            <w:tcBorders>
              <w:top w:val="nil"/>
              <w:left w:val="nil"/>
              <w:bottom w:val="single" w:sz="4" w:space="0" w:color="auto"/>
              <w:right w:val="single" w:sz="4" w:space="0" w:color="auto"/>
            </w:tcBorders>
            <w:shd w:val="clear" w:color="auto" w:fill="auto"/>
            <w:vAlign w:val="center"/>
            <w:hideMark/>
          </w:tcPr>
          <w:p w14:paraId="3DE88CA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Per disa ndryshime ne ligjin Nr. 8378, date 22.7.1998, "Kodi Rrugor I Republikes se Shqiperise ", I ndryshuar</w:t>
            </w:r>
          </w:p>
        </w:tc>
        <w:tc>
          <w:tcPr>
            <w:tcW w:w="834" w:type="dxa"/>
            <w:tcBorders>
              <w:top w:val="nil"/>
              <w:left w:val="nil"/>
              <w:bottom w:val="single" w:sz="4" w:space="0" w:color="auto"/>
              <w:right w:val="single" w:sz="4" w:space="0" w:color="auto"/>
            </w:tcBorders>
            <w:shd w:val="clear" w:color="auto" w:fill="auto"/>
            <w:vAlign w:val="center"/>
            <w:hideMark/>
          </w:tcPr>
          <w:p w14:paraId="1D681E9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3E69298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636A976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000000" w:fill="FFFFFF"/>
            <w:vAlign w:val="center"/>
            <w:hideMark/>
          </w:tcPr>
          <w:p w14:paraId="0B400EB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 xml:space="preserve">Transpozim i Direktives se KEshillit  96/53/EC e 25 Korrik 1996 qe percakton per disa lloje mjetesh qe qarkullojne brenda Komunitetit dimensionet maksimale te autorizuara ne trafikun kombetar dhe nderkombetar dhe peshat maksimale te autorizuara ne trafikun nderkombetar </w:t>
            </w:r>
          </w:p>
        </w:tc>
        <w:tc>
          <w:tcPr>
            <w:tcW w:w="2126" w:type="dxa"/>
            <w:tcBorders>
              <w:top w:val="nil"/>
              <w:left w:val="nil"/>
              <w:bottom w:val="single" w:sz="4" w:space="0" w:color="auto"/>
              <w:right w:val="single" w:sz="4" w:space="0" w:color="auto"/>
            </w:tcBorders>
            <w:shd w:val="clear" w:color="000000" w:fill="FFFFFF"/>
            <w:vAlign w:val="center"/>
            <w:hideMark/>
          </w:tcPr>
          <w:p w14:paraId="338114F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Vendosen norma teknike per permasat dhe peshat e mjeteve ne qarkullim sipas normave te harmonizuara Evropiane ne direktiven perkatese.</w:t>
            </w:r>
          </w:p>
        </w:tc>
        <w:tc>
          <w:tcPr>
            <w:tcW w:w="1984" w:type="dxa"/>
            <w:tcBorders>
              <w:top w:val="nil"/>
              <w:left w:val="nil"/>
              <w:bottom w:val="single" w:sz="4" w:space="0" w:color="auto"/>
              <w:right w:val="single" w:sz="4" w:space="0" w:color="auto"/>
            </w:tcBorders>
            <w:shd w:val="clear" w:color="auto" w:fill="auto"/>
            <w:vAlign w:val="center"/>
            <w:hideMark/>
          </w:tcPr>
          <w:p w14:paraId="7A0F029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14</w:t>
            </w:r>
          </w:p>
        </w:tc>
        <w:tc>
          <w:tcPr>
            <w:tcW w:w="1843" w:type="dxa"/>
            <w:tcBorders>
              <w:top w:val="nil"/>
              <w:left w:val="nil"/>
              <w:bottom w:val="single" w:sz="4" w:space="0" w:color="auto"/>
              <w:right w:val="single" w:sz="4" w:space="0" w:color="auto"/>
            </w:tcBorders>
            <w:shd w:val="clear" w:color="auto" w:fill="auto"/>
            <w:vAlign w:val="center"/>
            <w:hideMark/>
          </w:tcPr>
          <w:p w14:paraId="2CE2CB5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139FD83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Jo</w:t>
            </w:r>
          </w:p>
        </w:tc>
        <w:tc>
          <w:tcPr>
            <w:tcW w:w="1418" w:type="dxa"/>
            <w:gridSpan w:val="2"/>
            <w:tcBorders>
              <w:top w:val="nil"/>
              <w:left w:val="nil"/>
              <w:bottom w:val="single" w:sz="4" w:space="0" w:color="auto"/>
              <w:right w:val="single" w:sz="4" w:space="0" w:color="auto"/>
            </w:tcBorders>
            <w:shd w:val="clear" w:color="auto" w:fill="auto"/>
            <w:vAlign w:val="center"/>
            <w:hideMark/>
          </w:tcPr>
          <w:p w14:paraId="7637A43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Jo</w:t>
            </w:r>
          </w:p>
        </w:tc>
      </w:tr>
      <w:tr w:rsidR="000A0AF1" w:rsidRPr="000A0AF1" w14:paraId="36CFFEBD"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B33697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17</w:t>
            </w:r>
          </w:p>
        </w:tc>
        <w:tc>
          <w:tcPr>
            <w:tcW w:w="1130" w:type="dxa"/>
            <w:tcBorders>
              <w:top w:val="nil"/>
              <w:left w:val="nil"/>
              <w:bottom w:val="single" w:sz="4" w:space="0" w:color="auto"/>
              <w:right w:val="single" w:sz="4" w:space="0" w:color="auto"/>
            </w:tcBorders>
            <w:shd w:val="clear" w:color="auto" w:fill="auto"/>
            <w:vAlign w:val="center"/>
            <w:hideMark/>
          </w:tcPr>
          <w:p w14:paraId="2E62B69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"Për efiçencën e energjisë" </w:t>
            </w:r>
          </w:p>
        </w:tc>
        <w:tc>
          <w:tcPr>
            <w:tcW w:w="834" w:type="dxa"/>
            <w:tcBorders>
              <w:top w:val="nil"/>
              <w:left w:val="nil"/>
              <w:bottom w:val="single" w:sz="4" w:space="0" w:color="auto"/>
              <w:right w:val="single" w:sz="4" w:space="0" w:color="auto"/>
            </w:tcBorders>
            <w:shd w:val="clear" w:color="auto" w:fill="auto"/>
            <w:vAlign w:val="center"/>
            <w:hideMark/>
          </w:tcPr>
          <w:p w14:paraId="1C03216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3F25843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1D4E58B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61AD844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Perafrimi i Direktives 2023/955/BE e Parlamentit Evropian dhe e Këshillit e datës 13.07.2023 për efiçencën e energjisë</w:t>
            </w:r>
          </w:p>
        </w:tc>
        <w:tc>
          <w:tcPr>
            <w:tcW w:w="2126" w:type="dxa"/>
            <w:tcBorders>
              <w:top w:val="nil"/>
              <w:left w:val="nil"/>
              <w:bottom w:val="single" w:sz="4" w:space="0" w:color="auto"/>
              <w:right w:val="single" w:sz="4" w:space="0" w:color="auto"/>
            </w:tcBorders>
            <w:shd w:val="clear" w:color="auto" w:fill="auto"/>
            <w:vAlign w:val="center"/>
            <w:hideMark/>
          </w:tcPr>
          <w:p w14:paraId="58B8429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1.Percaktimi i eficences se energjise ne te gjithe sektoret ekonomik;                            2. Sistemet e menaxhimit te energjise;          3. Skemat detyruese;</w:t>
            </w:r>
          </w:p>
        </w:tc>
        <w:tc>
          <w:tcPr>
            <w:tcW w:w="1984" w:type="dxa"/>
            <w:tcBorders>
              <w:top w:val="nil"/>
              <w:left w:val="nil"/>
              <w:bottom w:val="single" w:sz="4" w:space="0" w:color="auto"/>
              <w:right w:val="single" w:sz="4" w:space="0" w:color="auto"/>
            </w:tcBorders>
            <w:shd w:val="clear" w:color="auto" w:fill="auto"/>
            <w:vAlign w:val="center"/>
            <w:hideMark/>
          </w:tcPr>
          <w:p w14:paraId="2FDEF6B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17AC9BB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53DF446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Strategjia Kombetare e Energjisë; Planin Kombëtar për Energjine dhe Klimen </w:t>
            </w:r>
          </w:p>
        </w:tc>
        <w:tc>
          <w:tcPr>
            <w:tcW w:w="1418" w:type="dxa"/>
            <w:gridSpan w:val="2"/>
            <w:tcBorders>
              <w:top w:val="nil"/>
              <w:left w:val="nil"/>
              <w:bottom w:val="single" w:sz="4" w:space="0" w:color="auto"/>
              <w:right w:val="single" w:sz="4" w:space="0" w:color="auto"/>
            </w:tcBorders>
            <w:shd w:val="clear" w:color="auto" w:fill="auto"/>
            <w:vAlign w:val="center"/>
            <w:hideMark/>
          </w:tcPr>
          <w:p w14:paraId="3750EE3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28953BE1"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46C601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18</w:t>
            </w:r>
          </w:p>
        </w:tc>
        <w:tc>
          <w:tcPr>
            <w:tcW w:w="1130" w:type="dxa"/>
            <w:tcBorders>
              <w:top w:val="nil"/>
              <w:left w:val="nil"/>
              <w:bottom w:val="single" w:sz="4" w:space="0" w:color="auto"/>
              <w:right w:val="single" w:sz="4" w:space="0" w:color="auto"/>
            </w:tcBorders>
            <w:shd w:val="clear" w:color="auto" w:fill="auto"/>
            <w:vAlign w:val="center"/>
            <w:hideMark/>
          </w:tcPr>
          <w:p w14:paraId="2CAE49F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Per disa ndryshime te Ligjit 116/2016 "Per performancen e energjise ne ndertesa"</w:t>
            </w:r>
          </w:p>
        </w:tc>
        <w:tc>
          <w:tcPr>
            <w:tcW w:w="834" w:type="dxa"/>
            <w:tcBorders>
              <w:top w:val="nil"/>
              <w:left w:val="nil"/>
              <w:bottom w:val="single" w:sz="4" w:space="0" w:color="auto"/>
              <w:right w:val="single" w:sz="4" w:space="0" w:color="auto"/>
            </w:tcBorders>
            <w:shd w:val="clear" w:color="auto" w:fill="auto"/>
            <w:vAlign w:val="center"/>
            <w:hideMark/>
          </w:tcPr>
          <w:p w14:paraId="3559324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Projektligj</w:t>
            </w:r>
          </w:p>
        </w:tc>
        <w:tc>
          <w:tcPr>
            <w:tcW w:w="839" w:type="dxa"/>
            <w:tcBorders>
              <w:top w:val="nil"/>
              <w:left w:val="nil"/>
              <w:bottom w:val="single" w:sz="4" w:space="0" w:color="auto"/>
              <w:right w:val="single" w:sz="4" w:space="0" w:color="auto"/>
            </w:tcBorders>
            <w:shd w:val="clear" w:color="auto" w:fill="auto"/>
            <w:vAlign w:val="center"/>
            <w:hideMark/>
          </w:tcPr>
          <w:p w14:paraId="39EA663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7060546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3A93AA8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Perafrimi i Direktives 2018/844/BE e Parlamentit dhe e Këshillit e datës 30.05.2018 për performancën energjitike në ndërtesa</w:t>
            </w:r>
          </w:p>
        </w:tc>
        <w:tc>
          <w:tcPr>
            <w:tcW w:w="2126" w:type="dxa"/>
            <w:tcBorders>
              <w:top w:val="nil"/>
              <w:left w:val="nil"/>
              <w:bottom w:val="single" w:sz="4" w:space="0" w:color="auto"/>
              <w:right w:val="single" w:sz="4" w:space="0" w:color="auto"/>
            </w:tcBorders>
            <w:shd w:val="clear" w:color="auto" w:fill="auto"/>
            <w:vAlign w:val="center"/>
            <w:hideMark/>
          </w:tcPr>
          <w:p w14:paraId="4E0190C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1.Perfshirja e infrastruktures se furnizimit me energji per burimet alternative ;                                                                                                                                                                                                                         </w:t>
            </w:r>
            <w:r w:rsidRPr="000A0AF1">
              <w:rPr>
                <w:rFonts w:ascii="Arial" w:eastAsia="Times New Roman" w:hAnsi="Arial" w:cs="Arial"/>
                <w:color w:val="000000"/>
                <w:sz w:val="10"/>
                <w:szCs w:val="10"/>
                <w:bdr w:val="none" w:sz="0" w:space="0" w:color="auto"/>
              </w:rPr>
              <w:br/>
              <w:t xml:space="preserve">2. Strategjia e rinovimit te ndertesave;                                            </w:t>
            </w:r>
            <w:r w:rsidRPr="000A0AF1">
              <w:rPr>
                <w:rFonts w:ascii="Arial" w:eastAsia="Times New Roman" w:hAnsi="Arial" w:cs="Arial"/>
                <w:color w:val="000000"/>
                <w:sz w:val="10"/>
                <w:szCs w:val="10"/>
                <w:bdr w:val="none" w:sz="0" w:space="0" w:color="auto"/>
              </w:rPr>
              <w:br/>
              <w:t>3. Faturimi i energjise se ngrohje ftohjes.                                                                                          4. Treguesi i dixhitalizimit te ndertesave.</w:t>
            </w:r>
          </w:p>
        </w:tc>
        <w:tc>
          <w:tcPr>
            <w:tcW w:w="1984" w:type="dxa"/>
            <w:tcBorders>
              <w:top w:val="nil"/>
              <w:left w:val="nil"/>
              <w:bottom w:val="single" w:sz="4" w:space="0" w:color="auto"/>
              <w:right w:val="single" w:sz="4" w:space="0" w:color="auto"/>
            </w:tcBorders>
            <w:shd w:val="clear" w:color="auto" w:fill="auto"/>
            <w:vAlign w:val="center"/>
            <w:hideMark/>
          </w:tcPr>
          <w:p w14:paraId="2D1AE6D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7C15F4A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7157C03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Strategjia Kombetare e Energjisë; Planin Kombëtar për Energjine dhe Klimen </w:t>
            </w:r>
          </w:p>
        </w:tc>
        <w:tc>
          <w:tcPr>
            <w:tcW w:w="1418" w:type="dxa"/>
            <w:gridSpan w:val="2"/>
            <w:tcBorders>
              <w:top w:val="nil"/>
              <w:left w:val="nil"/>
              <w:bottom w:val="single" w:sz="4" w:space="0" w:color="auto"/>
              <w:right w:val="single" w:sz="4" w:space="0" w:color="auto"/>
            </w:tcBorders>
            <w:shd w:val="clear" w:color="auto" w:fill="auto"/>
            <w:vAlign w:val="center"/>
            <w:hideMark/>
          </w:tcPr>
          <w:p w14:paraId="4E7639D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53252A4A"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0026F39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19</w:t>
            </w:r>
          </w:p>
        </w:tc>
        <w:tc>
          <w:tcPr>
            <w:tcW w:w="1130" w:type="dxa"/>
            <w:tcBorders>
              <w:top w:val="nil"/>
              <w:left w:val="nil"/>
              <w:bottom w:val="single" w:sz="4" w:space="0" w:color="auto"/>
              <w:right w:val="single" w:sz="4" w:space="0" w:color="auto"/>
            </w:tcBorders>
            <w:shd w:val="clear" w:color="auto" w:fill="auto"/>
            <w:vAlign w:val="center"/>
            <w:hideMark/>
          </w:tcPr>
          <w:p w14:paraId="715CB5C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miratimin e Planit të Shpenzimeve të AKEP për vitin 2025"</w:t>
            </w:r>
          </w:p>
        </w:tc>
        <w:tc>
          <w:tcPr>
            <w:tcW w:w="834" w:type="dxa"/>
            <w:tcBorders>
              <w:top w:val="nil"/>
              <w:left w:val="nil"/>
              <w:bottom w:val="single" w:sz="4" w:space="0" w:color="auto"/>
              <w:right w:val="single" w:sz="4" w:space="0" w:color="auto"/>
            </w:tcBorders>
            <w:shd w:val="clear" w:color="auto" w:fill="auto"/>
            <w:vAlign w:val="center"/>
            <w:hideMark/>
          </w:tcPr>
          <w:p w14:paraId="0CB7B5F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Projektvendim</w:t>
            </w:r>
          </w:p>
        </w:tc>
        <w:tc>
          <w:tcPr>
            <w:tcW w:w="839" w:type="dxa"/>
            <w:tcBorders>
              <w:top w:val="nil"/>
              <w:left w:val="nil"/>
              <w:bottom w:val="single" w:sz="4" w:space="0" w:color="auto"/>
              <w:right w:val="single" w:sz="4" w:space="0" w:color="auto"/>
            </w:tcBorders>
            <w:shd w:val="clear" w:color="auto" w:fill="auto"/>
            <w:vAlign w:val="center"/>
            <w:hideMark/>
          </w:tcPr>
          <w:p w14:paraId="7ECDB9C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355DAFD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6630625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Akt nënligjor i përvitshëm i parashikuar në ligjin nr. 9918/2008</w:t>
            </w:r>
          </w:p>
        </w:tc>
        <w:tc>
          <w:tcPr>
            <w:tcW w:w="2126" w:type="dxa"/>
            <w:tcBorders>
              <w:top w:val="nil"/>
              <w:left w:val="nil"/>
              <w:bottom w:val="single" w:sz="4" w:space="0" w:color="auto"/>
              <w:right w:val="single" w:sz="4" w:space="0" w:color="auto"/>
            </w:tcBorders>
            <w:shd w:val="clear" w:color="auto" w:fill="auto"/>
            <w:vAlign w:val="center"/>
            <w:hideMark/>
          </w:tcPr>
          <w:p w14:paraId="693A62A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Përmbushja e detyrave funksionale të AKEP,sipas nenit 7 dhe 8 të ligjit për komunikimet elektronike; bazohet në propozimin e AKEP për kostot administrative të vitit 2022</w:t>
            </w:r>
          </w:p>
        </w:tc>
        <w:tc>
          <w:tcPr>
            <w:tcW w:w="1984" w:type="dxa"/>
            <w:tcBorders>
              <w:top w:val="nil"/>
              <w:left w:val="nil"/>
              <w:bottom w:val="single" w:sz="4" w:space="0" w:color="auto"/>
              <w:right w:val="single" w:sz="4" w:space="0" w:color="auto"/>
            </w:tcBorders>
            <w:shd w:val="clear" w:color="auto" w:fill="auto"/>
            <w:vAlign w:val="center"/>
            <w:hideMark/>
          </w:tcPr>
          <w:p w14:paraId="7FE7647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6B0684E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74261B1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418" w:type="dxa"/>
            <w:gridSpan w:val="2"/>
            <w:tcBorders>
              <w:top w:val="nil"/>
              <w:left w:val="nil"/>
              <w:bottom w:val="single" w:sz="4" w:space="0" w:color="auto"/>
              <w:right w:val="single" w:sz="4" w:space="0" w:color="auto"/>
            </w:tcBorders>
            <w:shd w:val="clear" w:color="auto" w:fill="auto"/>
            <w:vAlign w:val="center"/>
            <w:hideMark/>
          </w:tcPr>
          <w:p w14:paraId="74EA149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 (sepse AKEP eshte institucion jo -buxhetor dhe te ardhurat i siguron permes pagesave te operatoreve per licensat/mbikqyrjen e tregut / frekuencat etj.)</w:t>
            </w:r>
          </w:p>
        </w:tc>
      </w:tr>
      <w:tr w:rsidR="000A0AF1" w:rsidRPr="000A0AF1" w14:paraId="2955F89E"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53D44AB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20</w:t>
            </w:r>
          </w:p>
        </w:tc>
        <w:tc>
          <w:tcPr>
            <w:tcW w:w="1130" w:type="dxa"/>
            <w:tcBorders>
              <w:top w:val="nil"/>
              <w:left w:val="nil"/>
              <w:bottom w:val="single" w:sz="4" w:space="0" w:color="auto"/>
              <w:right w:val="single" w:sz="4" w:space="0" w:color="auto"/>
            </w:tcBorders>
            <w:shd w:val="clear" w:color="auto" w:fill="auto"/>
            <w:vAlign w:val="center"/>
            <w:hideMark/>
          </w:tcPr>
          <w:p w14:paraId="12428B7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 xml:space="preserve"> "Për miratimin e  Planit Kombetar te Frekuencave"</w:t>
            </w:r>
          </w:p>
        </w:tc>
        <w:tc>
          <w:tcPr>
            <w:tcW w:w="834" w:type="dxa"/>
            <w:tcBorders>
              <w:top w:val="nil"/>
              <w:left w:val="nil"/>
              <w:bottom w:val="single" w:sz="4" w:space="0" w:color="auto"/>
              <w:right w:val="single" w:sz="4" w:space="0" w:color="auto"/>
            </w:tcBorders>
            <w:shd w:val="clear" w:color="auto" w:fill="auto"/>
            <w:vAlign w:val="center"/>
            <w:hideMark/>
          </w:tcPr>
          <w:p w14:paraId="1DEE522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Projektvendim</w:t>
            </w:r>
          </w:p>
        </w:tc>
        <w:tc>
          <w:tcPr>
            <w:tcW w:w="839" w:type="dxa"/>
            <w:tcBorders>
              <w:top w:val="nil"/>
              <w:left w:val="nil"/>
              <w:bottom w:val="single" w:sz="4" w:space="0" w:color="auto"/>
              <w:right w:val="single" w:sz="4" w:space="0" w:color="auto"/>
            </w:tcBorders>
            <w:shd w:val="clear" w:color="auto" w:fill="auto"/>
            <w:vAlign w:val="center"/>
            <w:hideMark/>
          </w:tcPr>
          <w:p w14:paraId="5AD2021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45A75CD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40A0685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Venia ne zbatim e miratimit te Planit Kombetar te Frekuencave</w:t>
            </w:r>
          </w:p>
        </w:tc>
        <w:tc>
          <w:tcPr>
            <w:tcW w:w="2126" w:type="dxa"/>
            <w:tcBorders>
              <w:top w:val="nil"/>
              <w:left w:val="nil"/>
              <w:bottom w:val="single" w:sz="4" w:space="0" w:color="auto"/>
              <w:right w:val="single" w:sz="4" w:space="0" w:color="auto"/>
            </w:tcBorders>
            <w:shd w:val="clear" w:color="auto" w:fill="auto"/>
            <w:vAlign w:val="center"/>
            <w:hideMark/>
          </w:tcPr>
          <w:p w14:paraId="64CF7DB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 xml:space="preserve">2007/98/EC: Vendimi i Komisionit i datës 14 shkurt 2007 mbi përdorimin e harmonizuar të spektrit të radios në brezat e frekuencave 2 GHz për zbatimin e sistemeve që ofrojnë shërbime satelitore celulare (njoftuar nën numrin e dokumentit C(2007) 409) </w:t>
            </w:r>
          </w:p>
        </w:tc>
        <w:tc>
          <w:tcPr>
            <w:tcW w:w="1984" w:type="dxa"/>
            <w:tcBorders>
              <w:top w:val="nil"/>
              <w:left w:val="nil"/>
              <w:bottom w:val="single" w:sz="4" w:space="0" w:color="auto"/>
              <w:right w:val="single" w:sz="4" w:space="0" w:color="auto"/>
            </w:tcBorders>
            <w:shd w:val="clear" w:color="auto" w:fill="auto"/>
            <w:vAlign w:val="center"/>
            <w:hideMark/>
          </w:tcPr>
          <w:p w14:paraId="071794F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10 (Shoqeria e informacionit dhe media)</w:t>
            </w:r>
          </w:p>
        </w:tc>
        <w:tc>
          <w:tcPr>
            <w:tcW w:w="1843" w:type="dxa"/>
            <w:tcBorders>
              <w:top w:val="nil"/>
              <w:left w:val="nil"/>
              <w:bottom w:val="single" w:sz="4" w:space="0" w:color="auto"/>
              <w:right w:val="single" w:sz="4" w:space="0" w:color="auto"/>
            </w:tcBorders>
            <w:shd w:val="clear" w:color="auto" w:fill="auto"/>
            <w:vAlign w:val="center"/>
            <w:hideMark/>
          </w:tcPr>
          <w:p w14:paraId="2EBB021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574B892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418" w:type="dxa"/>
            <w:gridSpan w:val="2"/>
            <w:tcBorders>
              <w:top w:val="nil"/>
              <w:left w:val="nil"/>
              <w:bottom w:val="single" w:sz="4" w:space="0" w:color="auto"/>
              <w:right w:val="single" w:sz="4" w:space="0" w:color="auto"/>
            </w:tcBorders>
            <w:shd w:val="clear" w:color="auto" w:fill="auto"/>
            <w:vAlign w:val="center"/>
            <w:hideMark/>
          </w:tcPr>
          <w:p w14:paraId="07D8F5A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r>
      <w:tr w:rsidR="000A0AF1" w:rsidRPr="000A0AF1" w14:paraId="0B11B874"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22F882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21</w:t>
            </w:r>
          </w:p>
        </w:tc>
        <w:tc>
          <w:tcPr>
            <w:tcW w:w="1130" w:type="dxa"/>
            <w:tcBorders>
              <w:top w:val="nil"/>
              <w:left w:val="nil"/>
              <w:bottom w:val="single" w:sz="4" w:space="0" w:color="auto"/>
              <w:right w:val="single" w:sz="4" w:space="0" w:color="auto"/>
            </w:tcBorders>
            <w:shd w:val="clear" w:color="auto" w:fill="auto"/>
            <w:vAlign w:val="center"/>
            <w:hideMark/>
          </w:tcPr>
          <w:p w14:paraId="548760A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themelimin e një mjedisi të Vetëm të Dritareve Detare Evropiane</w:t>
            </w:r>
          </w:p>
        </w:tc>
        <w:tc>
          <w:tcPr>
            <w:tcW w:w="834" w:type="dxa"/>
            <w:tcBorders>
              <w:top w:val="nil"/>
              <w:left w:val="nil"/>
              <w:bottom w:val="single" w:sz="4" w:space="0" w:color="auto"/>
              <w:right w:val="single" w:sz="4" w:space="0" w:color="auto"/>
            </w:tcBorders>
            <w:shd w:val="clear" w:color="auto" w:fill="auto"/>
            <w:vAlign w:val="center"/>
            <w:hideMark/>
          </w:tcPr>
          <w:p w14:paraId="6894367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18F9815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36E3BCD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04DA5A4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Detyrim qe vjen nga Rregullorja (BE) 2019/1239 e Parlamentit Evropian dhe e Këshillit e datës 20 qershor 2019 për themelin e një mjedisi të Vetëm të Dritareve Detare Evropiane dhe shfuqizimin e Direktivës 2010/65/BE.             </w:t>
            </w:r>
          </w:p>
          <w:p w14:paraId="08C4E7D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Rregullorja Zbatuese e Komisionit (BE) 2023/204 e datës 28 tetor 2022 që përcakton specifikimet teknike, standardet dhe procedurat  themelimin e një mjedisi të Vetëm të Dritareve Detare Evropiane në përputhje me Rregulloren (BE) 2019/1239 të Parlamentit Evropian dhe të Këshillit.                                                                                         </w:t>
            </w:r>
          </w:p>
          <w:p w14:paraId="59D0AD4B" w14:textId="47C5C289"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Rregullorja e deleguar e Komisionit (BE) 2023/205 e datës 7 nëntor 2022 që plotëson Rregulloren (BE) 2019/1239 të Parlamentit Evropian dhe të Këshillit në lidhje me krijimin e grupit të të dhënave të një mjedisi të Vetëm të Dritareve Detare Evropiane dhe ndryshimin e aneksit të saj</w:t>
            </w:r>
          </w:p>
        </w:tc>
        <w:tc>
          <w:tcPr>
            <w:tcW w:w="2126" w:type="dxa"/>
            <w:tcBorders>
              <w:top w:val="nil"/>
              <w:left w:val="nil"/>
              <w:bottom w:val="single" w:sz="4" w:space="0" w:color="auto"/>
              <w:right w:val="single" w:sz="4" w:space="0" w:color="auto"/>
            </w:tcBorders>
            <w:shd w:val="clear" w:color="000000" w:fill="FFFFFF"/>
            <w:vAlign w:val="center"/>
            <w:hideMark/>
          </w:tcPr>
          <w:p w14:paraId="3594F5A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Krijimi i kuadrit ligjor për një mjedis teknologjikisht neutral dhe ndërveprues Evropian Detar me një dritare të vetme ('EMSWe') me ndërfaqe të harmonizuara, në mënyrë që të lehtësojë transmetimin elektronik të informacionit në lidhje me detyrimet e raportimit për anijet që mbërrijnë, qëndrojnë dhe nisen nga portin e shtetit.</w:t>
            </w:r>
          </w:p>
        </w:tc>
        <w:tc>
          <w:tcPr>
            <w:tcW w:w="1984" w:type="dxa"/>
            <w:tcBorders>
              <w:top w:val="nil"/>
              <w:left w:val="nil"/>
              <w:bottom w:val="single" w:sz="4" w:space="0" w:color="auto"/>
              <w:right w:val="single" w:sz="4" w:space="0" w:color="auto"/>
            </w:tcBorders>
            <w:shd w:val="clear" w:color="auto" w:fill="auto"/>
            <w:vAlign w:val="center"/>
            <w:hideMark/>
          </w:tcPr>
          <w:p w14:paraId="2EA0041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 Kapitulli 14</w:t>
            </w:r>
          </w:p>
        </w:tc>
        <w:tc>
          <w:tcPr>
            <w:tcW w:w="1843" w:type="dxa"/>
            <w:tcBorders>
              <w:top w:val="nil"/>
              <w:left w:val="nil"/>
              <w:bottom w:val="single" w:sz="4" w:space="0" w:color="auto"/>
              <w:right w:val="single" w:sz="4" w:space="0" w:color="auto"/>
            </w:tcBorders>
            <w:shd w:val="clear" w:color="auto" w:fill="auto"/>
            <w:vAlign w:val="center"/>
            <w:hideMark/>
          </w:tcPr>
          <w:p w14:paraId="4BC9E80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n/a</w:t>
            </w:r>
          </w:p>
        </w:tc>
        <w:tc>
          <w:tcPr>
            <w:tcW w:w="1843" w:type="dxa"/>
            <w:tcBorders>
              <w:top w:val="nil"/>
              <w:left w:val="nil"/>
              <w:bottom w:val="single" w:sz="4" w:space="0" w:color="auto"/>
              <w:right w:val="single" w:sz="4" w:space="0" w:color="auto"/>
            </w:tcBorders>
            <w:shd w:val="clear" w:color="auto" w:fill="auto"/>
            <w:vAlign w:val="center"/>
            <w:hideMark/>
          </w:tcPr>
          <w:p w14:paraId="1BD84B0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Nuk lidhet me strategjite kombetare  dhe sektoriale</w:t>
            </w:r>
          </w:p>
        </w:tc>
        <w:tc>
          <w:tcPr>
            <w:tcW w:w="1418" w:type="dxa"/>
            <w:gridSpan w:val="2"/>
            <w:tcBorders>
              <w:top w:val="nil"/>
              <w:left w:val="nil"/>
              <w:bottom w:val="single" w:sz="4" w:space="0" w:color="auto"/>
              <w:right w:val="single" w:sz="4" w:space="0" w:color="auto"/>
            </w:tcBorders>
            <w:shd w:val="clear" w:color="auto" w:fill="auto"/>
            <w:vAlign w:val="center"/>
            <w:hideMark/>
          </w:tcPr>
          <w:p w14:paraId="53C36BF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6EB14F10"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41DDE5D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22</w:t>
            </w:r>
          </w:p>
        </w:tc>
        <w:tc>
          <w:tcPr>
            <w:tcW w:w="1130" w:type="dxa"/>
            <w:tcBorders>
              <w:top w:val="nil"/>
              <w:left w:val="nil"/>
              <w:bottom w:val="single" w:sz="4" w:space="0" w:color="auto"/>
              <w:right w:val="single" w:sz="4" w:space="0" w:color="auto"/>
            </w:tcBorders>
            <w:shd w:val="clear" w:color="auto" w:fill="auto"/>
            <w:vAlign w:val="center"/>
            <w:hideMark/>
          </w:tcPr>
          <w:p w14:paraId="78C6A58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Për përcaktimin e kushteve dhe procedurave për pjesëmarrjen në ACER</w:t>
            </w:r>
          </w:p>
        </w:tc>
        <w:tc>
          <w:tcPr>
            <w:tcW w:w="834" w:type="dxa"/>
            <w:tcBorders>
              <w:top w:val="nil"/>
              <w:left w:val="nil"/>
              <w:bottom w:val="single" w:sz="4" w:space="0" w:color="auto"/>
              <w:right w:val="single" w:sz="4" w:space="0" w:color="auto"/>
            </w:tcBorders>
            <w:shd w:val="clear" w:color="auto" w:fill="auto"/>
            <w:vAlign w:val="center"/>
            <w:hideMark/>
          </w:tcPr>
          <w:p w14:paraId="77C8BF4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6B5FBAA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5289404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000000" w:fill="FFFFFF"/>
            <w:vAlign w:val="center"/>
            <w:hideMark/>
          </w:tcPr>
          <w:p w14:paraId="767313D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 xml:space="preserve"> Për të përafruar Rregulloren (BE) 2019/942 e Parlamentit Evropian dhe e Këshillit e datës 5 qershor 2019 për krijimin e Agjencisë së Bashkimit Evropian për Bashkëpunimin e Rregullatorëve të Energjisë</w:t>
            </w:r>
          </w:p>
        </w:tc>
        <w:tc>
          <w:tcPr>
            <w:tcW w:w="2126" w:type="dxa"/>
            <w:tcBorders>
              <w:top w:val="nil"/>
              <w:left w:val="nil"/>
              <w:bottom w:val="single" w:sz="4" w:space="0" w:color="auto"/>
              <w:right w:val="single" w:sz="4" w:space="0" w:color="auto"/>
            </w:tcBorders>
            <w:shd w:val="clear" w:color="000000" w:fill="FFFFFF"/>
            <w:vAlign w:val="center"/>
            <w:hideMark/>
          </w:tcPr>
          <w:p w14:paraId="37CD269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Ky projektvendim parashikon:                                                                                                                                                                                                                                                                                                                                                                                                                                                                                               - të përmirësojë koordinimin ndërmjet autoriteteve rregullatore të energjisë të vendeve të ndryshme për çështjet ndërkufitare;                                                                                                                                                                                                                                                                                    - përmirësimin e sigurisë së furnizimit dhe funksionimin e përgjithshëm të sistemit energjetik të Shqipërisë.</w:t>
            </w:r>
          </w:p>
        </w:tc>
        <w:tc>
          <w:tcPr>
            <w:tcW w:w="1984" w:type="dxa"/>
            <w:tcBorders>
              <w:top w:val="nil"/>
              <w:left w:val="nil"/>
              <w:bottom w:val="single" w:sz="4" w:space="0" w:color="auto"/>
              <w:right w:val="single" w:sz="4" w:space="0" w:color="auto"/>
            </w:tcBorders>
            <w:shd w:val="clear" w:color="000000" w:fill="FFFFFF"/>
            <w:vAlign w:val="center"/>
            <w:hideMark/>
          </w:tcPr>
          <w:p w14:paraId="544DBED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Po, Kapitulli 15 "Energjia"</w:t>
            </w:r>
          </w:p>
        </w:tc>
        <w:tc>
          <w:tcPr>
            <w:tcW w:w="1843" w:type="dxa"/>
            <w:tcBorders>
              <w:top w:val="nil"/>
              <w:left w:val="nil"/>
              <w:bottom w:val="single" w:sz="4" w:space="0" w:color="auto"/>
              <w:right w:val="single" w:sz="4" w:space="0" w:color="auto"/>
            </w:tcBorders>
            <w:shd w:val="clear" w:color="000000" w:fill="FFFFFF"/>
            <w:vAlign w:val="center"/>
            <w:hideMark/>
          </w:tcPr>
          <w:p w14:paraId="459E944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Pjesë e politikave për zhvilimin e sektorit elektroenergjetik</w:t>
            </w:r>
          </w:p>
        </w:tc>
        <w:tc>
          <w:tcPr>
            <w:tcW w:w="1843" w:type="dxa"/>
            <w:tcBorders>
              <w:top w:val="nil"/>
              <w:left w:val="nil"/>
              <w:bottom w:val="single" w:sz="4" w:space="0" w:color="auto"/>
              <w:right w:val="single" w:sz="4" w:space="0" w:color="auto"/>
            </w:tcBorders>
            <w:shd w:val="clear" w:color="000000" w:fill="FFFFFF"/>
            <w:vAlign w:val="center"/>
            <w:hideMark/>
          </w:tcPr>
          <w:p w14:paraId="6FABF3C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Vendim nr. 480, datë 31.7.2018 “Për miratimin e strategjisë kombëtare të energjisë për periudhën 2018–2030”</w:t>
            </w:r>
          </w:p>
        </w:tc>
        <w:tc>
          <w:tcPr>
            <w:tcW w:w="1418" w:type="dxa"/>
            <w:gridSpan w:val="2"/>
            <w:tcBorders>
              <w:top w:val="nil"/>
              <w:left w:val="nil"/>
              <w:bottom w:val="single" w:sz="4" w:space="0" w:color="auto"/>
              <w:right w:val="single" w:sz="4" w:space="0" w:color="auto"/>
            </w:tcBorders>
            <w:shd w:val="clear" w:color="000000" w:fill="FFFFFF"/>
            <w:vAlign w:val="center"/>
            <w:hideMark/>
          </w:tcPr>
          <w:p w14:paraId="32B541F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Po</w:t>
            </w:r>
          </w:p>
        </w:tc>
      </w:tr>
      <w:tr w:rsidR="000A0AF1" w:rsidRPr="000A0AF1" w14:paraId="4B94B487"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233315F2"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23</w:t>
            </w:r>
          </w:p>
        </w:tc>
        <w:tc>
          <w:tcPr>
            <w:tcW w:w="1130" w:type="dxa"/>
            <w:tcBorders>
              <w:top w:val="nil"/>
              <w:left w:val="nil"/>
              <w:bottom w:val="single" w:sz="4" w:space="0" w:color="auto"/>
              <w:right w:val="single" w:sz="4" w:space="0" w:color="auto"/>
            </w:tcBorders>
            <w:shd w:val="clear" w:color="000000" w:fill="FFFFFF"/>
            <w:vAlign w:val="center"/>
            <w:hideMark/>
          </w:tcPr>
          <w:p w14:paraId="79DDA59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Per disa ndryshime ne VKM Nr. 822, datë 7.10.2015 "Për miratimin e rregullave dhe procedurave të ndërtimit të kapaciteteve të reja prodhuese të energjisë elektrike, që nuk janë objekt koncesion", e ndryshuar</w:t>
            </w:r>
          </w:p>
        </w:tc>
        <w:tc>
          <w:tcPr>
            <w:tcW w:w="834" w:type="dxa"/>
            <w:tcBorders>
              <w:top w:val="nil"/>
              <w:left w:val="nil"/>
              <w:bottom w:val="single" w:sz="4" w:space="0" w:color="auto"/>
              <w:right w:val="single" w:sz="4" w:space="0" w:color="auto"/>
            </w:tcBorders>
            <w:shd w:val="clear" w:color="000000" w:fill="FFFFFF"/>
            <w:vAlign w:val="center"/>
            <w:hideMark/>
          </w:tcPr>
          <w:p w14:paraId="4725EF3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1557D44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000000" w:fill="FFFFFF"/>
            <w:vAlign w:val="center"/>
            <w:hideMark/>
          </w:tcPr>
          <w:p w14:paraId="657838F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000000" w:fill="FFFFFF"/>
            <w:vAlign w:val="center"/>
            <w:hideMark/>
          </w:tcPr>
          <w:p w14:paraId="502ED91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 xml:space="preserve">Për të përafruar Rregulloren e Këshillit (BE) 2022/2577 të datës 22 dhjetor 2022 </w:t>
            </w:r>
          </w:p>
        </w:tc>
        <w:tc>
          <w:tcPr>
            <w:tcW w:w="2126" w:type="dxa"/>
            <w:tcBorders>
              <w:top w:val="nil"/>
              <w:left w:val="nil"/>
              <w:bottom w:val="single" w:sz="4" w:space="0" w:color="auto"/>
              <w:right w:val="single" w:sz="4" w:space="0" w:color="auto"/>
            </w:tcBorders>
            <w:shd w:val="clear" w:color="000000" w:fill="FFFFFF"/>
            <w:vAlign w:val="center"/>
            <w:hideMark/>
          </w:tcPr>
          <w:p w14:paraId="304A198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Kjo projektvendim parashikon lehtësimin e rregullave dhe procedurave të ndërtimit të kapaciteteve të reja prodhuese të energjisë elektrike, që nuk janë objekt koncesioni.</w:t>
            </w:r>
          </w:p>
        </w:tc>
        <w:tc>
          <w:tcPr>
            <w:tcW w:w="1984" w:type="dxa"/>
            <w:tcBorders>
              <w:top w:val="nil"/>
              <w:left w:val="nil"/>
              <w:bottom w:val="single" w:sz="4" w:space="0" w:color="auto"/>
              <w:right w:val="single" w:sz="4" w:space="0" w:color="auto"/>
            </w:tcBorders>
            <w:shd w:val="clear" w:color="000000" w:fill="FFFFFF"/>
            <w:vAlign w:val="center"/>
            <w:hideMark/>
          </w:tcPr>
          <w:p w14:paraId="25C1F3F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Po, Kapitulli 15 "Energjia"</w:t>
            </w:r>
          </w:p>
        </w:tc>
        <w:tc>
          <w:tcPr>
            <w:tcW w:w="1843" w:type="dxa"/>
            <w:tcBorders>
              <w:top w:val="nil"/>
              <w:left w:val="nil"/>
              <w:bottom w:val="single" w:sz="4" w:space="0" w:color="auto"/>
              <w:right w:val="single" w:sz="4" w:space="0" w:color="auto"/>
            </w:tcBorders>
            <w:shd w:val="clear" w:color="000000" w:fill="FFFFFF"/>
            <w:vAlign w:val="center"/>
            <w:hideMark/>
          </w:tcPr>
          <w:p w14:paraId="1CB7F1E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Pjesë e politikave për zhvilimin e sektorit elektroenergjetik</w:t>
            </w:r>
          </w:p>
        </w:tc>
        <w:tc>
          <w:tcPr>
            <w:tcW w:w="1843" w:type="dxa"/>
            <w:tcBorders>
              <w:top w:val="nil"/>
              <w:left w:val="nil"/>
              <w:bottom w:val="single" w:sz="4" w:space="0" w:color="auto"/>
              <w:right w:val="single" w:sz="4" w:space="0" w:color="auto"/>
            </w:tcBorders>
            <w:shd w:val="clear" w:color="000000" w:fill="FFFFFF"/>
            <w:vAlign w:val="center"/>
            <w:hideMark/>
          </w:tcPr>
          <w:p w14:paraId="57C7780A"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Vendim nr. 480, datë 31.7.2018 “Për miratimin e strategjisë kombëtare të energjisë për periudhën 2018–2030”</w:t>
            </w:r>
          </w:p>
        </w:tc>
        <w:tc>
          <w:tcPr>
            <w:tcW w:w="1418" w:type="dxa"/>
            <w:gridSpan w:val="2"/>
            <w:tcBorders>
              <w:top w:val="nil"/>
              <w:left w:val="nil"/>
              <w:bottom w:val="single" w:sz="4" w:space="0" w:color="auto"/>
              <w:right w:val="single" w:sz="4" w:space="0" w:color="auto"/>
            </w:tcBorders>
            <w:shd w:val="clear" w:color="000000" w:fill="FFFFFF"/>
            <w:vAlign w:val="center"/>
            <w:hideMark/>
          </w:tcPr>
          <w:p w14:paraId="1A550B0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0"/>
                <w:szCs w:val="10"/>
                <w:bdr w:val="none" w:sz="0" w:space="0" w:color="auto"/>
              </w:rPr>
            </w:pPr>
            <w:r w:rsidRPr="000A0AF1">
              <w:rPr>
                <w:rFonts w:ascii="Arial" w:eastAsia="Times New Roman" w:hAnsi="Arial" w:cs="Arial"/>
                <w:sz w:val="10"/>
                <w:szCs w:val="10"/>
                <w:bdr w:val="none" w:sz="0" w:space="0" w:color="auto"/>
              </w:rPr>
              <w:t>Po</w:t>
            </w:r>
          </w:p>
        </w:tc>
      </w:tr>
      <w:tr w:rsidR="000A0AF1" w:rsidRPr="000A0AF1" w14:paraId="2093D314"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22DE8699"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24</w:t>
            </w:r>
          </w:p>
        </w:tc>
        <w:tc>
          <w:tcPr>
            <w:tcW w:w="1130" w:type="dxa"/>
            <w:tcBorders>
              <w:top w:val="nil"/>
              <w:left w:val="nil"/>
              <w:bottom w:val="single" w:sz="4" w:space="0" w:color="auto"/>
              <w:right w:val="single" w:sz="4" w:space="0" w:color="auto"/>
            </w:tcBorders>
            <w:shd w:val="clear" w:color="auto" w:fill="auto"/>
            <w:vAlign w:val="center"/>
            <w:hideMark/>
          </w:tcPr>
          <w:p w14:paraId="4DDE501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promovimin e mjeteve të pastra të transportit rrugor</w:t>
            </w:r>
          </w:p>
        </w:tc>
        <w:tc>
          <w:tcPr>
            <w:tcW w:w="834" w:type="dxa"/>
            <w:tcBorders>
              <w:top w:val="nil"/>
              <w:left w:val="nil"/>
              <w:bottom w:val="single" w:sz="4" w:space="0" w:color="auto"/>
              <w:right w:val="single" w:sz="4" w:space="0" w:color="auto"/>
            </w:tcBorders>
            <w:shd w:val="clear" w:color="auto" w:fill="auto"/>
            <w:vAlign w:val="center"/>
            <w:hideMark/>
          </w:tcPr>
          <w:p w14:paraId="64B4024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68C97D1E"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Infrastruktures dhe Energjise</w:t>
            </w:r>
          </w:p>
        </w:tc>
        <w:tc>
          <w:tcPr>
            <w:tcW w:w="1044" w:type="dxa"/>
            <w:tcBorders>
              <w:top w:val="nil"/>
              <w:left w:val="nil"/>
              <w:bottom w:val="single" w:sz="4" w:space="0" w:color="auto"/>
              <w:right w:val="single" w:sz="4" w:space="0" w:color="auto"/>
            </w:tcBorders>
            <w:shd w:val="clear" w:color="auto" w:fill="auto"/>
            <w:vAlign w:val="center"/>
            <w:hideMark/>
          </w:tcPr>
          <w:p w14:paraId="14D1E1B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52CDAA1C"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Transpozimi I Direktives (BE) 2019/1161 e Parlamentit Evropian dhe e Këshillit e datës 20 qershor 2019 që ndryshon Direktivën 2009/33/KE për promovimin e mjeteve të transportit rrugor të pastra dhe me efikasitet energjetik."</w:t>
            </w:r>
          </w:p>
        </w:tc>
        <w:tc>
          <w:tcPr>
            <w:tcW w:w="2126" w:type="dxa"/>
            <w:tcBorders>
              <w:top w:val="nil"/>
              <w:left w:val="nil"/>
              <w:bottom w:val="single" w:sz="4" w:space="0" w:color="auto"/>
              <w:right w:val="single" w:sz="4" w:space="0" w:color="auto"/>
            </w:tcBorders>
            <w:shd w:val="clear" w:color="auto" w:fill="auto"/>
            <w:vAlign w:val="center"/>
            <w:hideMark/>
          </w:tcPr>
          <w:p w14:paraId="3703D29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Të harmonizojnë praktikat dhe tendencat në sektorin e transportit rrugor me objektivat më të gjera të promovimit të qëndrueshmërisë dhe eficences së energjisë. Ky akt trajton:                                                          1-Kërkesat e prokurimit për autoritetet publike;</w:t>
            </w:r>
            <w:r w:rsidRPr="000A0AF1">
              <w:rPr>
                <w:rFonts w:ascii="Arial" w:eastAsia="Times New Roman" w:hAnsi="Arial" w:cs="Arial"/>
                <w:color w:val="000000"/>
                <w:sz w:val="10"/>
                <w:szCs w:val="10"/>
                <w:bdr w:val="none" w:sz="0" w:space="0" w:color="auto"/>
              </w:rPr>
              <w:br/>
              <w:t>2-Specifikimet teknike dhe etiketimi;</w:t>
            </w:r>
          </w:p>
        </w:tc>
        <w:tc>
          <w:tcPr>
            <w:tcW w:w="1984" w:type="dxa"/>
            <w:tcBorders>
              <w:top w:val="nil"/>
              <w:left w:val="nil"/>
              <w:bottom w:val="single" w:sz="4" w:space="0" w:color="auto"/>
              <w:right w:val="single" w:sz="4" w:space="0" w:color="auto"/>
            </w:tcBorders>
            <w:shd w:val="clear" w:color="auto" w:fill="auto"/>
            <w:vAlign w:val="center"/>
            <w:hideMark/>
          </w:tcPr>
          <w:p w14:paraId="28B272E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60EDBF8F"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c>
          <w:tcPr>
            <w:tcW w:w="1843" w:type="dxa"/>
            <w:tcBorders>
              <w:top w:val="nil"/>
              <w:left w:val="nil"/>
              <w:bottom w:val="single" w:sz="4" w:space="0" w:color="auto"/>
              <w:right w:val="single" w:sz="4" w:space="0" w:color="auto"/>
            </w:tcBorders>
            <w:shd w:val="clear" w:color="auto" w:fill="auto"/>
            <w:vAlign w:val="center"/>
            <w:hideMark/>
          </w:tcPr>
          <w:p w14:paraId="1BDAB60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Strategjia Kombetare e Energjisë; Planin Kombëtar për Energjine dhe Klimen </w:t>
            </w:r>
          </w:p>
        </w:tc>
        <w:tc>
          <w:tcPr>
            <w:tcW w:w="1418" w:type="dxa"/>
            <w:gridSpan w:val="2"/>
            <w:tcBorders>
              <w:top w:val="nil"/>
              <w:left w:val="nil"/>
              <w:bottom w:val="single" w:sz="4" w:space="0" w:color="auto"/>
              <w:right w:val="single" w:sz="4" w:space="0" w:color="auto"/>
            </w:tcBorders>
            <w:shd w:val="clear" w:color="auto" w:fill="auto"/>
            <w:vAlign w:val="center"/>
            <w:hideMark/>
          </w:tcPr>
          <w:p w14:paraId="308605A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r w:rsidR="000A0AF1" w:rsidRPr="000A0AF1" w14:paraId="22902326" w14:textId="77777777" w:rsidTr="000A0AF1">
        <w:trPr>
          <w:trHeight w:val="180"/>
          <w:jc w:val="center"/>
        </w:trPr>
        <w:tc>
          <w:tcPr>
            <w:tcW w:w="452" w:type="dxa"/>
            <w:tcBorders>
              <w:top w:val="nil"/>
              <w:left w:val="single" w:sz="4" w:space="0" w:color="auto"/>
              <w:bottom w:val="single" w:sz="4" w:space="0" w:color="auto"/>
              <w:right w:val="single" w:sz="4" w:space="0" w:color="auto"/>
            </w:tcBorders>
            <w:shd w:val="clear" w:color="auto" w:fill="auto"/>
            <w:vAlign w:val="center"/>
            <w:hideMark/>
          </w:tcPr>
          <w:p w14:paraId="62155FF5"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25</w:t>
            </w:r>
          </w:p>
        </w:tc>
        <w:tc>
          <w:tcPr>
            <w:tcW w:w="1130" w:type="dxa"/>
            <w:tcBorders>
              <w:top w:val="nil"/>
              <w:left w:val="nil"/>
              <w:bottom w:val="single" w:sz="4" w:space="0" w:color="auto"/>
              <w:right w:val="single" w:sz="4" w:space="0" w:color="auto"/>
            </w:tcBorders>
            <w:shd w:val="clear" w:color="auto" w:fill="auto"/>
            <w:vAlign w:val="center"/>
            <w:hideMark/>
          </w:tcPr>
          <w:p w14:paraId="690F34F6"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 miratimin e programit të veprimit 3-vjeçar, 2025-2027, për zhvillimin e aktivitetit minerar dhe përcaktimin e zonave minerare të rrezikshme”</w:t>
            </w:r>
          </w:p>
        </w:tc>
        <w:tc>
          <w:tcPr>
            <w:tcW w:w="834" w:type="dxa"/>
            <w:tcBorders>
              <w:top w:val="nil"/>
              <w:left w:val="nil"/>
              <w:bottom w:val="single" w:sz="4" w:space="0" w:color="auto"/>
              <w:right w:val="single" w:sz="4" w:space="0" w:color="auto"/>
            </w:tcBorders>
            <w:shd w:val="clear" w:color="auto" w:fill="auto"/>
            <w:vAlign w:val="center"/>
            <w:hideMark/>
          </w:tcPr>
          <w:p w14:paraId="076F9DFB"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Projektvendim</w:t>
            </w:r>
          </w:p>
        </w:tc>
        <w:tc>
          <w:tcPr>
            <w:tcW w:w="839" w:type="dxa"/>
            <w:tcBorders>
              <w:top w:val="nil"/>
              <w:left w:val="nil"/>
              <w:bottom w:val="single" w:sz="4" w:space="0" w:color="auto"/>
              <w:right w:val="single" w:sz="4" w:space="0" w:color="auto"/>
            </w:tcBorders>
            <w:shd w:val="clear" w:color="auto" w:fill="auto"/>
            <w:vAlign w:val="center"/>
            <w:hideMark/>
          </w:tcPr>
          <w:p w14:paraId="600C6D2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Ministri i Infrastrukturës dhe Energjisë</w:t>
            </w:r>
          </w:p>
        </w:tc>
        <w:tc>
          <w:tcPr>
            <w:tcW w:w="1044" w:type="dxa"/>
            <w:tcBorders>
              <w:top w:val="nil"/>
              <w:left w:val="nil"/>
              <w:bottom w:val="single" w:sz="4" w:space="0" w:color="auto"/>
              <w:right w:val="single" w:sz="4" w:space="0" w:color="auto"/>
            </w:tcBorders>
            <w:shd w:val="clear" w:color="auto" w:fill="auto"/>
            <w:vAlign w:val="center"/>
            <w:hideMark/>
          </w:tcPr>
          <w:p w14:paraId="57C3D871"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Katërmujori III</w:t>
            </w:r>
          </w:p>
        </w:tc>
        <w:tc>
          <w:tcPr>
            <w:tcW w:w="1843" w:type="dxa"/>
            <w:tcBorders>
              <w:top w:val="nil"/>
              <w:left w:val="nil"/>
              <w:bottom w:val="single" w:sz="4" w:space="0" w:color="auto"/>
              <w:right w:val="single" w:sz="4" w:space="0" w:color="auto"/>
            </w:tcBorders>
            <w:shd w:val="clear" w:color="auto" w:fill="auto"/>
            <w:vAlign w:val="center"/>
            <w:hideMark/>
          </w:tcPr>
          <w:p w14:paraId="0F534324"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 xml:space="preserve"> Miratimi i programit të veprimit për zbatimin e strategjisë minerare, si një dokument afatmesëm i planifikimit minerar, i cili hartohet në bazë të strategjisë minerare</w:t>
            </w:r>
          </w:p>
        </w:tc>
        <w:tc>
          <w:tcPr>
            <w:tcW w:w="2126" w:type="dxa"/>
            <w:tcBorders>
              <w:top w:val="nil"/>
              <w:left w:val="nil"/>
              <w:bottom w:val="single" w:sz="4" w:space="0" w:color="auto"/>
              <w:right w:val="single" w:sz="4" w:space="0" w:color="auto"/>
            </w:tcBorders>
            <w:shd w:val="clear" w:color="auto" w:fill="auto"/>
            <w:vAlign w:val="center"/>
            <w:hideMark/>
          </w:tcPr>
          <w:p w14:paraId="084378A0"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-Përcaktimi i zonave minerare për të cilat  do të jepen lejet minerare, përmes procesit të konkurrimit apo procedurave të hapura për periudhën 3 (tre) vjeçare 2025 – 2027</w:t>
            </w:r>
            <w:r w:rsidRPr="000A0AF1">
              <w:rPr>
                <w:rFonts w:ascii="Arial" w:eastAsia="Times New Roman" w:hAnsi="Arial" w:cs="Arial"/>
                <w:color w:val="000000"/>
                <w:sz w:val="10"/>
                <w:szCs w:val="10"/>
                <w:bdr w:val="none" w:sz="0" w:space="0" w:color="auto"/>
              </w:rPr>
              <w:br/>
              <w:t>- Përcaktimi i zonave në zona konkurruese dhe të hapura</w:t>
            </w:r>
            <w:r w:rsidRPr="000A0AF1">
              <w:rPr>
                <w:rFonts w:ascii="Arial" w:eastAsia="Times New Roman" w:hAnsi="Arial" w:cs="Arial"/>
                <w:color w:val="000000"/>
                <w:sz w:val="10"/>
                <w:szCs w:val="10"/>
                <w:bdr w:val="none" w:sz="0" w:space="0" w:color="auto"/>
              </w:rPr>
              <w:br/>
              <w:t>- Drejtimet e veprimtarisë studimore gjeologjike gjatë periudhës 3 vjeçare</w:t>
            </w:r>
            <w:r w:rsidRPr="000A0AF1">
              <w:rPr>
                <w:rFonts w:ascii="Arial" w:eastAsia="Times New Roman" w:hAnsi="Arial" w:cs="Arial"/>
                <w:color w:val="000000"/>
                <w:sz w:val="10"/>
                <w:szCs w:val="10"/>
                <w:bdr w:val="none" w:sz="0" w:space="0" w:color="auto"/>
              </w:rPr>
              <w:br/>
              <w:t>- Përcaktimi i zonave të rrezikshme</w:t>
            </w:r>
          </w:p>
        </w:tc>
        <w:tc>
          <w:tcPr>
            <w:tcW w:w="1984" w:type="dxa"/>
            <w:tcBorders>
              <w:top w:val="nil"/>
              <w:left w:val="nil"/>
              <w:bottom w:val="single" w:sz="4" w:space="0" w:color="auto"/>
              <w:right w:val="single" w:sz="4" w:space="0" w:color="auto"/>
            </w:tcBorders>
            <w:shd w:val="clear" w:color="auto" w:fill="auto"/>
            <w:vAlign w:val="center"/>
            <w:hideMark/>
          </w:tcPr>
          <w:p w14:paraId="1F773C9D"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Jo</w:t>
            </w:r>
          </w:p>
        </w:tc>
        <w:tc>
          <w:tcPr>
            <w:tcW w:w="1843" w:type="dxa"/>
            <w:tcBorders>
              <w:top w:val="nil"/>
              <w:left w:val="nil"/>
              <w:bottom w:val="single" w:sz="4" w:space="0" w:color="auto"/>
              <w:right w:val="single" w:sz="4" w:space="0" w:color="auto"/>
            </w:tcBorders>
            <w:shd w:val="clear" w:color="auto" w:fill="auto"/>
            <w:vAlign w:val="center"/>
            <w:hideMark/>
          </w:tcPr>
          <w:p w14:paraId="3C5D0623"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Pjese e politikave per sektorin minerar</w:t>
            </w:r>
          </w:p>
        </w:tc>
        <w:tc>
          <w:tcPr>
            <w:tcW w:w="1843" w:type="dxa"/>
            <w:tcBorders>
              <w:top w:val="nil"/>
              <w:left w:val="nil"/>
              <w:bottom w:val="single" w:sz="4" w:space="0" w:color="auto"/>
              <w:right w:val="single" w:sz="4" w:space="0" w:color="auto"/>
            </w:tcBorders>
            <w:shd w:val="clear" w:color="auto" w:fill="auto"/>
            <w:vAlign w:val="center"/>
            <w:hideMark/>
          </w:tcPr>
          <w:p w14:paraId="57C141E8"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Strategjia minerare</w:t>
            </w:r>
          </w:p>
        </w:tc>
        <w:tc>
          <w:tcPr>
            <w:tcW w:w="1418" w:type="dxa"/>
            <w:gridSpan w:val="2"/>
            <w:tcBorders>
              <w:top w:val="nil"/>
              <w:left w:val="nil"/>
              <w:bottom w:val="single" w:sz="4" w:space="0" w:color="auto"/>
              <w:right w:val="single" w:sz="4" w:space="0" w:color="auto"/>
            </w:tcBorders>
            <w:shd w:val="clear" w:color="auto" w:fill="auto"/>
            <w:vAlign w:val="center"/>
            <w:hideMark/>
          </w:tcPr>
          <w:p w14:paraId="2C0A4F47" w14:textId="77777777" w:rsidR="000A0AF1" w:rsidRPr="000A0AF1" w:rsidRDefault="000A0AF1" w:rsidP="000A0AF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0"/>
                <w:szCs w:val="10"/>
                <w:bdr w:val="none" w:sz="0" w:space="0" w:color="auto"/>
              </w:rPr>
            </w:pPr>
            <w:r w:rsidRPr="000A0AF1">
              <w:rPr>
                <w:rFonts w:ascii="Arial" w:eastAsia="Times New Roman" w:hAnsi="Arial" w:cs="Arial"/>
                <w:color w:val="000000"/>
                <w:sz w:val="10"/>
                <w:szCs w:val="10"/>
                <w:bdr w:val="none" w:sz="0" w:space="0" w:color="auto"/>
              </w:rPr>
              <w:t>Po</w:t>
            </w:r>
          </w:p>
        </w:tc>
      </w:tr>
    </w:tbl>
    <w:p w14:paraId="24CFB026" w14:textId="77777777" w:rsidR="000A0AF1" w:rsidRDefault="000A0AF1" w:rsidP="009F3407">
      <w:pPr>
        <w:pStyle w:val="BodyA"/>
        <w:jc w:val="center"/>
        <w:rPr>
          <w:sz w:val="28"/>
          <w:szCs w:val="28"/>
          <w:lang w:val="it-IT"/>
        </w:rPr>
      </w:pPr>
    </w:p>
    <w:p w14:paraId="6F9E9246" w14:textId="315E7700" w:rsidR="000A0AF1" w:rsidRDefault="000A0AF1" w:rsidP="009F3407">
      <w:pPr>
        <w:pStyle w:val="BodyA"/>
        <w:jc w:val="center"/>
        <w:rPr>
          <w:sz w:val="28"/>
          <w:szCs w:val="28"/>
          <w:lang w:val="it-IT"/>
        </w:rPr>
      </w:pPr>
    </w:p>
    <w:p w14:paraId="10080050" w14:textId="1E00B137" w:rsidR="000A0AF1" w:rsidRDefault="000A0AF1" w:rsidP="009F3407">
      <w:pPr>
        <w:pStyle w:val="BodyA"/>
        <w:jc w:val="center"/>
        <w:rPr>
          <w:sz w:val="28"/>
          <w:szCs w:val="28"/>
          <w:lang w:val="it-IT"/>
        </w:rPr>
      </w:pPr>
    </w:p>
    <w:p w14:paraId="1B9B4EA5" w14:textId="3024C43E" w:rsidR="000A0AF1" w:rsidRDefault="000A0AF1" w:rsidP="009F3407">
      <w:pPr>
        <w:pStyle w:val="BodyA"/>
        <w:jc w:val="center"/>
        <w:rPr>
          <w:sz w:val="28"/>
          <w:szCs w:val="28"/>
          <w:lang w:val="it-IT"/>
        </w:rPr>
      </w:pPr>
    </w:p>
    <w:p w14:paraId="0D895020" w14:textId="67D387AE" w:rsidR="000A0AF1" w:rsidRDefault="000A0AF1" w:rsidP="009F3407">
      <w:pPr>
        <w:pStyle w:val="BodyA"/>
        <w:jc w:val="center"/>
        <w:rPr>
          <w:sz w:val="28"/>
          <w:szCs w:val="28"/>
          <w:lang w:val="it-IT"/>
        </w:rPr>
      </w:pPr>
    </w:p>
    <w:p w14:paraId="390916EC" w14:textId="1CE3B651" w:rsidR="000A0AF1" w:rsidRDefault="000A0AF1" w:rsidP="009F3407">
      <w:pPr>
        <w:pStyle w:val="BodyA"/>
        <w:jc w:val="center"/>
        <w:rPr>
          <w:sz w:val="28"/>
          <w:szCs w:val="28"/>
          <w:lang w:val="it-IT"/>
        </w:rPr>
      </w:pPr>
    </w:p>
    <w:p w14:paraId="66D60310" w14:textId="3B405B26" w:rsidR="00832F20" w:rsidRDefault="00832F20" w:rsidP="009F3407">
      <w:pPr>
        <w:pStyle w:val="BodyA"/>
        <w:jc w:val="center"/>
        <w:rPr>
          <w:sz w:val="28"/>
          <w:szCs w:val="28"/>
          <w:lang w:val="it-IT"/>
        </w:rPr>
      </w:pPr>
    </w:p>
    <w:p w14:paraId="2EF58E95" w14:textId="1D6BB270" w:rsidR="00832F20" w:rsidRDefault="00832F20" w:rsidP="009F3407">
      <w:pPr>
        <w:pStyle w:val="BodyA"/>
        <w:jc w:val="center"/>
        <w:rPr>
          <w:sz w:val="28"/>
          <w:szCs w:val="28"/>
          <w:lang w:val="it-IT"/>
        </w:rPr>
      </w:pPr>
    </w:p>
    <w:p w14:paraId="47A93107" w14:textId="40CAB82D" w:rsidR="00832F20" w:rsidRDefault="00832F20" w:rsidP="009F3407">
      <w:pPr>
        <w:pStyle w:val="BodyA"/>
        <w:jc w:val="center"/>
        <w:rPr>
          <w:sz w:val="28"/>
          <w:szCs w:val="28"/>
          <w:lang w:val="it-IT"/>
        </w:rPr>
      </w:pPr>
    </w:p>
    <w:p w14:paraId="3C087FFF" w14:textId="2D2337D3" w:rsidR="00832F20" w:rsidRDefault="00832F20" w:rsidP="009F3407">
      <w:pPr>
        <w:pStyle w:val="BodyA"/>
        <w:jc w:val="center"/>
        <w:rPr>
          <w:sz w:val="28"/>
          <w:szCs w:val="28"/>
          <w:lang w:val="it-IT"/>
        </w:rPr>
      </w:pPr>
    </w:p>
    <w:p w14:paraId="3B21597E" w14:textId="072BB81F" w:rsidR="00832F20" w:rsidRDefault="00832F20" w:rsidP="009F3407">
      <w:pPr>
        <w:pStyle w:val="BodyA"/>
        <w:jc w:val="center"/>
        <w:rPr>
          <w:sz w:val="28"/>
          <w:szCs w:val="28"/>
          <w:lang w:val="it-IT"/>
        </w:rPr>
      </w:pPr>
    </w:p>
    <w:tbl>
      <w:tblPr>
        <w:tblW w:w="5000" w:type="pct"/>
        <w:jc w:val="center"/>
        <w:tblLook w:val="04A0" w:firstRow="1" w:lastRow="0" w:firstColumn="1" w:lastColumn="0" w:noHBand="0" w:noVBand="1"/>
      </w:tblPr>
      <w:tblGrid>
        <w:gridCol w:w="369"/>
        <w:gridCol w:w="2333"/>
        <w:gridCol w:w="932"/>
        <w:gridCol w:w="1163"/>
        <w:gridCol w:w="887"/>
        <w:gridCol w:w="1538"/>
        <w:gridCol w:w="2005"/>
        <w:gridCol w:w="858"/>
        <w:gridCol w:w="1229"/>
        <w:gridCol w:w="1527"/>
        <w:gridCol w:w="1117"/>
      </w:tblGrid>
      <w:tr w:rsidR="00775ED6" w:rsidRPr="00775ED6" w14:paraId="5491005B" w14:textId="77777777" w:rsidTr="00775ED6">
        <w:trPr>
          <w:trHeight w:val="180"/>
          <w:jc w:val="center"/>
        </w:trPr>
        <w:tc>
          <w:tcPr>
            <w:tcW w:w="5000" w:type="pct"/>
            <w:gridSpan w:val="11"/>
            <w:tcBorders>
              <w:top w:val="single" w:sz="4" w:space="0" w:color="FFFFFF"/>
              <w:left w:val="nil"/>
              <w:bottom w:val="single" w:sz="4" w:space="0" w:color="FFFFFF"/>
              <w:right w:val="nil"/>
            </w:tcBorders>
            <w:shd w:val="clear" w:color="000000" w:fill="F2F2F2"/>
            <w:vAlign w:val="bottom"/>
            <w:hideMark/>
          </w:tcPr>
          <w:p w14:paraId="317E47B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1"/>
                <w:szCs w:val="11"/>
                <w:bdr w:val="none" w:sz="0" w:space="0" w:color="auto"/>
              </w:rPr>
            </w:pPr>
            <w:bookmarkStart w:id="2" w:name="RANGE!A1:K25"/>
            <w:r w:rsidRPr="00775ED6">
              <w:rPr>
                <w:rFonts w:ascii="Arial" w:eastAsia="Times New Roman" w:hAnsi="Arial" w:cs="Arial"/>
                <w:b/>
                <w:bCs/>
                <w:color w:val="000000"/>
                <w:sz w:val="11"/>
                <w:szCs w:val="11"/>
                <w:bdr w:val="none" w:sz="0" w:space="0" w:color="auto"/>
              </w:rPr>
              <w:t>Programi i Përgjithshëm Analitik i Projektakteve për vitin 2024</w:t>
            </w:r>
            <w:bookmarkEnd w:id="2"/>
          </w:p>
        </w:tc>
      </w:tr>
      <w:tr w:rsidR="00775ED6" w:rsidRPr="00775ED6" w14:paraId="5576D092" w14:textId="77777777" w:rsidTr="00775ED6">
        <w:trPr>
          <w:trHeight w:val="180"/>
          <w:jc w:val="center"/>
        </w:trPr>
        <w:tc>
          <w:tcPr>
            <w:tcW w:w="5000" w:type="pct"/>
            <w:gridSpan w:val="11"/>
            <w:tcBorders>
              <w:top w:val="single" w:sz="4" w:space="0" w:color="FFFFFF"/>
              <w:left w:val="nil"/>
              <w:bottom w:val="nil"/>
              <w:right w:val="nil"/>
            </w:tcBorders>
            <w:shd w:val="clear" w:color="000000" w:fill="F2F2F2"/>
            <w:vAlign w:val="bottom"/>
            <w:hideMark/>
          </w:tcPr>
          <w:p w14:paraId="59C77F9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1"/>
                <w:szCs w:val="11"/>
                <w:bdr w:val="none" w:sz="0" w:space="0" w:color="auto"/>
              </w:rPr>
            </w:pPr>
            <w:r w:rsidRPr="00775ED6">
              <w:rPr>
                <w:rFonts w:ascii="Arial" w:eastAsia="Times New Roman" w:hAnsi="Arial" w:cs="Arial"/>
                <w:b/>
                <w:bCs/>
                <w:color w:val="000000"/>
                <w:sz w:val="11"/>
                <w:szCs w:val="11"/>
                <w:bdr w:val="none" w:sz="0" w:space="0" w:color="auto"/>
              </w:rPr>
              <w:t>Ministri i Kultures</w:t>
            </w:r>
          </w:p>
        </w:tc>
      </w:tr>
      <w:tr w:rsidR="00775ED6" w:rsidRPr="00FD63A4" w14:paraId="6493C18A" w14:textId="77777777" w:rsidTr="00775ED6">
        <w:trPr>
          <w:trHeight w:val="180"/>
          <w:jc w:val="center"/>
        </w:trPr>
        <w:tc>
          <w:tcPr>
            <w:tcW w:w="115" w:type="pct"/>
            <w:tcBorders>
              <w:top w:val="single" w:sz="8" w:space="0" w:color="auto"/>
              <w:left w:val="single" w:sz="8" w:space="0" w:color="auto"/>
              <w:bottom w:val="nil"/>
              <w:right w:val="nil"/>
            </w:tcBorders>
            <w:shd w:val="clear" w:color="000000" w:fill="C00000"/>
            <w:vAlign w:val="center"/>
            <w:hideMark/>
          </w:tcPr>
          <w:p w14:paraId="4A2C4F8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Nr.</w:t>
            </w:r>
          </w:p>
        </w:tc>
        <w:tc>
          <w:tcPr>
            <w:tcW w:w="839" w:type="pct"/>
            <w:tcBorders>
              <w:top w:val="single" w:sz="8" w:space="0" w:color="auto"/>
              <w:left w:val="single" w:sz="4" w:space="0" w:color="FFFFFF"/>
              <w:bottom w:val="nil"/>
              <w:right w:val="single" w:sz="4" w:space="0" w:color="FFFFFF"/>
            </w:tcBorders>
            <w:shd w:val="clear" w:color="000000" w:fill="C00000"/>
            <w:vAlign w:val="center"/>
            <w:hideMark/>
          </w:tcPr>
          <w:p w14:paraId="20F3A36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Titulli i projektaktit</w:t>
            </w:r>
          </w:p>
        </w:tc>
        <w:tc>
          <w:tcPr>
            <w:tcW w:w="337" w:type="pct"/>
            <w:tcBorders>
              <w:top w:val="single" w:sz="8" w:space="0" w:color="auto"/>
              <w:left w:val="nil"/>
              <w:bottom w:val="nil"/>
              <w:right w:val="single" w:sz="4" w:space="0" w:color="FFFFFF"/>
            </w:tcBorders>
            <w:shd w:val="clear" w:color="000000" w:fill="C00000"/>
            <w:vAlign w:val="center"/>
            <w:hideMark/>
          </w:tcPr>
          <w:p w14:paraId="3DD019C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Lloji i projektaktit</w:t>
            </w:r>
          </w:p>
        </w:tc>
        <w:tc>
          <w:tcPr>
            <w:tcW w:w="420" w:type="pct"/>
            <w:tcBorders>
              <w:top w:val="single" w:sz="8" w:space="0" w:color="auto"/>
              <w:left w:val="nil"/>
              <w:bottom w:val="nil"/>
              <w:right w:val="nil"/>
            </w:tcBorders>
            <w:shd w:val="clear" w:color="000000" w:fill="C00000"/>
            <w:vAlign w:val="center"/>
            <w:hideMark/>
          </w:tcPr>
          <w:p w14:paraId="7378E69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Ministri propozues</w:t>
            </w:r>
          </w:p>
        </w:tc>
        <w:tc>
          <w:tcPr>
            <w:tcW w:w="321" w:type="pct"/>
            <w:tcBorders>
              <w:top w:val="single" w:sz="8" w:space="0" w:color="auto"/>
              <w:left w:val="single" w:sz="4" w:space="0" w:color="FFFFFF"/>
              <w:bottom w:val="nil"/>
              <w:right w:val="nil"/>
            </w:tcBorders>
            <w:shd w:val="clear" w:color="000000" w:fill="C00000"/>
            <w:vAlign w:val="center"/>
            <w:hideMark/>
          </w:tcPr>
          <w:p w14:paraId="0032204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Katër mujori</w:t>
            </w:r>
          </w:p>
        </w:tc>
        <w:tc>
          <w:tcPr>
            <w:tcW w:w="554" w:type="pct"/>
            <w:tcBorders>
              <w:top w:val="single" w:sz="8" w:space="0" w:color="auto"/>
              <w:left w:val="single" w:sz="4" w:space="0" w:color="FFFFFF"/>
              <w:bottom w:val="nil"/>
              <w:right w:val="nil"/>
            </w:tcBorders>
            <w:shd w:val="clear" w:color="000000" w:fill="C00000"/>
            <w:vAlign w:val="center"/>
            <w:hideMark/>
          </w:tcPr>
          <w:p w14:paraId="1E0CB79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Arsyet kryesore për propozimin e projektaktit</w:t>
            </w:r>
          </w:p>
        </w:tc>
        <w:tc>
          <w:tcPr>
            <w:tcW w:w="721" w:type="pct"/>
            <w:tcBorders>
              <w:top w:val="single" w:sz="8" w:space="0" w:color="auto"/>
              <w:left w:val="single" w:sz="4" w:space="0" w:color="FFFFFF"/>
              <w:bottom w:val="nil"/>
              <w:right w:val="single" w:sz="4" w:space="0" w:color="FFFFFF"/>
            </w:tcBorders>
            <w:shd w:val="clear" w:color="000000" w:fill="C00000"/>
            <w:vAlign w:val="center"/>
            <w:hideMark/>
          </w:tcPr>
          <w:p w14:paraId="68EB91A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 xml:space="preserve">Çështjet kryesore që parashikon të rregullojë projektakti </w:t>
            </w:r>
          </w:p>
        </w:tc>
        <w:tc>
          <w:tcPr>
            <w:tcW w:w="297" w:type="pct"/>
            <w:tcBorders>
              <w:top w:val="single" w:sz="8" w:space="0" w:color="auto"/>
              <w:left w:val="nil"/>
              <w:bottom w:val="nil"/>
              <w:right w:val="single" w:sz="4" w:space="0" w:color="FFFFFF"/>
            </w:tcBorders>
            <w:shd w:val="clear" w:color="000000" w:fill="C00000"/>
            <w:vAlign w:val="center"/>
            <w:hideMark/>
          </w:tcPr>
          <w:p w14:paraId="30401A6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A është parashikuar projektakti në PKIE?</w:t>
            </w:r>
            <w:r w:rsidRPr="00775ED6">
              <w:rPr>
                <w:rFonts w:ascii="Arial" w:eastAsia="Times New Roman" w:hAnsi="Arial" w:cs="Arial"/>
                <w:b/>
                <w:bCs/>
                <w:color w:val="FFFFFF"/>
                <w:sz w:val="11"/>
                <w:szCs w:val="11"/>
                <w:bdr w:val="none" w:sz="0" w:space="0" w:color="auto"/>
              </w:rPr>
              <w:br/>
            </w:r>
            <w:r w:rsidRPr="00775ED6">
              <w:rPr>
                <w:rFonts w:ascii="Arial" w:eastAsia="Times New Roman" w:hAnsi="Arial" w:cs="Arial"/>
                <w:b/>
                <w:bCs/>
                <w:color w:val="FFFFFF"/>
                <w:sz w:val="11"/>
                <w:szCs w:val="11"/>
                <w:bdr w:val="none" w:sz="0" w:space="0" w:color="auto"/>
              </w:rPr>
              <w:br/>
              <w:t>Nëse po, të specifikohet kapitulli përkatës</w:t>
            </w:r>
          </w:p>
        </w:tc>
        <w:tc>
          <w:tcPr>
            <w:tcW w:w="443" w:type="pct"/>
            <w:tcBorders>
              <w:top w:val="single" w:sz="8" w:space="0" w:color="auto"/>
              <w:left w:val="nil"/>
              <w:bottom w:val="nil"/>
              <w:right w:val="single" w:sz="4" w:space="0" w:color="FFFFFF"/>
            </w:tcBorders>
            <w:shd w:val="clear" w:color="000000" w:fill="C00000"/>
            <w:vAlign w:val="center"/>
            <w:hideMark/>
          </w:tcPr>
          <w:p w14:paraId="264092C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Përputhshmëria e projektaktit me programin politik qeverisës 2021-2025</w:t>
            </w:r>
            <w:r w:rsidRPr="00775ED6">
              <w:rPr>
                <w:rFonts w:ascii="Arial" w:eastAsia="Times New Roman" w:hAnsi="Arial" w:cs="Arial"/>
                <w:b/>
                <w:bCs/>
                <w:color w:val="FFFFFF"/>
                <w:sz w:val="11"/>
                <w:szCs w:val="11"/>
                <w:bdr w:val="none" w:sz="0" w:space="0" w:color="auto"/>
              </w:rPr>
              <w:br/>
            </w:r>
            <w:r w:rsidRPr="00775ED6">
              <w:rPr>
                <w:rFonts w:ascii="Arial" w:eastAsia="Times New Roman" w:hAnsi="Arial" w:cs="Arial"/>
                <w:b/>
                <w:bCs/>
                <w:color w:val="FFFFFF"/>
                <w:sz w:val="11"/>
                <w:szCs w:val="11"/>
                <w:bdr w:val="none" w:sz="0" w:space="0" w:color="auto"/>
              </w:rPr>
              <w:br/>
              <w:t>Nëse përputhet, të jepet  referenca e saktë në progam</w:t>
            </w:r>
          </w:p>
        </w:tc>
        <w:tc>
          <w:tcPr>
            <w:tcW w:w="550" w:type="pct"/>
            <w:tcBorders>
              <w:top w:val="single" w:sz="8" w:space="0" w:color="auto"/>
              <w:left w:val="nil"/>
              <w:bottom w:val="nil"/>
              <w:right w:val="single" w:sz="4" w:space="0" w:color="FFFFFF"/>
            </w:tcBorders>
            <w:shd w:val="clear" w:color="000000" w:fill="C00000"/>
            <w:vAlign w:val="center"/>
            <w:hideMark/>
          </w:tcPr>
          <w:p w14:paraId="164B446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Lidhja e projektaktit me strategjitë kombëtare dhe sektoriale</w:t>
            </w:r>
            <w:r w:rsidRPr="00775ED6">
              <w:rPr>
                <w:rFonts w:ascii="Arial" w:eastAsia="Times New Roman" w:hAnsi="Arial" w:cs="Arial"/>
                <w:b/>
                <w:bCs/>
                <w:color w:val="FFFFFF"/>
                <w:sz w:val="11"/>
                <w:szCs w:val="11"/>
                <w:bdr w:val="none" w:sz="0" w:space="0" w:color="auto"/>
              </w:rPr>
              <w:br/>
            </w:r>
            <w:r w:rsidRPr="00775ED6">
              <w:rPr>
                <w:rFonts w:ascii="Arial" w:eastAsia="Times New Roman" w:hAnsi="Arial" w:cs="Arial"/>
                <w:b/>
                <w:bCs/>
                <w:color w:val="FFFFFF"/>
                <w:sz w:val="11"/>
                <w:szCs w:val="11"/>
                <w:bdr w:val="none" w:sz="0" w:space="0" w:color="auto"/>
              </w:rPr>
              <w:br/>
              <w:t>Nëse lidhet, të specifikohen strategjitë</w:t>
            </w:r>
          </w:p>
        </w:tc>
        <w:tc>
          <w:tcPr>
            <w:tcW w:w="404" w:type="pct"/>
            <w:tcBorders>
              <w:top w:val="single" w:sz="8" w:space="0" w:color="auto"/>
              <w:left w:val="nil"/>
              <w:bottom w:val="nil"/>
              <w:right w:val="nil"/>
            </w:tcBorders>
            <w:shd w:val="clear" w:color="000000" w:fill="C00000"/>
            <w:vAlign w:val="center"/>
            <w:hideMark/>
          </w:tcPr>
          <w:p w14:paraId="608B8C5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FFFFFF"/>
                <w:sz w:val="11"/>
                <w:szCs w:val="11"/>
                <w:bdr w:val="none" w:sz="0" w:space="0" w:color="auto"/>
              </w:rPr>
            </w:pPr>
            <w:r w:rsidRPr="00775ED6">
              <w:rPr>
                <w:rFonts w:ascii="Arial" w:eastAsia="Times New Roman" w:hAnsi="Arial" w:cs="Arial"/>
                <w:b/>
                <w:bCs/>
                <w:color w:val="FFFFFF"/>
                <w:sz w:val="11"/>
                <w:szCs w:val="11"/>
                <w:bdr w:val="none" w:sz="0" w:space="0" w:color="auto"/>
              </w:rPr>
              <w:t>Ndikimet e mundshme ekonomike, financiare, sociale dhe mjedisore</w:t>
            </w:r>
            <w:r w:rsidRPr="00775ED6">
              <w:rPr>
                <w:rFonts w:ascii="Arial" w:eastAsia="Times New Roman" w:hAnsi="Arial" w:cs="Arial"/>
                <w:b/>
                <w:bCs/>
                <w:color w:val="FFFFFF"/>
                <w:sz w:val="11"/>
                <w:szCs w:val="11"/>
                <w:bdr w:val="none" w:sz="0" w:space="0" w:color="auto"/>
              </w:rPr>
              <w:br/>
            </w:r>
            <w:r w:rsidRPr="00775ED6">
              <w:rPr>
                <w:rFonts w:ascii="Arial" w:eastAsia="Times New Roman" w:hAnsi="Arial" w:cs="Arial"/>
                <w:b/>
                <w:bCs/>
                <w:color w:val="FFFFFF"/>
                <w:sz w:val="11"/>
                <w:szCs w:val="11"/>
                <w:bdr w:val="none" w:sz="0" w:space="0" w:color="auto"/>
              </w:rPr>
              <w:br/>
              <w:t xml:space="preserve">Përgjigjuni me Po/Jo për ndikimet përkatëse </w:t>
            </w:r>
          </w:p>
        </w:tc>
      </w:tr>
      <w:tr w:rsidR="00775ED6" w:rsidRPr="00FD63A4" w14:paraId="4314B28D" w14:textId="77777777" w:rsidTr="00775ED6">
        <w:trPr>
          <w:trHeight w:val="180"/>
          <w:jc w:val="center"/>
        </w:trPr>
        <w:tc>
          <w:tcPr>
            <w:tcW w:w="1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74C67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w:t>
            </w:r>
          </w:p>
        </w:tc>
        <w:tc>
          <w:tcPr>
            <w:tcW w:w="839" w:type="pct"/>
            <w:tcBorders>
              <w:top w:val="single" w:sz="4" w:space="0" w:color="auto"/>
              <w:left w:val="nil"/>
              <w:bottom w:val="single" w:sz="4" w:space="0" w:color="auto"/>
              <w:right w:val="single" w:sz="4" w:space="0" w:color="auto"/>
            </w:tcBorders>
            <w:shd w:val="clear" w:color="auto" w:fill="auto"/>
            <w:vAlign w:val="center"/>
            <w:hideMark/>
          </w:tcPr>
          <w:p w14:paraId="01EE9C5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trajtimin financiar të punonjësve që kanë punuar në institucionet publike të artit dhe kulturës</w:t>
            </w:r>
          </w:p>
        </w:tc>
        <w:tc>
          <w:tcPr>
            <w:tcW w:w="337" w:type="pct"/>
            <w:tcBorders>
              <w:top w:val="single" w:sz="4" w:space="0" w:color="auto"/>
              <w:left w:val="nil"/>
              <w:bottom w:val="single" w:sz="4" w:space="0" w:color="auto"/>
              <w:right w:val="single" w:sz="4" w:space="0" w:color="auto"/>
            </w:tcBorders>
            <w:shd w:val="clear" w:color="auto" w:fill="auto"/>
            <w:vAlign w:val="center"/>
            <w:hideMark/>
          </w:tcPr>
          <w:p w14:paraId="39EFCE8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Projektligj</w:t>
            </w:r>
          </w:p>
        </w:tc>
        <w:tc>
          <w:tcPr>
            <w:tcW w:w="420" w:type="pct"/>
            <w:tcBorders>
              <w:top w:val="single" w:sz="4" w:space="0" w:color="auto"/>
              <w:left w:val="nil"/>
              <w:bottom w:val="single" w:sz="4" w:space="0" w:color="auto"/>
              <w:right w:val="single" w:sz="4" w:space="0" w:color="auto"/>
            </w:tcBorders>
            <w:shd w:val="clear" w:color="auto" w:fill="auto"/>
            <w:vAlign w:val="center"/>
            <w:hideMark/>
          </w:tcPr>
          <w:p w14:paraId="3FD2071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single" w:sz="4" w:space="0" w:color="auto"/>
              <w:left w:val="nil"/>
              <w:bottom w:val="single" w:sz="4" w:space="0" w:color="auto"/>
              <w:right w:val="single" w:sz="4" w:space="0" w:color="auto"/>
            </w:tcBorders>
            <w:shd w:val="clear" w:color="auto" w:fill="auto"/>
            <w:vAlign w:val="center"/>
            <w:hideMark/>
          </w:tcPr>
          <w:p w14:paraId="776751E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single" w:sz="4" w:space="0" w:color="auto"/>
              <w:left w:val="nil"/>
              <w:bottom w:val="single" w:sz="4" w:space="0" w:color="auto"/>
              <w:right w:val="single" w:sz="4" w:space="0" w:color="auto"/>
            </w:tcBorders>
            <w:shd w:val="clear" w:color="auto" w:fill="auto"/>
            <w:vAlign w:val="center"/>
            <w:hideMark/>
          </w:tcPr>
          <w:p w14:paraId="51BED70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Miratimi I këtij projektligji nevojitet për shkak të vete natyrës dhe rezultateve që kërkohen në performancen të caktuar artistike e kanë të kufizuar periudhën e ushtrimit të këtyre profesioneve të cilat kërkojne aftësi interpretative, energji të reja, vitalitet...elemente këto që nuk mund ti rezistojnë viteve të moshës</w:t>
            </w:r>
          </w:p>
        </w:tc>
        <w:tc>
          <w:tcPr>
            <w:tcW w:w="721" w:type="pct"/>
            <w:tcBorders>
              <w:top w:val="nil"/>
              <w:left w:val="nil"/>
              <w:bottom w:val="nil"/>
              <w:right w:val="nil"/>
            </w:tcBorders>
            <w:shd w:val="clear" w:color="auto" w:fill="auto"/>
            <w:vAlign w:val="center"/>
            <w:hideMark/>
          </w:tcPr>
          <w:p w14:paraId="214AF60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Synon rritjen e nivelit artistik dhe interpretativ, afrimin e artistëve të rinj të talentuar pranë institucioneve artistike si dhe hapjen e më shumë vendeve të reja të punës në institucioneve artistike.</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DABB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single" w:sz="4" w:space="0" w:color="auto"/>
              <w:left w:val="nil"/>
              <w:bottom w:val="single" w:sz="4" w:space="0" w:color="auto"/>
              <w:right w:val="single" w:sz="4" w:space="0" w:color="auto"/>
            </w:tcBorders>
            <w:shd w:val="clear" w:color="auto" w:fill="auto"/>
            <w:vAlign w:val="center"/>
            <w:hideMark/>
          </w:tcPr>
          <w:p w14:paraId="144122F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single" w:sz="4" w:space="0" w:color="auto"/>
              <w:left w:val="nil"/>
              <w:bottom w:val="single" w:sz="4" w:space="0" w:color="auto"/>
              <w:right w:val="single" w:sz="4" w:space="0" w:color="auto"/>
            </w:tcBorders>
            <w:shd w:val="clear" w:color="auto" w:fill="auto"/>
            <w:vAlign w:val="center"/>
            <w:hideMark/>
          </w:tcPr>
          <w:p w14:paraId="21E5FF0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Kombëtare për Kulturën, 2019–2025”</w:t>
            </w:r>
          </w:p>
        </w:tc>
        <w:tc>
          <w:tcPr>
            <w:tcW w:w="404" w:type="pct"/>
            <w:tcBorders>
              <w:top w:val="single" w:sz="4" w:space="0" w:color="auto"/>
              <w:left w:val="nil"/>
              <w:bottom w:val="single" w:sz="4" w:space="0" w:color="auto"/>
              <w:right w:val="single" w:sz="4" w:space="0" w:color="auto"/>
            </w:tcBorders>
            <w:shd w:val="clear" w:color="auto" w:fill="auto"/>
            <w:vAlign w:val="center"/>
            <w:hideMark/>
          </w:tcPr>
          <w:p w14:paraId="0F76292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Sociale: Po       Ekonomike: Po Mjedisore: Po</w:t>
            </w:r>
          </w:p>
        </w:tc>
      </w:tr>
      <w:tr w:rsidR="00775ED6" w:rsidRPr="00FD63A4" w14:paraId="13A7A6F5"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0C12A3B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2</w:t>
            </w:r>
          </w:p>
        </w:tc>
        <w:tc>
          <w:tcPr>
            <w:tcW w:w="839" w:type="pct"/>
            <w:tcBorders>
              <w:top w:val="nil"/>
              <w:left w:val="nil"/>
              <w:bottom w:val="single" w:sz="4" w:space="0" w:color="auto"/>
              <w:right w:val="single" w:sz="4" w:space="0" w:color="auto"/>
            </w:tcBorders>
            <w:shd w:val="clear" w:color="auto" w:fill="auto"/>
            <w:vAlign w:val="center"/>
            <w:hideMark/>
          </w:tcPr>
          <w:p w14:paraId="421F6AD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shpërblimin e anëtarëve të Bordit të Akreditimit të Muzeve.</w:t>
            </w:r>
          </w:p>
        </w:tc>
        <w:tc>
          <w:tcPr>
            <w:tcW w:w="337" w:type="pct"/>
            <w:tcBorders>
              <w:top w:val="nil"/>
              <w:left w:val="nil"/>
              <w:bottom w:val="single" w:sz="4" w:space="0" w:color="auto"/>
              <w:right w:val="single" w:sz="4" w:space="0" w:color="auto"/>
            </w:tcBorders>
            <w:shd w:val="clear" w:color="auto" w:fill="auto"/>
            <w:vAlign w:val="center"/>
            <w:hideMark/>
          </w:tcPr>
          <w:p w14:paraId="4A51846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3451514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2EA75C1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6585D08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599CA40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Akreditim i muzeve është procesi i pavarur për vlerësimin e kritereve, i cili përcakton: nëse muzeu dhe/ose aktiviteti muzeor i tij përmbushin standardet e caktuara të: cilësisë, edukimit, sigurisë, ruajtjes dhe mbrojtjes së vlerave kulturore, në përputhje me aktet ligjore dhe nënligjore në fuqi”(pika 1/ neni 5 i ligjit të trashëgimisë dhe muzeve) </w:t>
            </w:r>
          </w:p>
        </w:tc>
        <w:tc>
          <w:tcPr>
            <w:tcW w:w="297" w:type="pct"/>
            <w:tcBorders>
              <w:top w:val="nil"/>
              <w:left w:val="nil"/>
              <w:bottom w:val="single" w:sz="4" w:space="0" w:color="auto"/>
              <w:right w:val="single" w:sz="4" w:space="0" w:color="auto"/>
            </w:tcBorders>
            <w:shd w:val="clear" w:color="auto" w:fill="auto"/>
            <w:vAlign w:val="center"/>
            <w:hideMark/>
          </w:tcPr>
          <w:p w14:paraId="694D7F1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5D11EB2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13760CE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Strategjia Kombëtare për kulturën 2019 - 2025 </w:t>
            </w:r>
          </w:p>
        </w:tc>
        <w:tc>
          <w:tcPr>
            <w:tcW w:w="404" w:type="pct"/>
            <w:tcBorders>
              <w:top w:val="nil"/>
              <w:left w:val="nil"/>
              <w:bottom w:val="single" w:sz="4" w:space="0" w:color="auto"/>
              <w:right w:val="single" w:sz="4" w:space="0" w:color="auto"/>
            </w:tcBorders>
            <w:shd w:val="clear" w:color="auto" w:fill="auto"/>
            <w:vAlign w:val="center"/>
            <w:hideMark/>
          </w:tcPr>
          <w:p w14:paraId="32DAEC4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jo       Ekonomike: jo Mjedisore: jo Financiare: po       </w:t>
            </w:r>
          </w:p>
        </w:tc>
      </w:tr>
      <w:tr w:rsidR="00775ED6" w:rsidRPr="00FD63A4" w14:paraId="583DC7EC"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21BCB0D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3</w:t>
            </w:r>
          </w:p>
        </w:tc>
        <w:tc>
          <w:tcPr>
            <w:tcW w:w="839" w:type="pct"/>
            <w:tcBorders>
              <w:top w:val="nil"/>
              <w:left w:val="nil"/>
              <w:bottom w:val="single" w:sz="4" w:space="0" w:color="auto"/>
              <w:right w:val="single" w:sz="4" w:space="0" w:color="auto"/>
            </w:tcBorders>
            <w:shd w:val="clear" w:color="auto" w:fill="auto"/>
            <w:vAlign w:val="center"/>
            <w:hideMark/>
          </w:tcPr>
          <w:p w14:paraId="5ED8E58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ushtrimin e funksioneve të fondacionit "Marubi</w:t>
            </w:r>
          </w:p>
        </w:tc>
        <w:tc>
          <w:tcPr>
            <w:tcW w:w="337" w:type="pct"/>
            <w:tcBorders>
              <w:top w:val="nil"/>
              <w:left w:val="nil"/>
              <w:bottom w:val="single" w:sz="4" w:space="0" w:color="auto"/>
              <w:right w:val="single" w:sz="4" w:space="0" w:color="auto"/>
            </w:tcBorders>
            <w:shd w:val="clear" w:color="auto" w:fill="auto"/>
            <w:vAlign w:val="center"/>
            <w:hideMark/>
          </w:tcPr>
          <w:p w14:paraId="41EB039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6FF5F95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4A6A987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76686A7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1ECA4C6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Ngritjen dhe funksionimin e Fondacionit "Marubi" i cili do të formojë restauratorë të ardhshëm të fotografisë dhe promovimit të arkivit Marubi </w:t>
            </w:r>
          </w:p>
        </w:tc>
        <w:tc>
          <w:tcPr>
            <w:tcW w:w="297" w:type="pct"/>
            <w:tcBorders>
              <w:top w:val="nil"/>
              <w:left w:val="nil"/>
              <w:bottom w:val="single" w:sz="4" w:space="0" w:color="auto"/>
              <w:right w:val="single" w:sz="4" w:space="0" w:color="auto"/>
            </w:tcBorders>
            <w:shd w:val="clear" w:color="auto" w:fill="auto"/>
            <w:vAlign w:val="center"/>
            <w:hideMark/>
          </w:tcPr>
          <w:p w14:paraId="51E0C83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376E529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1E63CF9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Strategjia Kombëtare për kulturën 2019 - 2025 </w:t>
            </w:r>
          </w:p>
        </w:tc>
        <w:tc>
          <w:tcPr>
            <w:tcW w:w="404" w:type="pct"/>
            <w:tcBorders>
              <w:top w:val="nil"/>
              <w:left w:val="nil"/>
              <w:bottom w:val="single" w:sz="4" w:space="0" w:color="auto"/>
              <w:right w:val="single" w:sz="4" w:space="0" w:color="auto"/>
            </w:tcBorders>
            <w:shd w:val="clear" w:color="auto" w:fill="auto"/>
            <w:vAlign w:val="center"/>
            <w:hideMark/>
          </w:tcPr>
          <w:p w14:paraId="7620829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Fnanciare: Po     Sociale: Po       ekonomike: Po       Mjedisore: Jo</w:t>
            </w:r>
          </w:p>
        </w:tc>
      </w:tr>
      <w:tr w:rsidR="00775ED6" w:rsidRPr="00FD63A4" w14:paraId="629AF89D"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552B7B1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4</w:t>
            </w:r>
          </w:p>
        </w:tc>
        <w:tc>
          <w:tcPr>
            <w:tcW w:w="839" w:type="pct"/>
            <w:tcBorders>
              <w:top w:val="nil"/>
              <w:left w:val="nil"/>
              <w:bottom w:val="single" w:sz="4" w:space="0" w:color="auto"/>
              <w:right w:val="single" w:sz="4" w:space="0" w:color="auto"/>
            </w:tcBorders>
            <w:shd w:val="clear" w:color="auto" w:fill="auto"/>
            <w:vAlign w:val="center"/>
            <w:hideMark/>
          </w:tcPr>
          <w:p w14:paraId="001DA00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mënyrën e funksionimit, të organizimit dhe veprimtarisë së “Qendrës së Restaurimit të Filmit”</w:t>
            </w:r>
          </w:p>
        </w:tc>
        <w:tc>
          <w:tcPr>
            <w:tcW w:w="337" w:type="pct"/>
            <w:tcBorders>
              <w:top w:val="nil"/>
              <w:left w:val="nil"/>
              <w:bottom w:val="single" w:sz="4" w:space="0" w:color="auto"/>
              <w:right w:val="single" w:sz="4" w:space="0" w:color="auto"/>
            </w:tcBorders>
            <w:shd w:val="clear" w:color="auto" w:fill="auto"/>
            <w:vAlign w:val="center"/>
            <w:hideMark/>
          </w:tcPr>
          <w:p w14:paraId="0B903C3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37634C3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776EFB2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77A7339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nil"/>
              <w:right w:val="nil"/>
            </w:tcBorders>
            <w:shd w:val="clear" w:color="auto" w:fill="auto"/>
            <w:vAlign w:val="center"/>
            <w:hideMark/>
          </w:tcPr>
          <w:p w14:paraId="6473B31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Ngritjen dhe funksionimin  qendrës së restaurimit të filmit e cila do të formojë  restauratorët e ardhshëm të materialeve filmike.</w:t>
            </w:r>
          </w:p>
        </w:tc>
        <w:tc>
          <w:tcPr>
            <w:tcW w:w="297" w:type="pct"/>
            <w:tcBorders>
              <w:top w:val="nil"/>
              <w:left w:val="single" w:sz="4" w:space="0" w:color="auto"/>
              <w:bottom w:val="single" w:sz="4" w:space="0" w:color="auto"/>
              <w:right w:val="single" w:sz="4" w:space="0" w:color="auto"/>
            </w:tcBorders>
            <w:shd w:val="clear" w:color="auto" w:fill="auto"/>
            <w:vAlign w:val="center"/>
            <w:hideMark/>
          </w:tcPr>
          <w:p w14:paraId="45ABA92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6585A89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53A19E1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Kombëtare për Kulturen 2019-2025</w:t>
            </w:r>
          </w:p>
        </w:tc>
        <w:tc>
          <w:tcPr>
            <w:tcW w:w="404" w:type="pct"/>
            <w:tcBorders>
              <w:top w:val="nil"/>
              <w:left w:val="nil"/>
              <w:bottom w:val="single" w:sz="4" w:space="0" w:color="auto"/>
              <w:right w:val="single" w:sz="4" w:space="0" w:color="auto"/>
            </w:tcBorders>
            <w:shd w:val="clear" w:color="auto" w:fill="auto"/>
            <w:vAlign w:val="center"/>
            <w:hideMark/>
          </w:tcPr>
          <w:p w14:paraId="7A3BC90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Fnanciare: Po     Sociale: Po       ekonomike: Po       Mjedisore: Jo</w:t>
            </w:r>
          </w:p>
        </w:tc>
      </w:tr>
      <w:tr w:rsidR="00775ED6" w:rsidRPr="00FD63A4" w14:paraId="16C724AB"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6E40835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5</w:t>
            </w:r>
          </w:p>
        </w:tc>
        <w:tc>
          <w:tcPr>
            <w:tcW w:w="839" w:type="pct"/>
            <w:tcBorders>
              <w:top w:val="nil"/>
              <w:left w:val="nil"/>
              <w:bottom w:val="single" w:sz="4" w:space="0" w:color="auto"/>
              <w:right w:val="single" w:sz="4" w:space="0" w:color="auto"/>
            </w:tcBorders>
            <w:shd w:val="clear" w:color="auto" w:fill="auto"/>
            <w:vAlign w:val="center"/>
            <w:hideMark/>
          </w:tcPr>
          <w:p w14:paraId="3BFC68F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mënyrën e funksionimit, të organizimit dhe veprimtarisë së “Qendrës së Restaurimit të Materialeve Bibliotekare”</w:t>
            </w:r>
          </w:p>
        </w:tc>
        <w:tc>
          <w:tcPr>
            <w:tcW w:w="337" w:type="pct"/>
            <w:tcBorders>
              <w:top w:val="nil"/>
              <w:left w:val="nil"/>
              <w:bottom w:val="single" w:sz="4" w:space="0" w:color="auto"/>
              <w:right w:val="single" w:sz="4" w:space="0" w:color="auto"/>
            </w:tcBorders>
            <w:shd w:val="clear" w:color="auto" w:fill="auto"/>
            <w:vAlign w:val="center"/>
            <w:hideMark/>
          </w:tcPr>
          <w:p w14:paraId="5D52BD9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4A40341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1C1BB90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6E9593A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single" w:sz="4" w:space="0" w:color="auto"/>
              <w:left w:val="nil"/>
              <w:bottom w:val="single" w:sz="4" w:space="0" w:color="auto"/>
              <w:right w:val="single" w:sz="4" w:space="0" w:color="auto"/>
            </w:tcBorders>
            <w:shd w:val="clear" w:color="auto" w:fill="auto"/>
            <w:vAlign w:val="center"/>
            <w:hideMark/>
          </w:tcPr>
          <w:p w14:paraId="7B4F9A7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Ngritjen dhe funksionimin e  Qendrës së Restaurimit të Materialeve</w:t>
            </w:r>
            <w:r w:rsidRPr="00775ED6">
              <w:rPr>
                <w:rFonts w:ascii="Arial" w:eastAsia="Times New Roman" w:hAnsi="Arial" w:cs="Arial"/>
                <w:sz w:val="11"/>
                <w:szCs w:val="11"/>
                <w:bdr w:val="none" w:sz="0" w:space="0" w:color="auto"/>
              </w:rPr>
              <w:br/>
              <w:t>Bibliotekare e cila do të formojë restauratorët e ardhshëm të materialeve bibliotekare</w:t>
            </w:r>
          </w:p>
        </w:tc>
        <w:tc>
          <w:tcPr>
            <w:tcW w:w="297" w:type="pct"/>
            <w:tcBorders>
              <w:top w:val="nil"/>
              <w:left w:val="nil"/>
              <w:bottom w:val="single" w:sz="4" w:space="0" w:color="auto"/>
              <w:right w:val="single" w:sz="4" w:space="0" w:color="auto"/>
            </w:tcBorders>
            <w:shd w:val="clear" w:color="auto" w:fill="auto"/>
            <w:vAlign w:val="center"/>
            <w:hideMark/>
          </w:tcPr>
          <w:p w14:paraId="37E64EE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196DD54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259AD03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Kombetare per Kulturen 2019-2025</w:t>
            </w:r>
          </w:p>
        </w:tc>
        <w:tc>
          <w:tcPr>
            <w:tcW w:w="404" w:type="pct"/>
            <w:tcBorders>
              <w:top w:val="nil"/>
              <w:left w:val="nil"/>
              <w:bottom w:val="single" w:sz="4" w:space="0" w:color="auto"/>
              <w:right w:val="single" w:sz="4" w:space="0" w:color="auto"/>
            </w:tcBorders>
            <w:shd w:val="clear" w:color="auto" w:fill="auto"/>
            <w:vAlign w:val="center"/>
            <w:hideMark/>
          </w:tcPr>
          <w:p w14:paraId="3F32B14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Fnanciare: Po     Sociale: Po       ekonomike: Po       Mjedisore: Jo</w:t>
            </w:r>
          </w:p>
        </w:tc>
      </w:tr>
      <w:tr w:rsidR="00775ED6" w:rsidRPr="00FD63A4" w14:paraId="34CCFA8E"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70D678F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6</w:t>
            </w:r>
          </w:p>
        </w:tc>
        <w:tc>
          <w:tcPr>
            <w:tcW w:w="839" w:type="pct"/>
            <w:tcBorders>
              <w:top w:val="nil"/>
              <w:left w:val="nil"/>
              <w:bottom w:val="single" w:sz="4" w:space="0" w:color="auto"/>
              <w:right w:val="single" w:sz="4" w:space="0" w:color="auto"/>
            </w:tcBorders>
            <w:shd w:val="clear" w:color="auto" w:fill="auto"/>
            <w:vAlign w:val="center"/>
            <w:hideMark/>
          </w:tcPr>
          <w:p w14:paraId="6EEC0C3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w:t>
            </w:r>
            <w:r w:rsidRPr="00775ED6">
              <w:rPr>
                <w:rFonts w:ascii="Arial" w:eastAsia="Times New Roman" w:hAnsi="Arial" w:cs="Arial"/>
                <w:sz w:val="11"/>
                <w:szCs w:val="11"/>
                <w:bdr w:val="none" w:sz="0" w:space="0" w:color="auto"/>
              </w:rPr>
              <w:br/>
              <w:t>deklarimin pasuri kulturore “Qendër Historike” të qytetit të Elbasanit, përcaktimin e zonës mbrojtëse të saj, dhe miratimin e planit për ruajtjen, mbrojtjen dhe administrimin e tyre</w:t>
            </w:r>
          </w:p>
        </w:tc>
        <w:tc>
          <w:tcPr>
            <w:tcW w:w="337" w:type="pct"/>
            <w:tcBorders>
              <w:top w:val="nil"/>
              <w:left w:val="nil"/>
              <w:bottom w:val="single" w:sz="4" w:space="0" w:color="auto"/>
              <w:right w:val="single" w:sz="4" w:space="0" w:color="auto"/>
            </w:tcBorders>
            <w:shd w:val="clear" w:color="auto" w:fill="auto"/>
            <w:vAlign w:val="center"/>
            <w:hideMark/>
          </w:tcPr>
          <w:p w14:paraId="709ECFC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1796387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790052F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1C7AC61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2D0F030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Deklarimin pasuri kulturore "Qendër  Historike" të qytetit të Elbasanit, Bashkia Elbasan, sipas koordinatave dhe hartës së zonifikimit.Përcaktimin e zonës mbrojtëse të saj dhe miratimin e planit për ruajtjen, mbrojtjen dhe administrimin e qendres historike dhe zones mbrojtese te saj.</w:t>
            </w:r>
          </w:p>
        </w:tc>
        <w:tc>
          <w:tcPr>
            <w:tcW w:w="297" w:type="pct"/>
            <w:tcBorders>
              <w:top w:val="nil"/>
              <w:left w:val="nil"/>
              <w:bottom w:val="single" w:sz="4" w:space="0" w:color="auto"/>
              <w:right w:val="single" w:sz="4" w:space="0" w:color="auto"/>
            </w:tcBorders>
            <w:shd w:val="clear" w:color="auto" w:fill="auto"/>
            <w:vAlign w:val="center"/>
            <w:hideMark/>
          </w:tcPr>
          <w:p w14:paraId="33F3073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0D69B31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2B090DF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Kombetare për Kulturën 2019-2025</w:t>
            </w:r>
          </w:p>
        </w:tc>
        <w:tc>
          <w:tcPr>
            <w:tcW w:w="404" w:type="pct"/>
            <w:tcBorders>
              <w:top w:val="nil"/>
              <w:left w:val="nil"/>
              <w:bottom w:val="single" w:sz="4" w:space="0" w:color="auto"/>
              <w:right w:val="single" w:sz="4" w:space="0" w:color="auto"/>
            </w:tcBorders>
            <w:shd w:val="clear" w:color="auto" w:fill="auto"/>
            <w:vAlign w:val="center"/>
            <w:hideMark/>
          </w:tcPr>
          <w:p w14:paraId="156A946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37EF263B"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36B4F51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7</w:t>
            </w:r>
          </w:p>
        </w:tc>
        <w:tc>
          <w:tcPr>
            <w:tcW w:w="839" w:type="pct"/>
            <w:tcBorders>
              <w:top w:val="nil"/>
              <w:left w:val="nil"/>
              <w:bottom w:val="single" w:sz="4" w:space="0" w:color="auto"/>
              <w:right w:val="single" w:sz="4" w:space="0" w:color="auto"/>
            </w:tcBorders>
            <w:shd w:val="clear" w:color="auto" w:fill="auto"/>
            <w:vAlign w:val="center"/>
            <w:hideMark/>
          </w:tcPr>
          <w:p w14:paraId="572AAB6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w:t>
            </w:r>
            <w:r w:rsidRPr="00775ED6">
              <w:rPr>
                <w:rFonts w:ascii="Arial" w:eastAsia="Times New Roman" w:hAnsi="Arial" w:cs="Arial"/>
                <w:sz w:val="11"/>
                <w:szCs w:val="11"/>
                <w:bdr w:val="none" w:sz="0" w:space="0" w:color="auto"/>
              </w:rPr>
              <w:br/>
              <w:t>deklarimin pasuri kulturore “zona arkeologjike “A” dhe zona arkeologjike “B” të qytetit të Elbasanit dhe miratimin e  planit për ruajtjen, mbrojtjen dhe administrimin e tyre</w:t>
            </w:r>
          </w:p>
        </w:tc>
        <w:tc>
          <w:tcPr>
            <w:tcW w:w="337" w:type="pct"/>
            <w:tcBorders>
              <w:top w:val="nil"/>
              <w:left w:val="nil"/>
              <w:bottom w:val="single" w:sz="4" w:space="0" w:color="auto"/>
              <w:right w:val="single" w:sz="4" w:space="0" w:color="auto"/>
            </w:tcBorders>
            <w:shd w:val="clear" w:color="auto" w:fill="auto"/>
            <w:vAlign w:val="center"/>
            <w:hideMark/>
          </w:tcPr>
          <w:p w14:paraId="1AFF400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4D49093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05F267C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3F851CD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70B0E14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Miratimin e  zonave arkeologjike “A” dhe “B” të qytetit të Elbasanit, Bashkia Elbasan sipas hartës dhe koordinatave </w:t>
            </w:r>
            <w:r w:rsidRPr="00775ED6">
              <w:rPr>
                <w:rFonts w:ascii="Arial" w:eastAsia="Times New Roman" w:hAnsi="Arial" w:cs="Arial"/>
                <w:sz w:val="11"/>
                <w:szCs w:val="11"/>
                <w:bdr w:val="none" w:sz="0" w:space="0" w:color="auto"/>
              </w:rPr>
              <w:br/>
              <w:t>Miratimin e planit për ruajtjen, mbrojtjen dhe administrimin e këtyre zonave.</w:t>
            </w:r>
          </w:p>
        </w:tc>
        <w:tc>
          <w:tcPr>
            <w:tcW w:w="297" w:type="pct"/>
            <w:tcBorders>
              <w:top w:val="nil"/>
              <w:left w:val="nil"/>
              <w:bottom w:val="single" w:sz="4" w:space="0" w:color="auto"/>
              <w:right w:val="single" w:sz="4" w:space="0" w:color="auto"/>
            </w:tcBorders>
            <w:shd w:val="clear" w:color="auto" w:fill="auto"/>
            <w:vAlign w:val="center"/>
            <w:hideMark/>
          </w:tcPr>
          <w:p w14:paraId="4CBFA4A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6F1C93A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365A3B1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Kombetare për Kulturën 2019-2025</w:t>
            </w:r>
          </w:p>
        </w:tc>
        <w:tc>
          <w:tcPr>
            <w:tcW w:w="404" w:type="pct"/>
            <w:tcBorders>
              <w:top w:val="nil"/>
              <w:left w:val="nil"/>
              <w:bottom w:val="single" w:sz="4" w:space="0" w:color="auto"/>
              <w:right w:val="single" w:sz="4" w:space="0" w:color="auto"/>
            </w:tcBorders>
            <w:shd w:val="clear" w:color="auto" w:fill="auto"/>
            <w:vAlign w:val="center"/>
            <w:hideMark/>
          </w:tcPr>
          <w:p w14:paraId="3E9A139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4DC33BFB"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6C9A881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8</w:t>
            </w:r>
          </w:p>
        </w:tc>
        <w:tc>
          <w:tcPr>
            <w:tcW w:w="839" w:type="pct"/>
            <w:tcBorders>
              <w:top w:val="nil"/>
              <w:left w:val="nil"/>
              <w:bottom w:val="single" w:sz="4" w:space="0" w:color="auto"/>
              <w:right w:val="single" w:sz="4" w:space="0" w:color="auto"/>
            </w:tcBorders>
            <w:shd w:val="clear" w:color="auto" w:fill="auto"/>
            <w:vAlign w:val="center"/>
            <w:hideMark/>
          </w:tcPr>
          <w:p w14:paraId="7F64A2D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funksionimin, organizimin dhe veprimtarinë e Qendrës së Restaurimit dhe Studimit të Arteve të Bukura</w:t>
            </w:r>
          </w:p>
        </w:tc>
        <w:tc>
          <w:tcPr>
            <w:tcW w:w="337" w:type="pct"/>
            <w:tcBorders>
              <w:top w:val="nil"/>
              <w:left w:val="nil"/>
              <w:bottom w:val="single" w:sz="4" w:space="0" w:color="auto"/>
              <w:right w:val="single" w:sz="4" w:space="0" w:color="auto"/>
            </w:tcBorders>
            <w:shd w:val="clear" w:color="auto" w:fill="auto"/>
            <w:vAlign w:val="center"/>
            <w:hideMark/>
          </w:tcPr>
          <w:p w14:paraId="52C7F7E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5C7F5FF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1D91864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72D871A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748D388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Ngritjen dhe funksionimin e Qendrës së Restaurimit të Studimit të Arteve të Bukura, e dila do të formojë restauratorë të ardhshëm </w:t>
            </w:r>
          </w:p>
        </w:tc>
        <w:tc>
          <w:tcPr>
            <w:tcW w:w="297" w:type="pct"/>
            <w:tcBorders>
              <w:top w:val="nil"/>
              <w:left w:val="nil"/>
              <w:bottom w:val="single" w:sz="4" w:space="0" w:color="auto"/>
              <w:right w:val="single" w:sz="4" w:space="0" w:color="auto"/>
            </w:tcBorders>
            <w:shd w:val="clear" w:color="auto" w:fill="auto"/>
            <w:vAlign w:val="center"/>
            <w:hideMark/>
          </w:tcPr>
          <w:p w14:paraId="68BDC47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53260E9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7609E9F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Kombetare për Kulturën 2019-2025</w:t>
            </w:r>
          </w:p>
        </w:tc>
        <w:tc>
          <w:tcPr>
            <w:tcW w:w="404" w:type="pct"/>
            <w:tcBorders>
              <w:top w:val="nil"/>
              <w:left w:val="nil"/>
              <w:bottom w:val="single" w:sz="4" w:space="0" w:color="auto"/>
              <w:right w:val="single" w:sz="4" w:space="0" w:color="auto"/>
            </w:tcBorders>
            <w:shd w:val="clear" w:color="auto" w:fill="auto"/>
            <w:vAlign w:val="center"/>
            <w:hideMark/>
          </w:tcPr>
          <w:p w14:paraId="75620E1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w:t>
            </w:r>
          </w:p>
        </w:tc>
      </w:tr>
      <w:tr w:rsidR="00775ED6" w:rsidRPr="00FD63A4" w14:paraId="31FD4256"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55E0EBD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9</w:t>
            </w:r>
          </w:p>
        </w:tc>
        <w:tc>
          <w:tcPr>
            <w:tcW w:w="839" w:type="pct"/>
            <w:tcBorders>
              <w:top w:val="nil"/>
              <w:left w:val="nil"/>
              <w:bottom w:val="single" w:sz="4" w:space="0" w:color="auto"/>
              <w:right w:val="single" w:sz="4" w:space="0" w:color="auto"/>
            </w:tcBorders>
            <w:shd w:val="clear" w:color="auto" w:fill="auto"/>
            <w:vAlign w:val="center"/>
            <w:hideMark/>
          </w:tcPr>
          <w:p w14:paraId="30C57BC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miratimin e zonave arkeologjike “A” dhe “B” të qytetit të Vlorës dhe të Planit për ruajtjen, mbrojtjen dhe administrimin e tyre.</w:t>
            </w:r>
          </w:p>
        </w:tc>
        <w:tc>
          <w:tcPr>
            <w:tcW w:w="337" w:type="pct"/>
            <w:tcBorders>
              <w:top w:val="nil"/>
              <w:left w:val="nil"/>
              <w:bottom w:val="single" w:sz="4" w:space="0" w:color="auto"/>
              <w:right w:val="single" w:sz="4" w:space="0" w:color="auto"/>
            </w:tcBorders>
            <w:shd w:val="clear" w:color="auto" w:fill="auto"/>
            <w:vAlign w:val="center"/>
            <w:hideMark/>
          </w:tcPr>
          <w:p w14:paraId="2329D90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1778D98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123E226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74B9B34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131EEAE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Miratimin e zonave arkeologjike “A” dhe “B” të qytetit të Vlorës sipas koordinatave dhe hartës të zonifikimit.</w:t>
            </w:r>
            <w:r w:rsidRPr="00775ED6">
              <w:rPr>
                <w:rFonts w:ascii="Arial" w:eastAsia="Times New Roman" w:hAnsi="Arial" w:cs="Arial"/>
                <w:sz w:val="11"/>
                <w:szCs w:val="11"/>
                <w:bdr w:val="none" w:sz="0" w:space="0" w:color="auto"/>
              </w:rPr>
              <w:br/>
              <w:t>Miratimin e planit për ruajtjen, mbrojtjen dhe administrimin e këtyre zonave.</w:t>
            </w:r>
          </w:p>
        </w:tc>
        <w:tc>
          <w:tcPr>
            <w:tcW w:w="297" w:type="pct"/>
            <w:tcBorders>
              <w:top w:val="nil"/>
              <w:left w:val="nil"/>
              <w:bottom w:val="single" w:sz="4" w:space="0" w:color="auto"/>
              <w:right w:val="single" w:sz="4" w:space="0" w:color="auto"/>
            </w:tcBorders>
            <w:shd w:val="clear" w:color="auto" w:fill="auto"/>
            <w:vAlign w:val="center"/>
            <w:hideMark/>
          </w:tcPr>
          <w:p w14:paraId="242595F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50F7624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3D82EC9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Kombetare per Kulturen 2019-2025</w:t>
            </w:r>
          </w:p>
        </w:tc>
        <w:tc>
          <w:tcPr>
            <w:tcW w:w="404" w:type="pct"/>
            <w:tcBorders>
              <w:top w:val="nil"/>
              <w:left w:val="nil"/>
              <w:bottom w:val="single" w:sz="4" w:space="0" w:color="auto"/>
              <w:right w:val="single" w:sz="4" w:space="0" w:color="auto"/>
            </w:tcBorders>
            <w:shd w:val="clear" w:color="auto" w:fill="auto"/>
            <w:vAlign w:val="center"/>
            <w:hideMark/>
          </w:tcPr>
          <w:p w14:paraId="62BAC3F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Sociale: Po       Ekonomike: Po Mjedisore: Po</w:t>
            </w:r>
          </w:p>
        </w:tc>
      </w:tr>
      <w:tr w:rsidR="00775ED6" w:rsidRPr="00FD63A4" w14:paraId="375E063C"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5BE6A20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10</w:t>
            </w:r>
          </w:p>
        </w:tc>
        <w:tc>
          <w:tcPr>
            <w:tcW w:w="839" w:type="pct"/>
            <w:tcBorders>
              <w:top w:val="nil"/>
              <w:left w:val="nil"/>
              <w:bottom w:val="single" w:sz="4" w:space="0" w:color="auto"/>
              <w:right w:val="single" w:sz="4" w:space="0" w:color="auto"/>
            </w:tcBorders>
            <w:shd w:val="clear" w:color="auto" w:fill="auto"/>
            <w:vAlign w:val="center"/>
            <w:hideMark/>
          </w:tcPr>
          <w:p w14:paraId="39E2B6A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Për një ndryshim në Vendimin nr.34, datë 18/01/2017 “Për procedurat e regjistrimit, të organizimit dhe klasifikimit të veprave të të drejtave të autorit”  </w:t>
            </w:r>
          </w:p>
        </w:tc>
        <w:tc>
          <w:tcPr>
            <w:tcW w:w="337" w:type="pct"/>
            <w:tcBorders>
              <w:top w:val="nil"/>
              <w:left w:val="nil"/>
              <w:bottom w:val="single" w:sz="4" w:space="0" w:color="auto"/>
              <w:right w:val="single" w:sz="4" w:space="0" w:color="auto"/>
            </w:tcBorders>
            <w:shd w:val="clear" w:color="auto" w:fill="auto"/>
            <w:vAlign w:val="center"/>
            <w:hideMark/>
          </w:tcPr>
          <w:p w14:paraId="4985921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24422E0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19ECD32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2D6D6EB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Ligji 35/2016 "Për të drejtat e autorit dhe të drejtat e tjera të lidhura me to", i ndryshuar</w:t>
            </w:r>
          </w:p>
        </w:tc>
        <w:tc>
          <w:tcPr>
            <w:tcW w:w="721" w:type="pct"/>
            <w:tcBorders>
              <w:top w:val="nil"/>
              <w:left w:val="nil"/>
              <w:bottom w:val="single" w:sz="4" w:space="0" w:color="auto"/>
              <w:right w:val="single" w:sz="4" w:space="0" w:color="auto"/>
            </w:tcBorders>
            <w:shd w:val="clear" w:color="auto" w:fill="auto"/>
            <w:vAlign w:val="center"/>
            <w:hideMark/>
          </w:tcPr>
          <w:p w14:paraId="5A3E0DE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Projektakti synon ndryshimin e procedurës së regjistrimit të të drejtave të autorit dhe kalimin e të drejtave, me qëllim përafrimin me ndryshimet e Kodit të Procedurave Administrative. Gjithashtu projektvendimi synon të ndryshojë formatin e certifikatës së të drejtës së autorit dhe kalimit të të drejtave. </w:t>
            </w:r>
          </w:p>
        </w:tc>
        <w:tc>
          <w:tcPr>
            <w:tcW w:w="297" w:type="pct"/>
            <w:tcBorders>
              <w:top w:val="nil"/>
              <w:left w:val="nil"/>
              <w:bottom w:val="single" w:sz="4" w:space="0" w:color="auto"/>
              <w:right w:val="single" w:sz="4" w:space="0" w:color="auto"/>
            </w:tcBorders>
            <w:shd w:val="clear" w:color="auto" w:fill="auto"/>
            <w:vAlign w:val="center"/>
            <w:hideMark/>
          </w:tcPr>
          <w:p w14:paraId="19A7DDB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57F2637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08DDC05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Jo </w:t>
            </w:r>
          </w:p>
        </w:tc>
        <w:tc>
          <w:tcPr>
            <w:tcW w:w="404" w:type="pct"/>
            <w:tcBorders>
              <w:top w:val="nil"/>
              <w:left w:val="nil"/>
              <w:bottom w:val="single" w:sz="4" w:space="0" w:color="auto"/>
              <w:right w:val="single" w:sz="4" w:space="0" w:color="auto"/>
            </w:tcBorders>
            <w:shd w:val="clear" w:color="auto" w:fill="auto"/>
            <w:vAlign w:val="center"/>
            <w:hideMark/>
          </w:tcPr>
          <w:p w14:paraId="3E289EB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Fnanciare: Jo     Sociale: Po       Ekonomike: Po       Mjedisore: Jo </w:t>
            </w:r>
          </w:p>
        </w:tc>
      </w:tr>
      <w:tr w:rsidR="00775ED6" w:rsidRPr="00FD63A4" w14:paraId="4402B411"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2D21FC4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11</w:t>
            </w:r>
          </w:p>
        </w:tc>
        <w:tc>
          <w:tcPr>
            <w:tcW w:w="839" w:type="pct"/>
            <w:tcBorders>
              <w:top w:val="nil"/>
              <w:left w:val="nil"/>
              <w:bottom w:val="single" w:sz="4" w:space="0" w:color="auto"/>
              <w:right w:val="single" w:sz="4" w:space="0" w:color="auto"/>
            </w:tcBorders>
            <w:shd w:val="clear" w:color="auto" w:fill="auto"/>
            <w:vAlign w:val="center"/>
            <w:hideMark/>
          </w:tcPr>
          <w:p w14:paraId="0BD7C00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Për miratimin e zonave arkeologjike “A” dhe “B” të qytetit të Shkodrës dhe të  Planit për ruajtjen, mbrojtjen dhe administrimin e tyre </w:t>
            </w:r>
          </w:p>
        </w:tc>
        <w:tc>
          <w:tcPr>
            <w:tcW w:w="337" w:type="pct"/>
            <w:tcBorders>
              <w:top w:val="nil"/>
              <w:left w:val="nil"/>
              <w:bottom w:val="single" w:sz="4" w:space="0" w:color="auto"/>
              <w:right w:val="single" w:sz="4" w:space="0" w:color="auto"/>
            </w:tcBorders>
            <w:shd w:val="clear" w:color="auto" w:fill="auto"/>
            <w:vAlign w:val="center"/>
            <w:hideMark/>
          </w:tcPr>
          <w:p w14:paraId="6EEF9C8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7954866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3AB654B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w:t>
            </w:r>
          </w:p>
        </w:tc>
        <w:tc>
          <w:tcPr>
            <w:tcW w:w="554" w:type="pct"/>
            <w:tcBorders>
              <w:top w:val="nil"/>
              <w:left w:val="nil"/>
              <w:bottom w:val="single" w:sz="4" w:space="0" w:color="auto"/>
              <w:right w:val="single" w:sz="4" w:space="0" w:color="auto"/>
            </w:tcBorders>
            <w:shd w:val="clear" w:color="auto" w:fill="auto"/>
            <w:vAlign w:val="center"/>
            <w:hideMark/>
          </w:tcPr>
          <w:p w14:paraId="7FDD158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5F907B9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Miratimin e zonave arkeologjike “A” dhe “B” të qytetit të Shkodrës sipas koordinatave dhe hartës të zonifikimit.</w:t>
            </w:r>
            <w:r w:rsidRPr="00775ED6">
              <w:rPr>
                <w:rFonts w:ascii="Arial" w:eastAsia="Times New Roman" w:hAnsi="Arial" w:cs="Arial"/>
                <w:sz w:val="11"/>
                <w:szCs w:val="11"/>
                <w:bdr w:val="none" w:sz="0" w:space="0" w:color="auto"/>
              </w:rPr>
              <w:br/>
              <w:t>Miratimin e planit për ruajtjen, mbrojtjen dhe administrimin e këtyre zonave.</w:t>
            </w:r>
          </w:p>
        </w:tc>
        <w:tc>
          <w:tcPr>
            <w:tcW w:w="297" w:type="pct"/>
            <w:tcBorders>
              <w:top w:val="nil"/>
              <w:left w:val="nil"/>
              <w:bottom w:val="single" w:sz="4" w:space="0" w:color="auto"/>
              <w:right w:val="single" w:sz="4" w:space="0" w:color="auto"/>
            </w:tcBorders>
            <w:shd w:val="clear" w:color="auto" w:fill="auto"/>
            <w:vAlign w:val="center"/>
            <w:hideMark/>
          </w:tcPr>
          <w:p w14:paraId="44E33BA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5C738A8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5795F3E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Kombëtare për Kulturën 2019-2025</w:t>
            </w:r>
          </w:p>
        </w:tc>
        <w:tc>
          <w:tcPr>
            <w:tcW w:w="404" w:type="pct"/>
            <w:tcBorders>
              <w:top w:val="nil"/>
              <w:left w:val="nil"/>
              <w:bottom w:val="single" w:sz="4" w:space="0" w:color="auto"/>
              <w:right w:val="single" w:sz="4" w:space="0" w:color="auto"/>
            </w:tcBorders>
            <w:shd w:val="clear" w:color="auto" w:fill="auto"/>
            <w:vAlign w:val="center"/>
            <w:hideMark/>
          </w:tcPr>
          <w:p w14:paraId="2EBA816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16116B8A"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36C2C8B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12</w:t>
            </w:r>
          </w:p>
        </w:tc>
        <w:tc>
          <w:tcPr>
            <w:tcW w:w="839" w:type="pct"/>
            <w:tcBorders>
              <w:top w:val="nil"/>
              <w:left w:val="nil"/>
              <w:bottom w:val="single" w:sz="4" w:space="0" w:color="auto"/>
              <w:right w:val="single" w:sz="4" w:space="0" w:color="auto"/>
            </w:tcBorders>
            <w:shd w:val="clear" w:color="auto" w:fill="auto"/>
            <w:vAlign w:val="center"/>
            <w:hideMark/>
          </w:tcPr>
          <w:p w14:paraId="699BEF5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funksionimin, organizimin dhe veprimtarinë e Qendrës së Restaurimit dhe Studimit të Ikonave</w:t>
            </w:r>
          </w:p>
        </w:tc>
        <w:tc>
          <w:tcPr>
            <w:tcW w:w="337" w:type="pct"/>
            <w:tcBorders>
              <w:top w:val="nil"/>
              <w:left w:val="nil"/>
              <w:bottom w:val="single" w:sz="4" w:space="0" w:color="auto"/>
              <w:right w:val="single" w:sz="4" w:space="0" w:color="auto"/>
            </w:tcBorders>
            <w:shd w:val="clear" w:color="auto" w:fill="auto"/>
            <w:vAlign w:val="center"/>
            <w:hideMark/>
          </w:tcPr>
          <w:p w14:paraId="1E3915E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0F08FA3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66748AB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1FF9794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40AF400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Ngritjen dhe funksionimin e  Qendrës së Restaurimit dhe Studimit të Ikonave e cila do të formojë restauratorët e ardhshëm  të ikonave.</w:t>
            </w:r>
          </w:p>
        </w:tc>
        <w:tc>
          <w:tcPr>
            <w:tcW w:w="297" w:type="pct"/>
            <w:tcBorders>
              <w:top w:val="nil"/>
              <w:left w:val="nil"/>
              <w:bottom w:val="single" w:sz="4" w:space="0" w:color="auto"/>
              <w:right w:val="single" w:sz="4" w:space="0" w:color="auto"/>
            </w:tcBorders>
            <w:shd w:val="clear" w:color="auto" w:fill="auto"/>
            <w:vAlign w:val="center"/>
            <w:hideMark/>
          </w:tcPr>
          <w:p w14:paraId="1E37800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5237EE6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46C0C48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Kombetare per Kulturen 2019-2025</w:t>
            </w:r>
          </w:p>
        </w:tc>
        <w:tc>
          <w:tcPr>
            <w:tcW w:w="404" w:type="pct"/>
            <w:tcBorders>
              <w:top w:val="nil"/>
              <w:left w:val="nil"/>
              <w:bottom w:val="single" w:sz="4" w:space="0" w:color="auto"/>
              <w:right w:val="single" w:sz="4" w:space="0" w:color="auto"/>
            </w:tcBorders>
            <w:shd w:val="clear" w:color="auto" w:fill="auto"/>
            <w:vAlign w:val="center"/>
            <w:hideMark/>
          </w:tcPr>
          <w:p w14:paraId="6C41095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Fnanciare: Po     Sociale: Po       ekonomike: Po       Mjedisore: Jo</w:t>
            </w:r>
          </w:p>
        </w:tc>
      </w:tr>
      <w:tr w:rsidR="00775ED6" w:rsidRPr="00FD63A4" w14:paraId="33A36D99"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3557418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13</w:t>
            </w:r>
          </w:p>
        </w:tc>
        <w:tc>
          <w:tcPr>
            <w:tcW w:w="839" w:type="pct"/>
            <w:tcBorders>
              <w:top w:val="nil"/>
              <w:left w:val="nil"/>
              <w:bottom w:val="single" w:sz="4" w:space="0" w:color="auto"/>
              <w:right w:val="single" w:sz="4" w:space="0" w:color="auto"/>
            </w:tcBorders>
            <w:shd w:val="clear" w:color="auto" w:fill="auto"/>
            <w:vAlign w:val="center"/>
            <w:hideMark/>
          </w:tcPr>
          <w:p w14:paraId="6F78F0C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deklarimin pasuri kulturore të "Qendres Historike" të qytetit të Korçës, përcaktimin e zonës mbrojtëse të saj  dhe miratimin e Planit për ruajtjen, mbrojtjen dhe administrimin e tyre.</w:t>
            </w:r>
          </w:p>
        </w:tc>
        <w:tc>
          <w:tcPr>
            <w:tcW w:w="337" w:type="pct"/>
            <w:tcBorders>
              <w:top w:val="nil"/>
              <w:left w:val="nil"/>
              <w:bottom w:val="single" w:sz="4" w:space="0" w:color="auto"/>
              <w:right w:val="single" w:sz="4" w:space="0" w:color="auto"/>
            </w:tcBorders>
            <w:shd w:val="clear" w:color="auto" w:fill="auto"/>
            <w:vAlign w:val="center"/>
            <w:hideMark/>
          </w:tcPr>
          <w:p w14:paraId="0DBA6A0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4383212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189BCA5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2BAEE23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6F28698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Deklarimin pasuri kulturore të qendrës historike të qytetit të Korces Bashkia Korçe sipas koordinatave dhe hartës së zonifikimit. Miratimin e planit për ruajtjen, mbrojtjen dhe administrimin e qendres historike dhe zones mbrojtese te saj</w:t>
            </w:r>
          </w:p>
        </w:tc>
        <w:tc>
          <w:tcPr>
            <w:tcW w:w="297" w:type="pct"/>
            <w:tcBorders>
              <w:top w:val="nil"/>
              <w:left w:val="nil"/>
              <w:bottom w:val="single" w:sz="4" w:space="0" w:color="auto"/>
              <w:right w:val="single" w:sz="4" w:space="0" w:color="auto"/>
            </w:tcBorders>
            <w:shd w:val="clear" w:color="auto" w:fill="auto"/>
            <w:vAlign w:val="center"/>
            <w:hideMark/>
          </w:tcPr>
          <w:p w14:paraId="7C6590A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5F6B0F1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292EB6A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Kombëtare për Kulturën 2019-2025</w:t>
            </w:r>
          </w:p>
        </w:tc>
        <w:tc>
          <w:tcPr>
            <w:tcW w:w="404" w:type="pct"/>
            <w:tcBorders>
              <w:top w:val="nil"/>
              <w:left w:val="nil"/>
              <w:bottom w:val="single" w:sz="4" w:space="0" w:color="auto"/>
              <w:right w:val="single" w:sz="4" w:space="0" w:color="auto"/>
            </w:tcBorders>
            <w:shd w:val="clear" w:color="auto" w:fill="auto"/>
            <w:vAlign w:val="center"/>
            <w:hideMark/>
          </w:tcPr>
          <w:p w14:paraId="0022019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5A5ADF8F"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1FB0507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14</w:t>
            </w:r>
          </w:p>
        </w:tc>
        <w:tc>
          <w:tcPr>
            <w:tcW w:w="839" w:type="pct"/>
            <w:tcBorders>
              <w:top w:val="nil"/>
              <w:left w:val="nil"/>
              <w:bottom w:val="single" w:sz="4" w:space="0" w:color="auto"/>
              <w:right w:val="single" w:sz="4" w:space="0" w:color="auto"/>
            </w:tcBorders>
            <w:shd w:val="clear" w:color="auto" w:fill="auto"/>
            <w:vAlign w:val="center"/>
            <w:hideMark/>
          </w:tcPr>
          <w:p w14:paraId="4A0BAAD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deklarimin e Ansamblit Historik të Delvinës dhe miratimin e Planit për ruajtjen, mbrojtjen dhe administrimin e tij</w:t>
            </w:r>
          </w:p>
        </w:tc>
        <w:tc>
          <w:tcPr>
            <w:tcW w:w="337" w:type="pct"/>
            <w:tcBorders>
              <w:top w:val="nil"/>
              <w:left w:val="nil"/>
              <w:bottom w:val="single" w:sz="4" w:space="0" w:color="auto"/>
              <w:right w:val="single" w:sz="4" w:space="0" w:color="auto"/>
            </w:tcBorders>
            <w:shd w:val="clear" w:color="auto" w:fill="auto"/>
            <w:vAlign w:val="center"/>
            <w:hideMark/>
          </w:tcPr>
          <w:p w14:paraId="3CA5CA2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3F482D8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4F07703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6B6864C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1EEE7FE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Deklarimin e ansamblit historik te qytetit të Delvines sipas koordinatave dhe hartës së zonifikimit</w:t>
            </w:r>
            <w:r w:rsidRPr="00775ED6">
              <w:rPr>
                <w:rFonts w:ascii="Arial" w:eastAsia="Times New Roman" w:hAnsi="Arial" w:cs="Arial"/>
                <w:sz w:val="11"/>
                <w:szCs w:val="11"/>
                <w:bdr w:val="none" w:sz="0" w:space="0" w:color="auto"/>
              </w:rPr>
              <w:br/>
            </w:r>
            <w:r w:rsidRPr="00775ED6">
              <w:rPr>
                <w:rFonts w:ascii="Arial" w:eastAsia="Times New Roman" w:hAnsi="Arial" w:cs="Arial"/>
                <w:sz w:val="11"/>
                <w:szCs w:val="11"/>
                <w:bdr w:val="none" w:sz="0" w:space="0" w:color="auto"/>
              </w:rPr>
              <w:br/>
              <w:t xml:space="preserve">Miratimin e planit për ruajtjen, mbrojtjen dhe administrimin e ansamblit historik </w:t>
            </w:r>
          </w:p>
        </w:tc>
        <w:tc>
          <w:tcPr>
            <w:tcW w:w="297" w:type="pct"/>
            <w:tcBorders>
              <w:top w:val="nil"/>
              <w:left w:val="nil"/>
              <w:bottom w:val="single" w:sz="4" w:space="0" w:color="auto"/>
              <w:right w:val="single" w:sz="4" w:space="0" w:color="auto"/>
            </w:tcBorders>
            <w:shd w:val="clear" w:color="auto" w:fill="auto"/>
            <w:vAlign w:val="center"/>
            <w:hideMark/>
          </w:tcPr>
          <w:p w14:paraId="3EAEA74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4D5506A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51ECC15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Kombëtare për Kulturën 2019-2025</w:t>
            </w:r>
          </w:p>
        </w:tc>
        <w:tc>
          <w:tcPr>
            <w:tcW w:w="404" w:type="pct"/>
            <w:tcBorders>
              <w:top w:val="nil"/>
              <w:left w:val="nil"/>
              <w:bottom w:val="single" w:sz="4" w:space="0" w:color="auto"/>
              <w:right w:val="single" w:sz="4" w:space="0" w:color="auto"/>
            </w:tcBorders>
            <w:shd w:val="clear" w:color="auto" w:fill="auto"/>
            <w:vAlign w:val="center"/>
            <w:hideMark/>
          </w:tcPr>
          <w:p w14:paraId="02C1A81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6D60128F"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6B3F634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15</w:t>
            </w:r>
          </w:p>
        </w:tc>
        <w:tc>
          <w:tcPr>
            <w:tcW w:w="839" w:type="pct"/>
            <w:tcBorders>
              <w:top w:val="nil"/>
              <w:left w:val="nil"/>
              <w:bottom w:val="single" w:sz="4" w:space="0" w:color="auto"/>
              <w:right w:val="single" w:sz="4" w:space="0" w:color="auto"/>
            </w:tcBorders>
            <w:shd w:val="clear" w:color="auto" w:fill="auto"/>
            <w:vAlign w:val="center"/>
            <w:hideMark/>
          </w:tcPr>
          <w:p w14:paraId="79D105C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krijimin dhe funksionimin e sistemit të bazës së të dhënave GIS për veprimtarinë Arkeologjike në Republikën e Shqipërisë</w:t>
            </w:r>
          </w:p>
        </w:tc>
        <w:tc>
          <w:tcPr>
            <w:tcW w:w="337" w:type="pct"/>
            <w:tcBorders>
              <w:top w:val="nil"/>
              <w:left w:val="nil"/>
              <w:bottom w:val="single" w:sz="4" w:space="0" w:color="auto"/>
              <w:right w:val="single" w:sz="4" w:space="0" w:color="auto"/>
            </w:tcBorders>
            <w:shd w:val="clear" w:color="auto" w:fill="auto"/>
            <w:vAlign w:val="center"/>
            <w:hideMark/>
          </w:tcPr>
          <w:p w14:paraId="62D7220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7240F05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4051CB6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1CF4B0B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722D34B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Krijimi dhe funksionimi i  sistemit GIS per veprimtarinë Arkeologjike në Republikën e Shqiperisë. Përfshirja e informacionit të përftuar nëpërmjet hulumtimeve arkeologjike  në Bazën e të dhënave GIS për veprimtarinë arkeologjike në Republikën e Shqipërisë para dhe pas viteve 1990</w:t>
            </w:r>
          </w:p>
        </w:tc>
        <w:tc>
          <w:tcPr>
            <w:tcW w:w="297" w:type="pct"/>
            <w:tcBorders>
              <w:top w:val="nil"/>
              <w:left w:val="nil"/>
              <w:bottom w:val="single" w:sz="4" w:space="0" w:color="auto"/>
              <w:right w:val="single" w:sz="4" w:space="0" w:color="auto"/>
            </w:tcBorders>
            <w:shd w:val="clear" w:color="auto" w:fill="auto"/>
            <w:vAlign w:val="center"/>
            <w:hideMark/>
          </w:tcPr>
          <w:p w14:paraId="4B4BA26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2FA2082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761EDB7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04" w:type="pct"/>
            <w:tcBorders>
              <w:top w:val="nil"/>
              <w:left w:val="nil"/>
              <w:bottom w:val="single" w:sz="4" w:space="0" w:color="auto"/>
              <w:right w:val="single" w:sz="4" w:space="0" w:color="auto"/>
            </w:tcBorders>
            <w:shd w:val="clear" w:color="auto" w:fill="auto"/>
            <w:vAlign w:val="center"/>
            <w:hideMark/>
          </w:tcPr>
          <w:p w14:paraId="18D6394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jo       Ekonomike: jo Mjedisore: jo Financiare: jo </w:t>
            </w:r>
          </w:p>
        </w:tc>
      </w:tr>
      <w:tr w:rsidR="00775ED6" w:rsidRPr="00FD63A4" w14:paraId="5C079338"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19B4F9E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16</w:t>
            </w:r>
          </w:p>
        </w:tc>
        <w:tc>
          <w:tcPr>
            <w:tcW w:w="839" w:type="pct"/>
            <w:tcBorders>
              <w:top w:val="nil"/>
              <w:left w:val="nil"/>
              <w:bottom w:val="single" w:sz="4" w:space="0" w:color="auto"/>
              <w:right w:val="single" w:sz="4" w:space="0" w:color="auto"/>
            </w:tcBorders>
            <w:shd w:val="clear" w:color="auto" w:fill="auto"/>
            <w:vAlign w:val="center"/>
            <w:hideMark/>
          </w:tcPr>
          <w:p w14:paraId="4EE2DF0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kushtet dhe kriteret për zhvillimin e projekteve arkeologjike nënujore</w:t>
            </w:r>
          </w:p>
        </w:tc>
        <w:tc>
          <w:tcPr>
            <w:tcW w:w="337" w:type="pct"/>
            <w:tcBorders>
              <w:top w:val="nil"/>
              <w:left w:val="nil"/>
              <w:bottom w:val="single" w:sz="4" w:space="0" w:color="auto"/>
              <w:right w:val="single" w:sz="4" w:space="0" w:color="auto"/>
            </w:tcBorders>
            <w:shd w:val="clear" w:color="auto" w:fill="auto"/>
            <w:vAlign w:val="center"/>
            <w:hideMark/>
          </w:tcPr>
          <w:p w14:paraId="709271B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3D2194C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4C56918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3018E69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4652274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Miratimin e  kushteve dhe kritereve për hulumtimet arkeologjike dhe zhvillimin e projekteve arkeologjike nënujore </w:t>
            </w:r>
          </w:p>
        </w:tc>
        <w:tc>
          <w:tcPr>
            <w:tcW w:w="297" w:type="pct"/>
            <w:tcBorders>
              <w:top w:val="nil"/>
              <w:left w:val="nil"/>
              <w:bottom w:val="single" w:sz="4" w:space="0" w:color="auto"/>
              <w:right w:val="single" w:sz="4" w:space="0" w:color="auto"/>
            </w:tcBorders>
            <w:shd w:val="clear" w:color="auto" w:fill="auto"/>
            <w:vAlign w:val="center"/>
            <w:hideMark/>
          </w:tcPr>
          <w:p w14:paraId="58BAEB5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15E3938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569F152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04" w:type="pct"/>
            <w:tcBorders>
              <w:top w:val="nil"/>
              <w:left w:val="nil"/>
              <w:bottom w:val="single" w:sz="4" w:space="0" w:color="auto"/>
              <w:right w:val="single" w:sz="4" w:space="0" w:color="auto"/>
            </w:tcBorders>
            <w:shd w:val="clear" w:color="auto" w:fill="auto"/>
            <w:vAlign w:val="center"/>
            <w:hideMark/>
          </w:tcPr>
          <w:p w14:paraId="2FFB701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jo       Ekonomike: jo Mjedisore: jo Financiare: jo </w:t>
            </w:r>
          </w:p>
        </w:tc>
      </w:tr>
      <w:tr w:rsidR="00775ED6" w:rsidRPr="00FD63A4" w14:paraId="1D868F04"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29A7B10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17</w:t>
            </w:r>
          </w:p>
        </w:tc>
        <w:tc>
          <w:tcPr>
            <w:tcW w:w="839" w:type="pct"/>
            <w:tcBorders>
              <w:top w:val="nil"/>
              <w:left w:val="nil"/>
              <w:bottom w:val="single" w:sz="4" w:space="0" w:color="auto"/>
              <w:right w:val="single" w:sz="4" w:space="0" w:color="auto"/>
            </w:tcBorders>
            <w:shd w:val="clear" w:color="auto" w:fill="auto"/>
            <w:vAlign w:val="center"/>
            <w:hideMark/>
          </w:tcPr>
          <w:p w14:paraId="213EF95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zonifikimin arkeologjik nënujor të vendbanimit palafit në fshatin Lin, Pogradec.</w:t>
            </w:r>
          </w:p>
        </w:tc>
        <w:tc>
          <w:tcPr>
            <w:tcW w:w="337" w:type="pct"/>
            <w:tcBorders>
              <w:top w:val="nil"/>
              <w:left w:val="nil"/>
              <w:bottom w:val="single" w:sz="4" w:space="0" w:color="auto"/>
              <w:right w:val="single" w:sz="4" w:space="0" w:color="auto"/>
            </w:tcBorders>
            <w:shd w:val="clear" w:color="auto" w:fill="auto"/>
            <w:vAlign w:val="center"/>
            <w:hideMark/>
          </w:tcPr>
          <w:p w14:paraId="07EF4C8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0256AD8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524CFF5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6EEDB0B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2FA2093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Miratimin e zonifikimit te arkeologjik nënujor të vendbanimit palafit në Lin, Bashkia Pogradec sipas koordinatave dhe hartës të zonifikimit.</w:t>
            </w:r>
            <w:r w:rsidRPr="00775ED6">
              <w:rPr>
                <w:rFonts w:ascii="Arial" w:eastAsia="Times New Roman" w:hAnsi="Arial" w:cs="Arial"/>
                <w:sz w:val="11"/>
                <w:szCs w:val="11"/>
                <w:bdr w:val="none" w:sz="0" w:space="0" w:color="auto"/>
              </w:rPr>
              <w:br/>
              <w:t>Miratimin e planit për ruajtjen, mbrojtjen dhe administrimin e zonifikimit.</w:t>
            </w:r>
          </w:p>
        </w:tc>
        <w:tc>
          <w:tcPr>
            <w:tcW w:w="297" w:type="pct"/>
            <w:tcBorders>
              <w:top w:val="nil"/>
              <w:left w:val="nil"/>
              <w:bottom w:val="single" w:sz="4" w:space="0" w:color="auto"/>
              <w:right w:val="single" w:sz="4" w:space="0" w:color="auto"/>
            </w:tcBorders>
            <w:shd w:val="clear" w:color="auto" w:fill="auto"/>
            <w:vAlign w:val="center"/>
            <w:hideMark/>
          </w:tcPr>
          <w:p w14:paraId="76496D8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79FCDF3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750C19E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Kombëtare për Kulturën 2019-2026</w:t>
            </w:r>
          </w:p>
        </w:tc>
        <w:tc>
          <w:tcPr>
            <w:tcW w:w="404" w:type="pct"/>
            <w:tcBorders>
              <w:top w:val="nil"/>
              <w:left w:val="nil"/>
              <w:bottom w:val="single" w:sz="4" w:space="0" w:color="auto"/>
              <w:right w:val="single" w:sz="4" w:space="0" w:color="auto"/>
            </w:tcBorders>
            <w:shd w:val="clear" w:color="auto" w:fill="auto"/>
            <w:vAlign w:val="center"/>
            <w:hideMark/>
          </w:tcPr>
          <w:p w14:paraId="6C4B3D9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74E0DB6A"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4E29591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18</w:t>
            </w:r>
          </w:p>
        </w:tc>
        <w:tc>
          <w:tcPr>
            <w:tcW w:w="839" w:type="pct"/>
            <w:tcBorders>
              <w:top w:val="nil"/>
              <w:left w:val="nil"/>
              <w:bottom w:val="single" w:sz="4" w:space="0" w:color="auto"/>
              <w:right w:val="single" w:sz="4" w:space="0" w:color="auto"/>
            </w:tcBorders>
            <w:shd w:val="clear" w:color="auto" w:fill="auto"/>
            <w:vAlign w:val="center"/>
            <w:hideMark/>
          </w:tcPr>
          <w:p w14:paraId="234C33A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miratimin e zonave arkeologjike nënujore  “A” dhe “B” të qytetit të Durrësit dhe të Planit për ruajtjen, mbrojtjen dhe administrimin e tyre.</w:t>
            </w:r>
          </w:p>
        </w:tc>
        <w:tc>
          <w:tcPr>
            <w:tcW w:w="337" w:type="pct"/>
            <w:tcBorders>
              <w:top w:val="nil"/>
              <w:left w:val="nil"/>
              <w:bottom w:val="single" w:sz="4" w:space="0" w:color="auto"/>
              <w:right w:val="single" w:sz="4" w:space="0" w:color="auto"/>
            </w:tcBorders>
            <w:shd w:val="clear" w:color="auto" w:fill="auto"/>
            <w:vAlign w:val="center"/>
            <w:hideMark/>
          </w:tcPr>
          <w:p w14:paraId="3D67700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4440AF6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0094EDF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6C7ABCE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Detyrim që rrjedh nga Ligji nr. 27/2018 "Për trashëgiminë kulturore dhe muzetë" </w:t>
            </w:r>
          </w:p>
        </w:tc>
        <w:tc>
          <w:tcPr>
            <w:tcW w:w="721" w:type="pct"/>
            <w:tcBorders>
              <w:top w:val="nil"/>
              <w:left w:val="nil"/>
              <w:bottom w:val="single" w:sz="4" w:space="0" w:color="auto"/>
              <w:right w:val="single" w:sz="4" w:space="0" w:color="auto"/>
            </w:tcBorders>
            <w:shd w:val="clear" w:color="auto" w:fill="auto"/>
            <w:vAlign w:val="center"/>
            <w:hideMark/>
          </w:tcPr>
          <w:p w14:paraId="3BADDA6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Miratimin e zonave arkeologjike nënujore “A” dhe “B” të qytetit të Durrësit sipas koordinatave dhe hartës të zonifikimit. Miratimin e planit për ruajtjen, mbrojtjen dhe administrimin e këtyre zonave</w:t>
            </w:r>
          </w:p>
        </w:tc>
        <w:tc>
          <w:tcPr>
            <w:tcW w:w="297" w:type="pct"/>
            <w:tcBorders>
              <w:top w:val="nil"/>
              <w:left w:val="nil"/>
              <w:bottom w:val="single" w:sz="4" w:space="0" w:color="auto"/>
              <w:right w:val="single" w:sz="4" w:space="0" w:color="auto"/>
            </w:tcBorders>
            <w:shd w:val="clear" w:color="auto" w:fill="auto"/>
            <w:vAlign w:val="center"/>
            <w:hideMark/>
          </w:tcPr>
          <w:p w14:paraId="179FDFB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6B55F12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5B1058A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Strategjia Kombetare per Kulturen 2019-2026</w:t>
            </w:r>
          </w:p>
        </w:tc>
        <w:tc>
          <w:tcPr>
            <w:tcW w:w="404" w:type="pct"/>
            <w:tcBorders>
              <w:top w:val="nil"/>
              <w:left w:val="nil"/>
              <w:bottom w:val="single" w:sz="4" w:space="0" w:color="auto"/>
              <w:right w:val="single" w:sz="4" w:space="0" w:color="auto"/>
            </w:tcBorders>
            <w:shd w:val="clear" w:color="auto" w:fill="auto"/>
            <w:vAlign w:val="center"/>
            <w:hideMark/>
          </w:tcPr>
          <w:p w14:paraId="1D26CF0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5C58A856"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714E6139"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19</w:t>
            </w:r>
          </w:p>
        </w:tc>
        <w:tc>
          <w:tcPr>
            <w:tcW w:w="839" w:type="pct"/>
            <w:tcBorders>
              <w:top w:val="nil"/>
              <w:left w:val="nil"/>
              <w:bottom w:val="single" w:sz="4" w:space="0" w:color="auto"/>
              <w:right w:val="single" w:sz="4" w:space="0" w:color="auto"/>
            </w:tcBorders>
            <w:shd w:val="clear" w:color="auto" w:fill="auto"/>
            <w:vAlign w:val="center"/>
            <w:hideMark/>
          </w:tcPr>
          <w:p w14:paraId="66F4C150"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disa shtesa në vendimin nr. 627 datë 29.07.2020 “Për miratimin e tarifës së biletës së TKOBAP-it, pika 3 e këtij vendimi për të ardhurat e realizuara nga shitja e biletave.</w:t>
            </w:r>
          </w:p>
        </w:tc>
        <w:tc>
          <w:tcPr>
            <w:tcW w:w="337" w:type="pct"/>
            <w:tcBorders>
              <w:top w:val="nil"/>
              <w:left w:val="nil"/>
              <w:bottom w:val="single" w:sz="4" w:space="0" w:color="auto"/>
              <w:right w:val="single" w:sz="4" w:space="0" w:color="auto"/>
            </w:tcBorders>
            <w:shd w:val="clear" w:color="auto" w:fill="auto"/>
            <w:vAlign w:val="center"/>
            <w:hideMark/>
          </w:tcPr>
          <w:p w14:paraId="56A912C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2F42014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1239033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w:t>
            </w:r>
          </w:p>
        </w:tc>
        <w:tc>
          <w:tcPr>
            <w:tcW w:w="554" w:type="pct"/>
            <w:tcBorders>
              <w:top w:val="nil"/>
              <w:left w:val="nil"/>
              <w:bottom w:val="single" w:sz="4" w:space="0" w:color="auto"/>
              <w:right w:val="single" w:sz="4" w:space="0" w:color="auto"/>
            </w:tcBorders>
            <w:shd w:val="clear" w:color="auto" w:fill="auto"/>
            <w:vAlign w:val="center"/>
            <w:hideMark/>
          </w:tcPr>
          <w:p w14:paraId="303C8AA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Pamjaftueshmëria e të ardhurave për përballimin e aktiviteteve në kuadër të kalendarit artistik</w:t>
            </w:r>
          </w:p>
        </w:tc>
        <w:tc>
          <w:tcPr>
            <w:tcW w:w="721" w:type="pct"/>
            <w:tcBorders>
              <w:top w:val="nil"/>
              <w:left w:val="nil"/>
              <w:bottom w:val="single" w:sz="4" w:space="0" w:color="auto"/>
              <w:right w:val="single" w:sz="4" w:space="0" w:color="auto"/>
            </w:tcBorders>
            <w:shd w:val="clear" w:color="auto" w:fill="auto"/>
            <w:vAlign w:val="center"/>
            <w:hideMark/>
          </w:tcPr>
          <w:p w14:paraId="1D9FFB5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Miratimin e tarifave të reja, biletave online dhe abonimeve 1 vjeçare. </w:t>
            </w:r>
          </w:p>
        </w:tc>
        <w:tc>
          <w:tcPr>
            <w:tcW w:w="297" w:type="pct"/>
            <w:tcBorders>
              <w:top w:val="nil"/>
              <w:left w:val="nil"/>
              <w:bottom w:val="single" w:sz="4" w:space="0" w:color="auto"/>
              <w:right w:val="single" w:sz="4" w:space="0" w:color="auto"/>
            </w:tcBorders>
            <w:shd w:val="clear" w:color="auto" w:fill="auto"/>
            <w:vAlign w:val="center"/>
            <w:hideMark/>
          </w:tcPr>
          <w:p w14:paraId="1D79135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48E6C97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58CAC4A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04" w:type="pct"/>
            <w:tcBorders>
              <w:top w:val="nil"/>
              <w:left w:val="nil"/>
              <w:bottom w:val="single" w:sz="4" w:space="0" w:color="auto"/>
              <w:right w:val="single" w:sz="4" w:space="0" w:color="auto"/>
            </w:tcBorders>
            <w:shd w:val="clear" w:color="auto" w:fill="auto"/>
            <w:vAlign w:val="center"/>
            <w:hideMark/>
          </w:tcPr>
          <w:p w14:paraId="75E7E56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Ekonomike: Po      Sociale: Jo Mjedisore:Jo</w:t>
            </w:r>
          </w:p>
        </w:tc>
      </w:tr>
      <w:tr w:rsidR="00775ED6" w:rsidRPr="00FD63A4" w14:paraId="1FA8B6FA"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503ED84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20</w:t>
            </w:r>
          </w:p>
        </w:tc>
        <w:tc>
          <w:tcPr>
            <w:tcW w:w="839" w:type="pct"/>
            <w:tcBorders>
              <w:top w:val="nil"/>
              <w:left w:val="nil"/>
              <w:bottom w:val="single" w:sz="4" w:space="0" w:color="auto"/>
              <w:right w:val="single" w:sz="4" w:space="0" w:color="auto"/>
            </w:tcBorders>
            <w:shd w:val="clear" w:color="auto" w:fill="auto"/>
            <w:vAlign w:val="center"/>
            <w:hideMark/>
          </w:tcPr>
          <w:p w14:paraId="15FB673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Për disa shtesa dhe ndryshime në ligjin Nr.8096, datë 21.3.1996 “Për Kinematografinë”, i ndryshuar</w:t>
            </w:r>
          </w:p>
        </w:tc>
        <w:tc>
          <w:tcPr>
            <w:tcW w:w="337" w:type="pct"/>
            <w:tcBorders>
              <w:top w:val="nil"/>
              <w:left w:val="nil"/>
              <w:bottom w:val="single" w:sz="4" w:space="0" w:color="auto"/>
              <w:right w:val="single" w:sz="4" w:space="0" w:color="auto"/>
            </w:tcBorders>
            <w:shd w:val="clear" w:color="auto" w:fill="auto"/>
            <w:vAlign w:val="center"/>
            <w:hideMark/>
          </w:tcPr>
          <w:p w14:paraId="68B2AF5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Projektligj</w:t>
            </w:r>
          </w:p>
        </w:tc>
        <w:tc>
          <w:tcPr>
            <w:tcW w:w="420" w:type="pct"/>
            <w:tcBorders>
              <w:top w:val="nil"/>
              <w:left w:val="nil"/>
              <w:bottom w:val="single" w:sz="4" w:space="0" w:color="auto"/>
              <w:right w:val="single" w:sz="4" w:space="0" w:color="auto"/>
            </w:tcBorders>
            <w:shd w:val="clear" w:color="auto" w:fill="auto"/>
            <w:vAlign w:val="center"/>
            <w:hideMark/>
          </w:tcPr>
          <w:p w14:paraId="29FEB0E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2AD6064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III</w:t>
            </w:r>
          </w:p>
        </w:tc>
        <w:tc>
          <w:tcPr>
            <w:tcW w:w="554" w:type="pct"/>
            <w:tcBorders>
              <w:top w:val="nil"/>
              <w:left w:val="nil"/>
              <w:bottom w:val="single" w:sz="4" w:space="0" w:color="auto"/>
              <w:right w:val="single" w:sz="4" w:space="0" w:color="auto"/>
            </w:tcBorders>
            <w:shd w:val="clear" w:color="auto" w:fill="auto"/>
            <w:vAlign w:val="center"/>
            <w:hideMark/>
          </w:tcPr>
          <w:p w14:paraId="6FBCBD7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Ligji Nr. 8096, datë 21.3.1996 “Për kinematografinë”, i ndryshuar</w:t>
            </w:r>
          </w:p>
        </w:tc>
        <w:tc>
          <w:tcPr>
            <w:tcW w:w="721" w:type="pct"/>
            <w:tcBorders>
              <w:top w:val="nil"/>
              <w:left w:val="nil"/>
              <w:bottom w:val="single" w:sz="4" w:space="0" w:color="auto"/>
              <w:right w:val="single" w:sz="4" w:space="0" w:color="auto"/>
            </w:tcBorders>
            <w:shd w:val="clear" w:color="auto" w:fill="auto"/>
            <w:vAlign w:val="center"/>
            <w:hideMark/>
          </w:tcPr>
          <w:p w14:paraId="36BE7ED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Bazuar në boshllëqet ligjore të evidentuara në fushën e kinematografisë shqiptare dhe kthimin e saj në një industri konkurruese në rajon, është e nevojshme për ndërhyrje në ligj, nga i cili do të përfitojnë krijuesit, krijimtaria artistike dhe kulturore, gjithashtu me qëllim konkureshmërinë e sektorit të kinematografisë shqiptare në tregjet e ndërkombëtare dhe kthimin e këtij sektori jo vetëm në një faktor ndikues në rritjen e ekonomisë, por edhe promovimin e territorit.</w:t>
            </w:r>
          </w:p>
        </w:tc>
        <w:tc>
          <w:tcPr>
            <w:tcW w:w="297" w:type="pct"/>
            <w:tcBorders>
              <w:top w:val="nil"/>
              <w:left w:val="nil"/>
              <w:bottom w:val="single" w:sz="4" w:space="0" w:color="auto"/>
              <w:right w:val="single" w:sz="4" w:space="0" w:color="auto"/>
            </w:tcBorders>
            <w:shd w:val="clear" w:color="auto" w:fill="auto"/>
            <w:vAlign w:val="center"/>
            <w:hideMark/>
          </w:tcPr>
          <w:p w14:paraId="4514BF8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48041AB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6082EB8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“Strategjisë Kombëtare për Kulturën, 2019–2025”</w:t>
            </w:r>
          </w:p>
        </w:tc>
        <w:tc>
          <w:tcPr>
            <w:tcW w:w="404" w:type="pct"/>
            <w:tcBorders>
              <w:top w:val="nil"/>
              <w:left w:val="nil"/>
              <w:bottom w:val="single" w:sz="4" w:space="0" w:color="auto"/>
              <w:right w:val="single" w:sz="4" w:space="0" w:color="auto"/>
            </w:tcBorders>
            <w:shd w:val="clear" w:color="auto" w:fill="auto"/>
            <w:vAlign w:val="center"/>
            <w:hideMark/>
          </w:tcPr>
          <w:p w14:paraId="1992613A"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r w:rsidR="00775ED6" w:rsidRPr="00FD63A4" w14:paraId="60012AF2"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2680648C"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21</w:t>
            </w:r>
          </w:p>
        </w:tc>
        <w:tc>
          <w:tcPr>
            <w:tcW w:w="839" w:type="pct"/>
            <w:tcBorders>
              <w:top w:val="nil"/>
              <w:left w:val="nil"/>
              <w:bottom w:val="single" w:sz="4" w:space="0" w:color="auto"/>
              <w:right w:val="single" w:sz="4" w:space="0" w:color="auto"/>
            </w:tcBorders>
            <w:shd w:val="clear" w:color="auto" w:fill="auto"/>
            <w:vAlign w:val="center"/>
            <w:hideMark/>
          </w:tcPr>
          <w:p w14:paraId="269E0C8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Për një ndryshim në Vendim Nr.35, datë 18.01.2017 “Për mënyrën e funksionimit, të organizimit dhe të shpërblimit të Këshillit Kombëtar për të Drejtën e Autorit ”  </w:t>
            </w:r>
          </w:p>
        </w:tc>
        <w:tc>
          <w:tcPr>
            <w:tcW w:w="337" w:type="pct"/>
            <w:tcBorders>
              <w:top w:val="nil"/>
              <w:left w:val="nil"/>
              <w:bottom w:val="single" w:sz="4" w:space="0" w:color="auto"/>
              <w:right w:val="single" w:sz="4" w:space="0" w:color="auto"/>
            </w:tcBorders>
            <w:shd w:val="clear" w:color="auto" w:fill="auto"/>
            <w:vAlign w:val="center"/>
            <w:hideMark/>
          </w:tcPr>
          <w:p w14:paraId="18535D5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5130218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3E8312D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III</w:t>
            </w:r>
          </w:p>
        </w:tc>
        <w:tc>
          <w:tcPr>
            <w:tcW w:w="554" w:type="pct"/>
            <w:tcBorders>
              <w:top w:val="nil"/>
              <w:left w:val="nil"/>
              <w:bottom w:val="single" w:sz="4" w:space="0" w:color="auto"/>
              <w:right w:val="single" w:sz="4" w:space="0" w:color="auto"/>
            </w:tcBorders>
            <w:shd w:val="clear" w:color="auto" w:fill="auto"/>
            <w:vAlign w:val="center"/>
            <w:hideMark/>
          </w:tcPr>
          <w:p w14:paraId="45773B18"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Ligji 35/2016 "Për të drejtat e autorit dhe të drejtat e tjera të lidhura me to", i ndryshuar</w:t>
            </w:r>
          </w:p>
        </w:tc>
        <w:tc>
          <w:tcPr>
            <w:tcW w:w="721" w:type="pct"/>
            <w:tcBorders>
              <w:top w:val="nil"/>
              <w:left w:val="nil"/>
              <w:bottom w:val="single" w:sz="4" w:space="0" w:color="auto"/>
              <w:right w:val="single" w:sz="4" w:space="0" w:color="auto"/>
            </w:tcBorders>
            <w:shd w:val="clear" w:color="auto" w:fill="auto"/>
            <w:vAlign w:val="center"/>
            <w:hideMark/>
          </w:tcPr>
          <w:p w14:paraId="0A22D1E7"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Synimi i këtij projektakti është ndryshimi i kompetencave të Këshillit Kombëtar për të Drejtën e Autorit, me qëllim përafrimin me ndryshimet e ligjit nr. 35/2016, në vitin 2022.</w:t>
            </w:r>
          </w:p>
        </w:tc>
        <w:tc>
          <w:tcPr>
            <w:tcW w:w="297" w:type="pct"/>
            <w:tcBorders>
              <w:top w:val="nil"/>
              <w:left w:val="nil"/>
              <w:bottom w:val="single" w:sz="4" w:space="0" w:color="auto"/>
              <w:right w:val="single" w:sz="4" w:space="0" w:color="auto"/>
            </w:tcBorders>
            <w:shd w:val="clear" w:color="auto" w:fill="auto"/>
            <w:vAlign w:val="center"/>
            <w:hideMark/>
          </w:tcPr>
          <w:p w14:paraId="74DB37A6"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18F2C601"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34A2E10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04" w:type="pct"/>
            <w:tcBorders>
              <w:top w:val="nil"/>
              <w:left w:val="nil"/>
              <w:bottom w:val="single" w:sz="4" w:space="0" w:color="auto"/>
              <w:right w:val="single" w:sz="4" w:space="0" w:color="auto"/>
            </w:tcBorders>
            <w:shd w:val="clear" w:color="auto" w:fill="auto"/>
            <w:vAlign w:val="center"/>
            <w:hideMark/>
          </w:tcPr>
          <w:p w14:paraId="679F2952"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Jo       Ekonomike: Jo Mjedisore:Jo </w:t>
            </w:r>
          </w:p>
        </w:tc>
      </w:tr>
      <w:tr w:rsidR="00775ED6" w:rsidRPr="00FD63A4" w14:paraId="4DFDFEF5" w14:textId="77777777" w:rsidTr="00775ED6">
        <w:trPr>
          <w:trHeight w:val="180"/>
          <w:jc w:val="center"/>
        </w:trPr>
        <w:tc>
          <w:tcPr>
            <w:tcW w:w="115" w:type="pct"/>
            <w:tcBorders>
              <w:top w:val="nil"/>
              <w:left w:val="single" w:sz="4" w:space="0" w:color="auto"/>
              <w:bottom w:val="single" w:sz="4" w:space="0" w:color="auto"/>
              <w:right w:val="single" w:sz="4" w:space="0" w:color="auto"/>
            </w:tcBorders>
            <w:shd w:val="clear" w:color="auto" w:fill="auto"/>
            <w:vAlign w:val="center"/>
            <w:hideMark/>
          </w:tcPr>
          <w:p w14:paraId="27D95EEE"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1"/>
                <w:szCs w:val="11"/>
                <w:bdr w:val="none" w:sz="0" w:space="0" w:color="auto"/>
              </w:rPr>
            </w:pPr>
            <w:r w:rsidRPr="00775ED6">
              <w:rPr>
                <w:rFonts w:ascii="Arial" w:eastAsia="Times New Roman" w:hAnsi="Arial" w:cs="Arial"/>
                <w:color w:val="000000"/>
                <w:sz w:val="11"/>
                <w:szCs w:val="11"/>
                <w:bdr w:val="none" w:sz="0" w:space="0" w:color="auto"/>
              </w:rPr>
              <w:t>22</w:t>
            </w:r>
          </w:p>
        </w:tc>
        <w:tc>
          <w:tcPr>
            <w:tcW w:w="839" w:type="pct"/>
            <w:tcBorders>
              <w:top w:val="nil"/>
              <w:left w:val="nil"/>
              <w:bottom w:val="single" w:sz="4" w:space="0" w:color="auto"/>
              <w:right w:val="single" w:sz="4" w:space="0" w:color="auto"/>
            </w:tcBorders>
            <w:shd w:val="clear" w:color="auto" w:fill="auto"/>
            <w:vAlign w:val="center"/>
            <w:hideMark/>
          </w:tcPr>
          <w:p w14:paraId="591BA23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“Procedurën dhe mënyrën e shërblimit të drejtë për huadhënien publike” </w:t>
            </w:r>
            <w:r w:rsidRPr="00775ED6">
              <w:rPr>
                <w:rFonts w:ascii="Arial" w:eastAsia="Times New Roman" w:hAnsi="Arial" w:cs="Arial"/>
                <w:sz w:val="11"/>
                <w:szCs w:val="11"/>
                <w:bdr w:val="none" w:sz="0" w:space="0" w:color="auto"/>
              </w:rPr>
              <w:br/>
              <w:t xml:space="preserve"> </w:t>
            </w:r>
          </w:p>
        </w:tc>
        <w:tc>
          <w:tcPr>
            <w:tcW w:w="337" w:type="pct"/>
            <w:tcBorders>
              <w:top w:val="nil"/>
              <w:left w:val="nil"/>
              <w:bottom w:val="single" w:sz="4" w:space="0" w:color="auto"/>
              <w:right w:val="single" w:sz="4" w:space="0" w:color="auto"/>
            </w:tcBorders>
            <w:shd w:val="clear" w:color="auto" w:fill="auto"/>
            <w:vAlign w:val="center"/>
            <w:hideMark/>
          </w:tcPr>
          <w:p w14:paraId="142AAB9D"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Projektvendim</w:t>
            </w:r>
          </w:p>
        </w:tc>
        <w:tc>
          <w:tcPr>
            <w:tcW w:w="420" w:type="pct"/>
            <w:tcBorders>
              <w:top w:val="nil"/>
              <w:left w:val="nil"/>
              <w:bottom w:val="single" w:sz="4" w:space="0" w:color="auto"/>
              <w:right w:val="single" w:sz="4" w:space="0" w:color="auto"/>
            </w:tcBorders>
            <w:shd w:val="clear" w:color="auto" w:fill="auto"/>
            <w:vAlign w:val="center"/>
            <w:hideMark/>
          </w:tcPr>
          <w:p w14:paraId="4406702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Ministri Kulturës</w:t>
            </w:r>
          </w:p>
        </w:tc>
        <w:tc>
          <w:tcPr>
            <w:tcW w:w="321" w:type="pct"/>
            <w:tcBorders>
              <w:top w:val="nil"/>
              <w:left w:val="nil"/>
              <w:bottom w:val="single" w:sz="4" w:space="0" w:color="auto"/>
              <w:right w:val="single" w:sz="4" w:space="0" w:color="auto"/>
            </w:tcBorders>
            <w:shd w:val="clear" w:color="auto" w:fill="auto"/>
            <w:vAlign w:val="center"/>
            <w:hideMark/>
          </w:tcPr>
          <w:p w14:paraId="4608E13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Katërmujori III</w:t>
            </w:r>
          </w:p>
        </w:tc>
        <w:tc>
          <w:tcPr>
            <w:tcW w:w="554" w:type="pct"/>
            <w:tcBorders>
              <w:top w:val="nil"/>
              <w:left w:val="nil"/>
              <w:bottom w:val="single" w:sz="4" w:space="0" w:color="auto"/>
              <w:right w:val="single" w:sz="4" w:space="0" w:color="auto"/>
            </w:tcBorders>
            <w:shd w:val="clear" w:color="auto" w:fill="auto"/>
            <w:vAlign w:val="center"/>
            <w:hideMark/>
          </w:tcPr>
          <w:p w14:paraId="5DB476B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Ligji 35/2016 "Për të drejtat e autorit dhe të drejtat e tjera të lidhura me to", i ndryshuar</w:t>
            </w:r>
          </w:p>
        </w:tc>
        <w:tc>
          <w:tcPr>
            <w:tcW w:w="721" w:type="pct"/>
            <w:tcBorders>
              <w:top w:val="nil"/>
              <w:left w:val="nil"/>
              <w:bottom w:val="single" w:sz="4" w:space="0" w:color="auto"/>
              <w:right w:val="single" w:sz="4" w:space="0" w:color="auto"/>
            </w:tcBorders>
            <w:shd w:val="clear" w:color="auto" w:fill="auto"/>
            <w:vAlign w:val="center"/>
            <w:hideMark/>
          </w:tcPr>
          <w:p w14:paraId="6F3AF064"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Synimi i këtij projektakti është:</w:t>
            </w:r>
            <w:r w:rsidRPr="00775ED6">
              <w:rPr>
                <w:rFonts w:ascii="Arial" w:eastAsia="Times New Roman" w:hAnsi="Arial" w:cs="Arial"/>
                <w:sz w:val="11"/>
                <w:szCs w:val="11"/>
                <w:bdr w:val="none" w:sz="0" w:space="0" w:color="auto"/>
              </w:rPr>
              <w:br/>
              <w:t>1. Të zgjidhë problematikat</w:t>
            </w:r>
            <w:r w:rsidRPr="00775ED6">
              <w:rPr>
                <w:rFonts w:ascii="Arial" w:eastAsia="Times New Roman" w:hAnsi="Arial" w:cs="Arial"/>
                <w:sz w:val="11"/>
                <w:szCs w:val="11"/>
                <w:bdr w:val="none" w:sz="0" w:space="0" w:color="auto"/>
              </w:rPr>
              <w:br/>
              <w:t>konkrete të përcaktimit ligjor</w:t>
            </w:r>
            <w:r w:rsidRPr="00775ED6">
              <w:rPr>
                <w:rFonts w:ascii="Arial" w:eastAsia="Times New Roman" w:hAnsi="Arial" w:cs="Arial"/>
                <w:sz w:val="11"/>
                <w:szCs w:val="11"/>
                <w:bdr w:val="none" w:sz="0" w:space="0" w:color="auto"/>
              </w:rPr>
              <w:br/>
              <w:t>të huadhënies publike dhe përdorimin e një vepre për një periudhë të kufizuar kohe dhe jo për përfitime pasurore.</w:t>
            </w:r>
            <w:r w:rsidRPr="00775ED6">
              <w:rPr>
                <w:rFonts w:ascii="Arial" w:eastAsia="Times New Roman" w:hAnsi="Arial" w:cs="Arial"/>
                <w:sz w:val="11"/>
                <w:szCs w:val="11"/>
                <w:bdr w:val="none" w:sz="0" w:space="0" w:color="auto"/>
              </w:rPr>
              <w:br/>
              <w:t>2. Të rregullojë mënyrën e</w:t>
            </w:r>
            <w:r w:rsidRPr="00775ED6">
              <w:rPr>
                <w:rFonts w:ascii="Arial" w:eastAsia="Times New Roman" w:hAnsi="Arial" w:cs="Arial"/>
                <w:sz w:val="11"/>
                <w:szCs w:val="11"/>
                <w:bdr w:val="none" w:sz="0" w:space="0" w:color="auto"/>
              </w:rPr>
              <w:br/>
              <w:t>përdorimit nga institucionet që lejojnë aksesin e publikut dhe që, për këtë qëllim, kryejnë këtë aktivitet si shërbim publik.</w:t>
            </w:r>
            <w:r w:rsidRPr="00775ED6">
              <w:rPr>
                <w:rFonts w:ascii="Arial" w:eastAsia="Times New Roman" w:hAnsi="Arial" w:cs="Arial"/>
                <w:sz w:val="11"/>
                <w:szCs w:val="11"/>
                <w:bdr w:val="none" w:sz="0" w:space="0" w:color="auto"/>
              </w:rPr>
              <w:br/>
              <w:t>3. Të përcaktojë procedurën dhe mënyrën e shpërblimit të drejtë për huadhënien publike.</w:t>
            </w:r>
          </w:p>
        </w:tc>
        <w:tc>
          <w:tcPr>
            <w:tcW w:w="297" w:type="pct"/>
            <w:tcBorders>
              <w:top w:val="nil"/>
              <w:left w:val="nil"/>
              <w:bottom w:val="single" w:sz="4" w:space="0" w:color="auto"/>
              <w:right w:val="single" w:sz="4" w:space="0" w:color="auto"/>
            </w:tcBorders>
            <w:shd w:val="clear" w:color="auto" w:fill="auto"/>
            <w:vAlign w:val="center"/>
            <w:hideMark/>
          </w:tcPr>
          <w:p w14:paraId="43252915"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43" w:type="pct"/>
            <w:tcBorders>
              <w:top w:val="nil"/>
              <w:left w:val="nil"/>
              <w:bottom w:val="single" w:sz="4" w:space="0" w:color="auto"/>
              <w:right w:val="single" w:sz="4" w:space="0" w:color="auto"/>
            </w:tcBorders>
            <w:shd w:val="clear" w:color="auto" w:fill="auto"/>
            <w:vAlign w:val="center"/>
            <w:hideMark/>
          </w:tcPr>
          <w:p w14:paraId="03A5F51B"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550" w:type="pct"/>
            <w:tcBorders>
              <w:top w:val="nil"/>
              <w:left w:val="nil"/>
              <w:bottom w:val="single" w:sz="4" w:space="0" w:color="auto"/>
              <w:right w:val="single" w:sz="4" w:space="0" w:color="auto"/>
            </w:tcBorders>
            <w:shd w:val="clear" w:color="auto" w:fill="auto"/>
            <w:vAlign w:val="center"/>
            <w:hideMark/>
          </w:tcPr>
          <w:p w14:paraId="10B8C48F"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Jo</w:t>
            </w:r>
          </w:p>
        </w:tc>
        <w:tc>
          <w:tcPr>
            <w:tcW w:w="404" w:type="pct"/>
            <w:tcBorders>
              <w:top w:val="nil"/>
              <w:left w:val="nil"/>
              <w:bottom w:val="single" w:sz="4" w:space="0" w:color="auto"/>
              <w:right w:val="single" w:sz="4" w:space="0" w:color="auto"/>
            </w:tcBorders>
            <w:shd w:val="clear" w:color="auto" w:fill="auto"/>
            <w:vAlign w:val="center"/>
            <w:hideMark/>
          </w:tcPr>
          <w:p w14:paraId="1B595AD3" w14:textId="77777777" w:rsidR="00775ED6" w:rsidRPr="00775ED6" w:rsidRDefault="00775ED6" w:rsidP="00775ED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1"/>
                <w:szCs w:val="11"/>
                <w:bdr w:val="none" w:sz="0" w:space="0" w:color="auto"/>
              </w:rPr>
            </w:pPr>
            <w:r w:rsidRPr="00775ED6">
              <w:rPr>
                <w:rFonts w:ascii="Arial" w:eastAsia="Times New Roman" w:hAnsi="Arial" w:cs="Arial"/>
                <w:sz w:val="11"/>
                <w:szCs w:val="11"/>
                <w:bdr w:val="none" w:sz="0" w:space="0" w:color="auto"/>
              </w:rPr>
              <w:t xml:space="preserve">Sociale: Po       Ekonomike: Po Mjedisore: Po </w:t>
            </w:r>
          </w:p>
        </w:tc>
      </w:tr>
    </w:tbl>
    <w:p w14:paraId="334339F4" w14:textId="77777777" w:rsidR="00775ED6" w:rsidRDefault="00775ED6" w:rsidP="009F3407">
      <w:pPr>
        <w:pStyle w:val="BodyA"/>
        <w:jc w:val="center"/>
        <w:rPr>
          <w:sz w:val="28"/>
          <w:szCs w:val="28"/>
          <w:lang w:val="it-IT"/>
        </w:rPr>
      </w:pPr>
    </w:p>
    <w:p w14:paraId="0906530A" w14:textId="1A0AE125" w:rsidR="000A0AF1" w:rsidRDefault="000A0AF1" w:rsidP="009F3407">
      <w:pPr>
        <w:pStyle w:val="BodyA"/>
        <w:jc w:val="center"/>
        <w:rPr>
          <w:sz w:val="28"/>
          <w:szCs w:val="28"/>
          <w:lang w:val="it-IT"/>
        </w:rPr>
      </w:pPr>
    </w:p>
    <w:p w14:paraId="2E6BFE77" w14:textId="000DF3A6" w:rsidR="00C35B84" w:rsidRDefault="00C35B84" w:rsidP="009F3407">
      <w:pPr>
        <w:pStyle w:val="BodyA"/>
        <w:jc w:val="center"/>
        <w:rPr>
          <w:sz w:val="28"/>
          <w:szCs w:val="28"/>
          <w:lang w:val="it-IT"/>
        </w:rPr>
      </w:pPr>
    </w:p>
    <w:p w14:paraId="3248E7AB" w14:textId="31EC6616" w:rsidR="00C35B84" w:rsidRDefault="00C35B84" w:rsidP="009F3407">
      <w:pPr>
        <w:pStyle w:val="BodyA"/>
        <w:jc w:val="center"/>
        <w:rPr>
          <w:sz w:val="28"/>
          <w:szCs w:val="28"/>
          <w:lang w:val="it-IT"/>
        </w:rPr>
      </w:pPr>
    </w:p>
    <w:p w14:paraId="55152EBC" w14:textId="28AECCD9" w:rsidR="00C35B84" w:rsidRDefault="00C35B84" w:rsidP="009F3407">
      <w:pPr>
        <w:pStyle w:val="BodyA"/>
        <w:jc w:val="center"/>
        <w:rPr>
          <w:sz w:val="28"/>
          <w:szCs w:val="28"/>
          <w:lang w:val="it-IT"/>
        </w:rPr>
      </w:pPr>
    </w:p>
    <w:p w14:paraId="54F55F8C" w14:textId="645F58F8" w:rsidR="00C35B84" w:rsidRDefault="00C35B84" w:rsidP="009F3407">
      <w:pPr>
        <w:pStyle w:val="BodyA"/>
        <w:jc w:val="center"/>
        <w:rPr>
          <w:sz w:val="28"/>
          <w:szCs w:val="28"/>
          <w:lang w:val="it-IT"/>
        </w:rPr>
      </w:pPr>
    </w:p>
    <w:p w14:paraId="38E51D80" w14:textId="48A9978F" w:rsidR="00C35B84" w:rsidRDefault="00C35B84" w:rsidP="009F3407">
      <w:pPr>
        <w:pStyle w:val="BodyA"/>
        <w:jc w:val="center"/>
        <w:rPr>
          <w:sz w:val="28"/>
          <w:szCs w:val="28"/>
          <w:lang w:val="it-IT"/>
        </w:rPr>
      </w:pPr>
    </w:p>
    <w:p w14:paraId="2D281D8B" w14:textId="77023A1B" w:rsidR="00C35B84" w:rsidRDefault="00C35B84" w:rsidP="009F3407">
      <w:pPr>
        <w:pStyle w:val="BodyA"/>
        <w:jc w:val="center"/>
        <w:rPr>
          <w:sz w:val="28"/>
          <w:szCs w:val="28"/>
          <w:lang w:val="it-IT"/>
        </w:rPr>
      </w:pPr>
    </w:p>
    <w:p w14:paraId="2B7C0B21" w14:textId="50C3CB6D" w:rsidR="00C35B84" w:rsidRDefault="00C35B84" w:rsidP="009F3407">
      <w:pPr>
        <w:pStyle w:val="BodyA"/>
        <w:jc w:val="center"/>
        <w:rPr>
          <w:sz w:val="28"/>
          <w:szCs w:val="28"/>
          <w:lang w:val="it-IT"/>
        </w:rPr>
      </w:pPr>
    </w:p>
    <w:tbl>
      <w:tblPr>
        <w:tblW w:w="5000" w:type="pct"/>
        <w:jc w:val="center"/>
        <w:tblLook w:val="04A0" w:firstRow="1" w:lastRow="0" w:firstColumn="1" w:lastColumn="0" w:noHBand="0" w:noVBand="1"/>
      </w:tblPr>
      <w:tblGrid>
        <w:gridCol w:w="383"/>
        <w:gridCol w:w="2497"/>
        <w:gridCol w:w="977"/>
        <w:gridCol w:w="985"/>
        <w:gridCol w:w="830"/>
        <w:gridCol w:w="1783"/>
        <w:gridCol w:w="1724"/>
        <w:gridCol w:w="917"/>
        <w:gridCol w:w="1228"/>
        <w:gridCol w:w="1373"/>
        <w:gridCol w:w="1261"/>
      </w:tblGrid>
      <w:tr w:rsidR="00F81098" w:rsidRPr="00F81098" w14:paraId="03207A60" w14:textId="77777777" w:rsidTr="00F81098">
        <w:trPr>
          <w:trHeight w:val="180"/>
          <w:jc w:val="center"/>
        </w:trPr>
        <w:tc>
          <w:tcPr>
            <w:tcW w:w="5000" w:type="pct"/>
            <w:gridSpan w:val="11"/>
            <w:tcBorders>
              <w:top w:val="single" w:sz="4" w:space="0" w:color="FFFFFF"/>
              <w:left w:val="nil"/>
              <w:bottom w:val="single" w:sz="4" w:space="0" w:color="FFFFFF"/>
              <w:right w:val="nil"/>
            </w:tcBorders>
            <w:shd w:val="clear" w:color="auto" w:fill="auto"/>
            <w:vAlign w:val="center"/>
            <w:hideMark/>
          </w:tcPr>
          <w:p w14:paraId="37D50B5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F81098">
              <w:rPr>
                <w:rFonts w:ascii="Arial" w:eastAsia="Times New Roman" w:hAnsi="Arial" w:cs="Arial"/>
                <w:b/>
                <w:bCs/>
                <w:color w:val="000000"/>
                <w:sz w:val="12"/>
                <w:szCs w:val="12"/>
                <w:bdr w:val="none" w:sz="0" w:space="0" w:color="auto"/>
              </w:rPr>
              <w:t>Programi i Përgjithshëm Analitik i Projektakteve për vitin 2024</w:t>
            </w:r>
          </w:p>
        </w:tc>
      </w:tr>
      <w:tr w:rsidR="00F81098" w:rsidRPr="00F81098" w14:paraId="6AD5F840" w14:textId="77777777" w:rsidTr="00F81098">
        <w:trPr>
          <w:trHeight w:val="180"/>
          <w:jc w:val="center"/>
        </w:trPr>
        <w:tc>
          <w:tcPr>
            <w:tcW w:w="5000" w:type="pct"/>
            <w:gridSpan w:val="11"/>
            <w:tcBorders>
              <w:top w:val="single" w:sz="4" w:space="0" w:color="FFFFFF"/>
              <w:left w:val="nil"/>
              <w:bottom w:val="single" w:sz="8" w:space="0" w:color="auto"/>
              <w:right w:val="nil"/>
            </w:tcBorders>
            <w:shd w:val="clear" w:color="auto" w:fill="auto"/>
            <w:vAlign w:val="center"/>
            <w:hideMark/>
          </w:tcPr>
          <w:p w14:paraId="100354B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bookmarkStart w:id="3" w:name="RANGE!A2:K25"/>
            <w:r w:rsidRPr="00F81098">
              <w:rPr>
                <w:rFonts w:ascii="Arial" w:eastAsia="Times New Roman" w:hAnsi="Arial" w:cs="Arial"/>
                <w:b/>
                <w:bCs/>
                <w:color w:val="000000"/>
                <w:sz w:val="12"/>
                <w:szCs w:val="12"/>
                <w:bdr w:val="none" w:sz="0" w:space="0" w:color="auto"/>
              </w:rPr>
              <w:t>Ministri i Mbrojtjes</w:t>
            </w:r>
            <w:bookmarkEnd w:id="3"/>
          </w:p>
        </w:tc>
      </w:tr>
      <w:tr w:rsidR="00F81098" w:rsidRPr="00F81098" w14:paraId="17C9BBA6" w14:textId="77777777" w:rsidTr="00F81098">
        <w:trPr>
          <w:trHeight w:val="180"/>
          <w:jc w:val="center"/>
        </w:trPr>
        <w:tc>
          <w:tcPr>
            <w:tcW w:w="101" w:type="pct"/>
            <w:tcBorders>
              <w:top w:val="nil"/>
              <w:left w:val="single" w:sz="8" w:space="0" w:color="auto"/>
              <w:bottom w:val="nil"/>
              <w:right w:val="nil"/>
            </w:tcBorders>
            <w:shd w:val="clear" w:color="000000" w:fill="C00000"/>
            <w:vAlign w:val="center"/>
            <w:hideMark/>
          </w:tcPr>
          <w:p w14:paraId="2DA1A53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Nr.</w:t>
            </w:r>
          </w:p>
        </w:tc>
        <w:tc>
          <w:tcPr>
            <w:tcW w:w="913" w:type="pct"/>
            <w:tcBorders>
              <w:top w:val="nil"/>
              <w:left w:val="single" w:sz="4" w:space="0" w:color="FFFFFF"/>
              <w:bottom w:val="nil"/>
              <w:right w:val="single" w:sz="4" w:space="0" w:color="FFFFFF"/>
            </w:tcBorders>
            <w:shd w:val="clear" w:color="000000" w:fill="C00000"/>
            <w:vAlign w:val="center"/>
            <w:hideMark/>
          </w:tcPr>
          <w:p w14:paraId="2D4AF8A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Titulli i projektaktit</w:t>
            </w:r>
          </w:p>
        </w:tc>
        <w:tc>
          <w:tcPr>
            <w:tcW w:w="297" w:type="pct"/>
            <w:tcBorders>
              <w:top w:val="nil"/>
              <w:left w:val="nil"/>
              <w:bottom w:val="nil"/>
              <w:right w:val="single" w:sz="4" w:space="0" w:color="FFFFFF"/>
            </w:tcBorders>
            <w:shd w:val="clear" w:color="000000" w:fill="C00000"/>
            <w:vAlign w:val="center"/>
            <w:hideMark/>
          </w:tcPr>
          <w:p w14:paraId="303307A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Lloji i projektaktit</w:t>
            </w:r>
          </w:p>
        </w:tc>
        <w:tc>
          <w:tcPr>
            <w:tcW w:w="371" w:type="pct"/>
            <w:tcBorders>
              <w:top w:val="nil"/>
              <w:left w:val="nil"/>
              <w:bottom w:val="nil"/>
              <w:right w:val="nil"/>
            </w:tcBorders>
            <w:shd w:val="clear" w:color="000000" w:fill="C00000"/>
            <w:vAlign w:val="center"/>
            <w:hideMark/>
          </w:tcPr>
          <w:p w14:paraId="30BA30D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Ministri propozues</w:t>
            </w:r>
          </w:p>
        </w:tc>
        <w:tc>
          <w:tcPr>
            <w:tcW w:w="283" w:type="pct"/>
            <w:tcBorders>
              <w:top w:val="nil"/>
              <w:left w:val="single" w:sz="4" w:space="0" w:color="FFFFFF"/>
              <w:bottom w:val="nil"/>
              <w:right w:val="nil"/>
            </w:tcBorders>
            <w:shd w:val="clear" w:color="000000" w:fill="C00000"/>
            <w:vAlign w:val="center"/>
            <w:hideMark/>
          </w:tcPr>
          <w:p w14:paraId="71F1974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Katër mujori</w:t>
            </w:r>
          </w:p>
        </w:tc>
        <w:tc>
          <w:tcPr>
            <w:tcW w:w="657" w:type="pct"/>
            <w:tcBorders>
              <w:top w:val="nil"/>
              <w:left w:val="single" w:sz="4" w:space="0" w:color="FFFFFF"/>
              <w:bottom w:val="nil"/>
              <w:right w:val="nil"/>
            </w:tcBorders>
            <w:shd w:val="clear" w:color="000000" w:fill="C00000"/>
            <w:vAlign w:val="center"/>
            <w:hideMark/>
          </w:tcPr>
          <w:p w14:paraId="5C4473F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Arsyet kryesore për propozimin e projektaktit</w:t>
            </w:r>
          </w:p>
        </w:tc>
        <w:tc>
          <w:tcPr>
            <w:tcW w:w="636" w:type="pct"/>
            <w:tcBorders>
              <w:top w:val="nil"/>
              <w:left w:val="single" w:sz="4" w:space="0" w:color="FFFFFF"/>
              <w:bottom w:val="nil"/>
              <w:right w:val="single" w:sz="4" w:space="0" w:color="FFFFFF"/>
            </w:tcBorders>
            <w:shd w:val="clear" w:color="000000" w:fill="C00000"/>
            <w:vAlign w:val="center"/>
            <w:hideMark/>
          </w:tcPr>
          <w:p w14:paraId="49211B4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 xml:space="preserve">Çështjet kryesore që parashikon të rregullojë projektakti </w:t>
            </w:r>
          </w:p>
        </w:tc>
        <w:tc>
          <w:tcPr>
            <w:tcW w:w="304" w:type="pct"/>
            <w:tcBorders>
              <w:top w:val="nil"/>
              <w:left w:val="nil"/>
              <w:bottom w:val="nil"/>
              <w:right w:val="single" w:sz="4" w:space="0" w:color="FFFFFF"/>
            </w:tcBorders>
            <w:shd w:val="clear" w:color="000000" w:fill="C00000"/>
            <w:vAlign w:val="center"/>
            <w:hideMark/>
          </w:tcPr>
          <w:p w14:paraId="162133A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A është parashikuar projektakti në PKIE?</w:t>
            </w:r>
            <w:r w:rsidRPr="00F81098">
              <w:rPr>
                <w:rFonts w:ascii="Arial" w:eastAsia="Times New Roman" w:hAnsi="Arial" w:cs="Arial"/>
                <w:b/>
                <w:bCs/>
                <w:color w:val="FFFFFF"/>
                <w:sz w:val="12"/>
                <w:szCs w:val="12"/>
                <w:bdr w:val="none" w:sz="0" w:space="0" w:color="auto"/>
              </w:rPr>
              <w:br/>
            </w:r>
            <w:r w:rsidRPr="00F81098">
              <w:rPr>
                <w:rFonts w:ascii="Arial" w:eastAsia="Times New Roman" w:hAnsi="Arial" w:cs="Arial"/>
                <w:b/>
                <w:bCs/>
                <w:color w:val="FFFFFF"/>
                <w:sz w:val="12"/>
                <w:szCs w:val="12"/>
                <w:bdr w:val="none" w:sz="0" w:space="0" w:color="auto"/>
              </w:rPr>
              <w:br/>
              <w:t>Nëse po, të specifikohet kapitulli përkatës</w:t>
            </w:r>
          </w:p>
        </w:tc>
        <w:tc>
          <w:tcPr>
            <w:tcW w:w="458" w:type="pct"/>
            <w:tcBorders>
              <w:top w:val="nil"/>
              <w:left w:val="nil"/>
              <w:bottom w:val="nil"/>
              <w:right w:val="single" w:sz="4" w:space="0" w:color="FFFFFF"/>
            </w:tcBorders>
            <w:shd w:val="clear" w:color="000000" w:fill="C00000"/>
            <w:vAlign w:val="center"/>
            <w:hideMark/>
          </w:tcPr>
          <w:p w14:paraId="12C6C5D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Përputhshmëria e projektaktit me programin politik qeverisës 2021-2025</w:t>
            </w:r>
            <w:r w:rsidRPr="00F81098">
              <w:rPr>
                <w:rFonts w:ascii="Arial" w:eastAsia="Times New Roman" w:hAnsi="Arial" w:cs="Arial"/>
                <w:b/>
                <w:bCs/>
                <w:color w:val="FFFFFF"/>
                <w:sz w:val="12"/>
                <w:szCs w:val="12"/>
                <w:bdr w:val="none" w:sz="0" w:space="0" w:color="auto"/>
              </w:rPr>
              <w:br/>
            </w:r>
            <w:r w:rsidRPr="00F81098">
              <w:rPr>
                <w:rFonts w:ascii="Arial" w:eastAsia="Times New Roman" w:hAnsi="Arial" w:cs="Arial"/>
                <w:b/>
                <w:bCs/>
                <w:color w:val="FFFFFF"/>
                <w:sz w:val="12"/>
                <w:szCs w:val="12"/>
                <w:bdr w:val="none" w:sz="0" w:space="0" w:color="auto"/>
              </w:rPr>
              <w:br/>
              <w:t>Nëse përputhet, të jepet  referenca e saktë në progam</w:t>
            </w:r>
          </w:p>
        </w:tc>
        <w:tc>
          <w:tcPr>
            <w:tcW w:w="510" w:type="pct"/>
            <w:tcBorders>
              <w:top w:val="nil"/>
              <w:left w:val="nil"/>
              <w:bottom w:val="nil"/>
              <w:right w:val="single" w:sz="4" w:space="0" w:color="FFFFFF"/>
            </w:tcBorders>
            <w:shd w:val="clear" w:color="000000" w:fill="C00000"/>
            <w:vAlign w:val="center"/>
            <w:hideMark/>
          </w:tcPr>
          <w:p w14:paraId="6E9F8EF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Lidhja e projektaktit me strategjitë kombëtare dhe sektoriale</w:t>
            </w:r>
            <w:r w:rsidRPr="00F81098">
              <w:rPr>
                <w:rFonts w:ascii="Arial" w:eastAsia="Times New Roman" w:hAnsi="Arial" w:cs="Arial"/>
                <w:b/>
                <w:bCs/>
                <w:color w:val="FFFFFF"/>
                <w:sz w:val="12"/>
                <w:szCs w:val="12"/>
                <w:bdr w:val="none" w:sz="0" w:space="0" w:color="auto"/>
              </w:rPr>
              <w:br/>
            </w:r>
            <w:r w:rsidRPr="00F81098">
              <w:rPr>
                <w:rFonts w:ascii="Arial" w:eastAsia="Times New Roman" w:hAnsi="Arial" w:cs="Arial"/>
                <w:b/>
                <w:bCs/>
                <w:color w:val="FFFFFF"/>
                <w:sz w:val="12"/>
                <w:szCs w:val="12"/>
                <w:bdr w:val="none" w:sz="0" w:space="0" w:color="auto"/>
              </w:rPr>
              <w:br/>
              <w:t>Nëse lidhet, të specifikohen strategjitë</w:t>
            </w:r>
          </w:p>
        </w:tc>
        <w:tc>
          <w:tcPr>
            <w:tcW w:w="469" w:type="pct"/>
            <w:tcBorders>
              <w:top w:val="nil"/>
              <w:left w:val="nil"/>
              <w:bottom w:val="nil"/>
              <w:right w:val="nil"/>
            </w:tcBorders>
            <w:shd w:val="clear" w:color="000000" w:fill="C00000"/>
            <w:vAlign w:val="center"/>
            <w:hideMark/>
          </w:tcPr>
          <w:p w14:paraId="7A3D2BE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F81098">
              <w:rPr>
                <w:rFonts w:ascii="Arial" w:eastAsia="Times New Roman" w:hAnsi="Arial" w:cs="Arial"/>
                <w:b/>
                <w:bCs/>
                <w:color w:val="FFFFFF"/>
                <w:sz w:val="12"/>
                <w:szCs w:val="12"/>
                <w:bdr w:val="none" w:sz="0" w:space="0" w:color="auto"/>
              </w:rPr>
              <w:t>Ndikimet e mundshme ekonomike, financiare, sociale dhe mjedisore</w:t>
            </w:r>
            <w:r w:rsidRPr="00F81098">
              <w:rPr>
                <w:rFonts w:ascii="Arial" w:eastAsia="Times New Roman" w:hAnsi="Arial" w:cs="Arial"/>
                <w:b/>
                <w:bCs/>
                <w:color w:val="FFFFFF"/>
                <w:sz w:val="12"/>
                <w:szCs w:val="12"/>
                <w:bdr w:val="none" w:sz="0" w:space="0" w:color="auto"/>
              </w:rPr>
              <w:br/>
            </w:r>
            <w:r w:rsidRPr="00F81098">
              <w:rPr>
                <w:rFonts w:ascii="Arial" w:eastAsia="Times New Roman" w:hAnsi="Arial" w:cs="Arial"/>
                <w:b/>
                <w:bCs/>
                <w:color w:val="FFFFFF"/>
                <w:sz w:val="12"/>
                <w:szCs w:val="12"/>
                <w:bdr w:val="none" w:sz="0" w:space="0" w:color="auto"/>
              </w:rPr>
              <w:br/>
              <w:t xml:space="preserve">Përgjigjuni me Po/Jo për ndikimet përkatëse </w:t>
            </w:r>
          </w:p>
        </w:tc>
      </w:tr>
      <w:tr w:rsidR="00F81098" w:rsidRPr="00F81098" w14:paraId="5601184C" w14:textId="77777777" w:rsidTr="00F81098">
        <w:trPr>
          <w:trHeight w:val="180"/>
          <w:jc w:val="center"/>
        </w:trPr>
        <w:tc>
          <w:tcPr>
            <w:tcW w:w="1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07F7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w:t>
            </w:r>
          </w:p>
        </w:tc>
        <w:tc>
          <w:tcPr>
            <w:tcW w:w="913" w:type="pct"/>
            <w:tcBorders>
              <w:top w:val="single" w:sz="4" w:space="0" w:color="auto"/>
              <w:left w:val="nil"/>
              <w:bottom w:val="single" w:sz="4" w:space="0" w:color="auto"/>
              <w:right w:val="single" w:sz="4" w:space="0" w:color="auto"/>
            </w:tcBorders>
            <w:shd w:val="clear" w:color="auto" w:fill="auto"/>
            <w:vAlign w:val="center"/>
            <w:hideMark/>
          </w:tcPr>
          <w:p w14:paraId="2C978A0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dhe ndryshime në ligjin nr 65/2014 Për Agjencinë e Inteligjencës dhe Sigurisë së Mbrojtjes</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4C96B0B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4C06409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single" w:sz="4" w:space="0" w:color="auto"/>
              <w:left w:val="nil"/>
              <w:bottom w:val="single" w:sz="4" w:space="0" w:color="auto"/>
              <w:right w:val="single" w:sz="4" w:space="0" w:color="auto"/>
            </w:tcBorders>
            <w:shd w:val="clear" w:color="auto" w:fill="auto"/>
            <w:vAlign w:val="center"/>
            <w:hideMark/>
          </w:tcPr>
          <w:p w14:paraId="26E887B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w:t>
            </w:r>
          </w:p>
        </w:tc>
        <w:tc>
          <w:tcPr>
            <w:tcW w:w="657" w:type="pct"/>
            <w:tcBorders>
              <w:top w:val="single" w:sz="4" w:space="0" w:color="auto"/>
              <w:left w:val="nil"/>
              <w:bottom w:val="single" w:sz="4" w:space="0" w:color="auto"/>
              <w:right w:val="single" w:sz="4" w:space="0" w:color="auto"/>
            </w:tcBorders>
            <w:shd w:val="clear" w:color="auto" w:fill="auto"/>
            <w:vAlign w:val="center"/>
            <w:hideMark/>
          </w:tcPr>
          <w:p w14:paraId="41AC684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Të mundësojë që në aspektin ligjor të përmirësojë veprimtarinë e AISM, por edhe qartësimin e veprimtarisë informative bazuar në legjislacion të qartë dhe të harmonizuar me legjislacionin kombëtar dhe ndërkombëtar</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0E2946F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Rregullimin e marrëdhënieve ligjore midis Agjencisë së Inteligjencës dhe Sigurisë së Mbrojtjes dhe strukturave të tjera, në lidhje me miratimin e disa procedurave të grumbullimit të informacionit, si dhe për marrjen akses në sisteme dhe baza të dhënash kombëtare dhe ndërkombëtare, me qëllim rritjen e cilësisë, saktësisë dhe shpejtësisë së përpunimit të informacionit për konsumatorët</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6094E73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4B76451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single" w:sz="4" w:space="0" w:color="auto"/>
              <w:left w:val="nil"/>
              <w:bottom w:val="single" w:sz="4" w:space="0" w:color="auto"/>
              <w:right w:val="single" w:sz="4" w:space="0" w:color="auto"/>
            </w:tcBorders>
            <w:shd w:val="clear" w:color="auto" w:fill="auto"/>
            <w:vAlign w:val="center"/>
            <w:hideMark/>
          </w:tcPr>
          <w:p w14:paraId="1345CB6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Strategjinë e Sigurisë Kombetare</w:t>
            </w:r>
          </w:p>
        </w:tc>
        <w:tc>
          <w:tcPr>
            <w:tcW w:w="469" w:type="pct"/>
            <w:tcBorders>
              <w:top w:val="single" w:sz="4" w:space="0" w:color="auto"/>
              <w:left w:val="nil"/>
              <w:bottom w:val="single" w:sz="4" w:space="0" w:color="auto"/>
              <w:right w:val="single" w:sz="4" w:space="0" w:color="auto"/>
            </w:tcBorders>
            <w:shd w:val="clear" w:color="auto" w:fill="auto"/>
            <w:vAlign w:val="center"/>
            <w:hideMark/>
          </w:tcPr>
          <w:p w14:paraId="77997A9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696F640E"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030DF7D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2</w:t>
            </w:r>
          </w:p>
        </w:tc>
        <w:tc>
          <w:tcPr>
            <w:tcW w:w="913" w:type="pct"/>
            <w:tcBorders>
              <w:top w:val="nil"/>
              <w:left w:val="nil"/>
              <w:bottom w:val="nil"/>
              <w:right w:val="single" w:sz="4" w:space="0" w:color="auto"/>
            </w:tcBorders>
            <w:shd w:val="clear" w:color="auto" w:fill="auto"/>
            <w:vAlign w:val="center"/>
            <w:hideMark/>
          </w:tcPr>
          <w:p w14:paraId="49EA0A4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dhe ndryshime ne ligjin nr.46/2018: Për kontrollin shtetëror të transferimeve ndërkombëtare të mallrave ushtarake dhe të artikujve e teknologjive me përdorim të dyfishtë</w:t>
            </w:r>
          </w:p>
        </w:tc>
        <w:tc>
          <w:tcPr>
            <w:tcW w:w="297" w:type="pct"/>
            <w:tcBorders>
              <w:top w:val="nil"/>
              <w:left w:val="nil"/>
              <w:bottom w:val="nil"/>
              <w:right w:val="single" w:sz="4" w:space="0" w:color="auto"/>
            </w:tcBorders>
            <w:shd w:val="clear" w:color="auto" w:fill="auto"/>
            <w:vAlign w:val="center"/>
            <w:hideMark/>
          </w:tcPr>
          <w:p w14:paraId="329A67A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nil"/>
              <w:right w:val="single" w:sz="4" w:space="0" w:color="auto"/>
            </w:tcBorders>
            <w:shd w:val="clear" w:color="auto" w:fill="auto"/>
            <w:vAlign w:val="center"/>
            <w:hideMark/>
          </w:tcPr>
          <w:p w14:paraId="6887FC5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43E85AB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w:t>
            </w:r>
          </w:p>
        </w:tc>
        <w:tc>
          <w:tcPr>
            <w:tcW w:w="657" w:type="pct"/>
            <w:tcBorders>
              <w:top w:val="nil"/>
              <w:left w:val="nil"/>
              <w:bottom w:val="nil"/>
              <w:right w:val="nil"/>
            </w:tcBorders>
            <w:shd w:val="clear" w:color="auto" w:fill="auto"/>
            <w:vAlign w:val="center"/>
            <w:hideMark/>
          </w:tcPr>
          <w:p w14:paraId="43EBFDE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Nisur nga nevoja dhe urgjenca bazuar në ndryshimet përkatëse të propozuara të cilat ndikojnë në përmirësimin e kuadrit ligjor në situatën emergjente dhe kërkesave nga vendet aleate të NATO-s për mbështetjen e vazhdueshme në luftën kundër terrorizmit, i cili është kthyer në një kërcënim global. Këto ndryshime janë pjesë përbërëse e parashikimeve të këtij projektakti normativ.</w:t>
            </w:r>
          </w:p>
        </w:tc>
        <w:tc>
          <w:tcPr>
            <w:tcW w:w="636" w:type="pct"/>
            <w:tcBorders>
              <w:top w:val="nil"/>
              <w:left w:val="single" w:sz="4" w:space="0" w:color="auto"/>
              <w:bottom w:val="nil"/>
              <w:right w:val="single" w:sz="4" w:space="0" w:color="auto"/>
            </w:tcBorders>
            <w:shd w:val="clear" w:color="auto" w:fill="auto"/>
            <w:vAlign w:val="center"/>
            <w:hideMark/>
          </w:tcPr>
          <w:p w14:paraId="4F78A3A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Transferimi ndërkombëtar i mallrave dhe kontrolli i tyre në sajë të licencimit dhe autorizimit.</w:t>
            </w:r>
          </w:p>
        </w:tc>
        <w:tc>
          <w:tcPr>
            <w:tcW w:w="304" w:type="pct"/>
            <w:tcBorders>
              <w:top w:val="nil"/>
              <w:left w:val="nil"/>
              <w:bottom w:val="nil"/>
              <w:right w:val="single" w:sz="4" w:space="0" w:color="auto"/>
            </w:tcBorders>
            <w:shd w:val="clear" w:color="auto" w:fill="auto"/>
            <w:vAlign w:val="center"/>
            <w:hideMark/>
          </w:tcPr>
          <w:p w14:paraId="622BB0A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nil"/>
              <w:right w:val="single" w:sz="4" w:space="0" w:color="auto"/>
            </w:tcBorders>
            <w:shd w:val="clear" w:color="auto" w:fill="auto"/>
            <w:vAlign w:val="center"/>
            <w:hideMark/>
          </w:tcPr>
          <w:p w14:paraId="41251F8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nil"/>
              <w:right w:val="single" w:sz="4" w:space="0" w:color="auto"/>
            </w:tcBorders>
            <w:shd w:val="clear" w:color="auto" w:fill="auto"/>
            <w:vAlign w:val="center"/>
            <w:hideMark/>
          </w:tcPr>
          <w:p w14:paraId="4838747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nil"/>
              <w:right w:val="single" w:sz="4" w:space="0" w:color="auto"/>
            </w:tcBorders>
            <w:shd w:val="clear" w:color="auto" w:fill="auto"/>
            <w:vAlign w:val="center"/>
            <w:hideMark/>
          </w:tcPr>
          <w:p w14:paraId="38D89F9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18BAB8B4"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715E651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3</w:t>
            </w:r>
          </w:p>
        </w:tc>
        <w:tc>
          <w:tcPr>
            <w:tcW w:w="913" w:type="pct"/>
            <w:tcBorders>
              <w:top w:val="single" w:sz="4" w:space="0" w:color="auto"/>
              <w:left w:val="nil"/>
              <w:bottom w:val="single" w:sz="4" w:space="0" w:color="auto"/>
              <w:right w:val="single" w:sz="4" w:space="0" w:color="auto"/>
            </w:tcBorders>
            <w:shd w:val="clear" w:color="auto" w:fill="auto"/>
            <w:vAlign w:val="center"/>
            <w:hideMark/>
          </w:tcPr>
          <w:p w14:paraId="4D5A2FA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e ndryshime në vendimin nr. 150, datë 13.03.2023  të Këshillit të Ministrave “Për miratimin e kritereve dhe normave të trajtimit me uniformë të ushtarakëve të Forcave të Armatosura të Republikës së Shqipërisë</w:t>
            </w:r>
          </w:p>
        </w:tc>
        <w:tc>
          <w:tcPr>
            <w:tcW w:w="297" w:type="pct"/>
            <w:tcBorders>
              <w:top w:val="single" w:sz="4" w:space="0" w:color="auto"/>
              <w:left w:val="nil"/>
              <w:bottom w:val="single" w:sz="4" w:space="0" w:color="auto"/>
              <w:right w:val="single" w:sz="4" w:space="0" w:color="auto"/>
            </w:tcBorders>
            <w:shd w:val="clear" w:color="auto" w:fill="auto"/>
            <w:vAlign w:val="center"/>
            <w:hideMark/>
          </w:tcPr>
          <w:p w14:paraId="17E2E7F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76E9E7D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066F04C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w:t>
            </w:r>
          </w:p>
        </w:tc>
        <w:tc>
          <w:tcPr>
            <w:tcW w:w="657" w:type="pct"/>
            <w:tcBorders>
              <w:top w:val="single" w:sz="4" w:space="0" w:color="auto"/>
              <w:left w:val="nil"/>
              <w:bottom w:val="single" w:sz="4" w:space="0" w:color="auto"/>
              <w:right w:val="single" w:sz="4" w:space="0" w:color="auto"/>
            </w:tcBorders>
            <w:shd w:val="clear" w:color="auto" w:fill="auto"/>
            <w:vAlign w:val="center"/>
            <w:hideMark/>
          </w:tcPr>
          <w:p w14:paraId="6C174DF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synim përfshirjen në normat e trajtimit me uniformë ushtarakët e Orkestrës Simfonike të FA, si dhe një ndryshim në normën e trajtimit me uniformë të ushtarakëve që shkojnë me mision jashtë vendi</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5517BAE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Zëvendësimi i shtojcës nr. 12 të VKM në fuqi, për normat e trajtimit me uniformë të ushtarakëve që shkojnë me mision jashtë vendit, përfshirja në trajtimin me uniformë të ushtarakëve të Orkestrës Frymore të Forcave të Armatosura sipas shtojcës nr. 13</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0A6906C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7A36E81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single" w:sz="4" w:space="0" w:color="auto"/>
              <w:left w:val="nil"/>
              <w:bottom w:val="single" w:sz="4" w:space="0" w:color="auto"/>
              <w:right w:val="single" w:sz="4" w:space="0" w:color="auto"/>
            </w:tcBorders>
            <w:shd w:val="clear" w:color="auto" w:fill="auto"/>
            <w:vAlign w:val="center"/>
            <w:hideMark/>
          </w:tcPr>
          <w:p w14:paraId="2772EA1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single" w:sz="4" w:space="0" w:color="auto"/>
              <w:left w:val="nil"/>
              <w:bottom w:val="single" w:sz="4" w:space="0" w:color="auto"/>
              <w:right w:val="single" w:sz="4" w:space="0" w:color="auto"/>
            </w:tcBorders>
            <w:shd w:val="clear" w:color="auto" w:fill="auto"/>
            <w:vAlign w:val="center"/>
            <w:hideMark/>
          </w:tcPr>
          <w:p w14:paraId="7E8A3FB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3F049624"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4E4CA2D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4</w:t>
            </w:r>
          </w:p>
        </w:tc>
        <w:tc>
          <w:tcPr>
            <w:tcW w:w="913" w:type="pct"/>
            <w:tcBorders>
              <w:top w:val="nil"/>
              <w:left w:val="nil"/>
              <w:bottom w:val="single" w:sz="4" w:space="0" w:color="auto"/>
              <w:right w:val="single" w:sz="4" w:space="0" w:color="auto"/>
            </w:tcBorders>
            <w:shd w:val="clear" w:color="auto" w:fill="auto"/>
            <w:vAlign w:val="center"/>
            <w:hideMark/>
          </w:tcPr>
          <w:p w14:paraId="6D0FD69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pjesëmarrjen e personelit të FARSH në operacionin e NATO-s "Aegean Sea"</w:t>
            </w:r>
          </w:p>
        </w:tc>
        <w:tc>
          <w:tcPr>
            <w:tcW w:w="297" w:type="pct"/>
            <w:tcBorders>
              <w:top w:val="nil"/>
              <w:left w:val="nil"/>
              <w:bottom w:val="single" w:sz="4" w:space="0" w:color="auto"/>
              <w:right w:val="single" w:sz="4" w:space="0" w:color="auto"/>
            </w:tcBorders>
            <w:shd w:val="clear" w:color="auto" w:fill="auto"/>
            <w:vAlign w:val="center"/>
            <w:hideMark/>
          </w:tcPr>
          <w:p w14:paraId="13A8397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37B0951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0C557D6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w:t>
            </w:r>
          </w:p>
        </w:tc>
        <w:tc>
          <w:tcPr>
            <w:tcW w:w="657" w:type="pct"/>
            <w:tcBorders>
              <w:top w:val="nil"/>
              <w:left w:val="nil"/>
              <w:bottom w:val="single" w:sz="4" w:space="0" w:color="auto"/>
              <w:right w:val="single" w:sz="4" w:space="0" w:color="auto"/>
            </w:tcBorders>
            <w:shd w:val="clear" w:color="auto" w:fill="auto"/>
            <w:vAlign w:val="center"/>
            <w:hideMark/>
          </w:tcPr>
          <w:p w14:paraId="46B8F2F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Pjesmarrja e personelit të FARSH në patrullim detar në Detin Egje në kuadër të NATO-s</w:t>
            </w:r>
          </w:p>
        </w:tc>
        <w:tc>
          <w:tcPr>
            <w:tcW w:w="636" w:type="pct"/>
            <w:tcBorders>
              <w:top w:val="nil"/>
              <w:left w:val="nil"/>
              <w:bottom w:val="single" w:sz="4" w:space="0" w:color="auto"/>
              <w:right w:val="single" w:sz="4" w:space="0" w:color="auto"/>
            </w:tcBorders>
            <w:shd w:val="clear" w:color="auto" w:fill="auto"/>
            <w:vAlign w:val="center"/>
            <w:hideMark/>
          </w:tcPr>
          <w:p w14:paraId="404EEFE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Hartimi i një VKM të re për pjesëmarrje në operacion, pasi VKM e fundit (180/2023), ka mbaruar afatin ligjor të angazhimit në këtë operacion</w:t>
            </w:r>
          </w:p>
        </w:tc>
        <w:tc>
          <w:tcPr>
            <w:tcW w:w="304" w:type="pct"/>
            <w:tcBorders>
              <w:top w:val="nil"/>
              <w:left w:val="nil"/>
              <w:bottom w:val="single" w:sz="4" w:space="0" w:color="auto"/>
              <w:right w:val="single" w:sz="4" w:space="0" w:color="auto"/>
            </w:tcBorders>
            <w:shd w:val="clear" w:color="auto" w:fill="auto"/>
            <w:vAlign w:val="center"/>
            <w:hideMark/>
          </w:tcPr>
          <w:p w14:paraId="2F569E3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2900F61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24ED436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3D3F434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62FAB7E5"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2E00C86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5</w:t>
            </w:r>
          </w:p>
        </w:tc>
        <w:tc>
          <w:tcPr>
            <w:tcW w:w="913" w:type="pct"/>
            <w:tcBorders>
              <w:top w:val="nil"/>
              <w:left w:val="nil"/>
              <w:bottom w:val="single" w:sz="4" w:space="0" w:color="auto"/>
              <w:right w:val="single" w:sz="4" w:space="0" w:color="auto"/>
            </w:tcBorders>
            <w:shd w:val="clear" w:color="auto" w:fill="auto"/>
            <w:vAlign w:val="center"/>
            <w:hideMark/>
          </w:tcPr>
          <w:p w14:paraId="6F14214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pjesmarrjen e personelit të FARSH në operacionin e NATO -s "FOOCOPS" në Detin Mesdhe</w:t>
            </w:r>
          </w:p>
        </w:tc>
        <w:tc>
          <w:tcPr>
            <w:tcW w:w="297" w:type="pct"/>
            <w:tcBorders>
              <w:top w:val="nil"/>
              <w:left w:val="nil"/>
              <w:bottom w:val="single" w:sz="4" w:space="0" w:color="auto"/>
              <w:right w:val="single" w:sz="4" w:space="0" w:color="auto"/>
            </w:tcBorders>
            <w:shd w:val="clear" w:color="auto" w:fill="auto"/>
            <w:vAlign w:val="center"/>
            <w:hideMark/>
          </w:tcPr>
          <w:p w14:paraId="724CA9A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0215735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0BF78ED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w:t>
            </w:r>
          </w:p>
        </w:tc>
        <w:tc>
          <w:tcPr>
            <w:tcW w:w="657" w:type="pct"/>
            <w:tcBorders>
              <w:top w:val="nil"/>
              <w:left w:val="nil"/>
              <w:bottom w:val="single" w:sz="4" w:space="0" w:color="auto"/>
              <w:right w:val="single" w:sz="4" w:space="0" w:color="auto"/>
            </w:tcBorders>
            <w:shd w:val="clear" w:color="auto" w:fill="auto"/>
            <w:vAlign w:val="center"/>
            <w:hideMark/>
          </w:tcPr>
          <w:p w14:paraId="332F1EE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Detyrim që rrjedh nga angazhimet e Republikës së Shqipërisë në kuadër të anëtarësimit në NATO</w:t>
            </w:r>
          </w:p>
        </w:tc>
        <w:tc>
          <w:tcPr>
            <w:tcW w:w="636" w:type="pct"/>
            <w:tcBorders>
              <w:top w:val="nil"/>
              <w:left w:val="nil"/>
              <w:bottom w:val="single" w:sz="4" w:space="0" w:color="auto"/>
              <w:right w:val="single" w:sz="4" w:space="0" w:color="auto"/>
            </w:tcBorders>
            <w:shd w:val="clear" w:color="auto" w:fill="auto"/>
            <w:vAlign w:val="center"/>
            <w:hideMark/>
          </w:tcPr>
          <w:p w14:paraId="31C1641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Hartimi i një VKM të re për pjesëmarrje në operacion, pasi VKM e fundit (93/2023), ka mbaruar afatin ligjor të angazhimit në këtë operacion</w:t>
            </w:r>
          </w:p>
        </w:tc>
        <w:tc>
          <w:tcPr>
            <w:tcW w:w="304" w:type="pct"/>
            <w:tcBorders>
              <w:top w:val="nil"/>
              <w:left w:val="nil"/>
              <w:bottom w:val="single" w:sz="4" w:space="0" w:color="auto"/>
              <w:right w:val="single" w:sz="4" w:space="0" w:color="auto"/>
            </w:tcBorders>
            <w:shd w:val="clear" w:color="auto" w:fill="auto"/>
            <w:vAlign w:val="center"/>
            <w:hideMark/>
          </w:tcPr>
          <w:p w14:paraId="632AA62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76361BA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14CF84E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782949A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68D01D86"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476DC9B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6</w:t>
            </w:r>
          </w:p>
        </w:tc>
        <w:tc>
          <w:tcPr>
            <w:tcW w:w="913" w:type="pct"/>
            <w:tcBorders>
              <w:top w:val="nil"/>
              <w:left w:val="nil"/>
              <w:bottom w:val="single" w:sz="4" w:space="0" w:color="auto"/>
              <w:right w:val="single" w:sz="4" w:space="0" w:color="auto"/>
            </w:tcBorders>
            <w:shd w:val="clear" w:color="auto" w:fill="auto"/>
            <w:vAlign w:val="center"/>
            <w:hideMark/>
          </w:tcPr>
          <w:p w14:paraId="59DF950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 disa ndryshime në vendimin nr. 910/2014, "Për pjesmarrjen e  Forcave të Armatosura të RSH në operacionin ndërkombëtar KFOR, Kosovë" i ndryshuar </w:t>
            </w:r>
          </w:p>
        </w:tc>
        <w:tc>
          <w:tcPr>
            <w:tcW w:w="297" w:type="pct"/>
            <w:tcBorders>
              <w:top w:val="nil"/>
              <w:left w:val="nil"/>
              <w:bottom w:val="single" w:sz="4" w:space="0" w:color="auto"/>
              <w:right w:val="single" w:sz="4" w:space="0" w:color="auto"/>
            </w:tcBorders>
            <w:shd w:val="clear" w:color="auto" w:fill="auto"/>
            <w:vAlign w:val="center"/>
            <w:hideMark/>
          </w:tcPr>
          <w:p w14:paraId="7164B51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3F84DA4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66B686D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w:t>
            </w:r>
          </w:p>
        </w:tc>
        <w:tc>
          <w:tcPr>
            <w:tcW w:w="657" w:type="pct"/>
            <w:tcBorders>
              <w:top w:val="nil"/>
              <w:left w:val="nil"/>
              <w:bottom w:val="single" w:sz="4" w:space="0" w:color="auto"/>
              <w:right w:val="single" w:sz="4" w:space="0" w:color="auto"/>
            </w:tcBorders>
            <w:shd w:val="clear" w:color="auto" w:fill="auto"/>
            <w:vAlign w:val="center"/>
            <w:hideMark/>
          </w:tcPr>
          <w:p w14:paraId="0360F1E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Ndryshimi I VKM aktuale</w:t>
            </w:r>
          </w:p>
        </w:tc>
        <w:tc>
          <w:tcPr>
            <w:tcW w:w="636" w:type="pct"/>
            <w:tcBorders>
              <w:top w:val="nil"/>
              <w:left w:val="nil"/>
              <w:bottom w:val="single" w:sz="4" w:space="0" w:color="auto"/>
              <w:right w:val="single" w:sz="4" w:space="0" w:color="auto"/>
            </w:tcBorders>
            <w:shd w:val="clear" w:color="auto" w:fill="auto"/>
            <w:vAlign w:val="center"/>
            <w:hideMark/>
          </w:tcPr>
          <w:p w14:paraId="392C088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Ndryshimi i trajtimit financiar të ushtarakëve që angazhohen në këtë operacion</w:t>
            </w:r>
          </w:p>
        </w:tc>
        <w:tc>
          <w:tcPr>
            <w:tcW w:w="304" w:type="pct"/>
            <w:tcBorders>
              <w:top w:val="nil"/>
              <w:left w:val="nil"/>
              <w:bottom w:val="single" w:sz="4" w:space="0" w:color="auto"/>
              <w:right w:val="single" w:sz="4" w:space="0" w:color="auto"/>
            </w:tcBorders>
            <w:shd w:val="clear" w:color="auto" w:fill="auto"/>
            <w:vAlign w:val="center"/>
            <w:hideMark/>
          </w:tcPr>
          <w:p w14:paraId="6950CB7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5B9A373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510" w:type="pct"/>
            <w:tcBorders>
              <w:top w:val="nil"/>
              <w:left w:val="nil"/>
              <w:bottom w:val="single" w:sz="4" w:space="0" w:color="auto"/>
              <w:right w:val="single" w:sz="4" w:space="0" w:color="auto"/>
            </w:tcBorders>
            <w:shd w:val="clear" w:color="auto" w:fill="auto"/>
            <w:vAlign w:val="center"/>
            <w:hideMark/>
          </w:tcPr>
          <w:p w14:paraId="464558E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69" w:type="pct"/>
            <w:tcBorders>
              <w:top w:val="nil"/>
              <w:left w:val="nil"/>
              <w:bottom w:val="single" w:sz="4" w:space="0" w:color="auto"/>
              <w:right w:val="single" w:sz="4" w:space="0" w:color="auto"/>
            </w:tcBorders>
            <w:shd w:val="clear" w:color="auto" w:fill="auto"/>
            <w:vAlign w:val="center"/>
            <w:hideMark/>
          </w:tcPr>
          <w:p w14:paraId="6D6F7B0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5C0F3CE4"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1309974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7</w:t>
            </w:r>
          </w:p>
        </w:tc>
        <w:tc>
          <w:tcPr>
            <w:tcW w:w="913" w:type="pct"/>
            <w:tcBorders>
              <w:top w:val="nil"/>
              <w:left w:val="nil"/>
              <w:bottom w:val="single" w:sz="4" w:space="0" w:color="auto"/>
              <w:right w:val="single" w:sz="4" w:space="0" w:color="auto"/>
            </w:tcBorders>
            <w:shd w:val="clear" w:color="auto" w:fill="auto"/>
            <w:vAlign w:val="center"/>
            <w:hideMark/>
          </w:tcPr>
          <w:p w14:paraId="71FDC42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përditësimin e listës së mallrave me përdorim të dyfishtë dhe ushtarak</w:t>
            </w:r>
          </w:p>
        </w:tc>
        <w:tc>
          <w:tcPr>
            <w:tcW w:w="297" w:type="pct"/>
            <w:tcBorders>
              <w:top w:val="nil"/>
              <w:left w:val="nil"/>
              <w:bottom w:val="single" w:sz="4" w:space="0" w:color="auto"/>
              <w:right w:val="single" w:sz="4" w:space="0" w:color="auto"/>
            </w:tcBorders>
            <w:shd w:val="clear" w:color="auto" w:fill="auto"/>
            <w:vAlign w:val="center"/>
            <w:hideMark/>
          </w:tcPr>
          <w:p w14:paraId="2F5AF6F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4FC04F3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1FACF99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w:t>
            </w:r>
          </w:p>
        </w:tc>
        <w:tc>
          <w:tcPr>
            <w:tcW w:w="657" w:type="pct"/>
            <w:tcBorders>
              <w:top w:val="nil"/>
              <w:left w:val="nil"/>
              <w:bottom w:val="single" w:sz="4" w:space="0" w:color="auto"/>
              <w:right w:val="single" w:sz="4" w:space="0" w:color="auto"/>
            </w:tcBorders>
            <w:shd w:val="clear" w:color="auto" w:fill="auto"/>
            <w:vAlign w:val="center"/>
            <w:hideMark/>
          </w:tcPr>
          <w:p w14:paraId="49F0815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Identifikimi dhe përkthimi i ndryshimeve në listën e mallrave me përdorim të dyfishtë të BE-së nga viti 2021.</w:t>
            </w:r>
          </w:p>
        </w:tc>
        <w:tc>
          <w:tcPr>
            <w:tcW w:w="636" w:type="pct"/>
            <w:tcBorders>
              <w:top w:val="nil"/>
              <w:left w:val="nil"/>
              <w:bottom w:val="single" w:sz="4" w:space="0" w:color="auto"/>
              <w:right w:val="single" w:sz="4" w:space="0" w:color="auto"/>
            </w:tcBorders>
            <w:shd w:val="clear" w:color="auto" w:fill="auto"/>
            <w:vAlign w:val="center"/>
            <w:hideMark/>
          </w:tcPr>
          <w:p w14:paraId="2A9F55E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Të pasqyrojë ndryshimet, listat e kontrollit të madhrave ushrarake dhe teknologjive me përdorim të dyfishtë, me qëllim impimentimin e tyre nga AKSHE dhe Doganat si dhe subjektet eksportuese Importuese  </w:t>
            </w:r>
          </w:p>
        </w:tc>
        <w:tc>
          <w:tcPr>
            <w:tcW w:w="304" w:type="pct"/>
            <w:tcBorders>
              <w:top w:val="nil"/>
              <w:left w:val="nil"/>
              <w:bottom w:val="single" w:sz="4" w:space="0" w:color="auto"/>
              <w:right w:val="single" w:sz="4" w:space="0" w:color="auto"/>
            </w:tcBorders>
            <w:shd w:val="clear" w:color="auto" w:fill="auto"/>
            <w:vAlign w:val="center"/>
            <w:hideMark/>
          </w:tcPr>
          <w:p w14:paraId="3DB0451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Kapitulli 30 dhe 31 </w:t>
            </w:r>
          </w:p>
        </w:tc>
        <w:tc>
          <w:tcPr>
            <w:tcW w:w="458" w:type="pct"/>
            <w:tcBorders>
              <w:top w:val="nil"/>
              <w:left w:val="nil"/>
              <w:bottom w:val="single" w:sz="4" w:space="0" w:color="auto"/>
              <w:right w:val="single" w:sz="4" w:space="0" w:color="auto"/>
            </w:tcBorders>
            <w:shd w:val="clear" w:color="auto" w:fill="auto"/>
            <w:noWrap/>
            <w:vAlign w:val="center"/>
            <w:hideMark/>
          </w:tcPr>
          <w:p w14:paraId="2E57044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510" w:type="pct"/>
            <w:tcBorders>
              <w:top w:val="nil"/>
              <w:left w:val="nil"/>
              <w:bottom w:val="single" w:sz="4" w:space="0" w:color="auto"/>
              <w:right w:val="single" w:sz="4" w:space="0" w:color="auto"/>
            </w:tcBorders>
            <w:shd w:val="clear" w:color="auto" w:fill="auto"/>
            <w:vAlign w:val="center"/>
            <w:hideMark/>
          </w:tcPr>
          <w:p w14:paraId="5B4B125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Strategjia e MADM dhe strategjia e armëve të vogla e të lehta</w:t>
            </w:r>
          </w:p>
        </w:tc>
        <w:tc>
          <w:tcPr>
            <w:tcW w:w="469" w:type="pct"/>
            <w:tcBorders>
              <w:top w:val="nil"/>
              <w:left w:val="nil"/>
              <w:bottom w:val="single" w:sz="4" w:space="0" w:color="auto"/>
              <w:right w:val="single" w:sz="4" w:space="0" w:color="auto"/>
            </w:tcBorders>
            <w:shd w:val="clear" w:color="auto" w:fill="auto"/>
            <w:noWrap/>
            <w:vAlign w:val="center"/>
            <w:hideMark/>
          </w:tcPr>
          <w:p w14:paraId="6A0BA6E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r>
      <w:tr w:rsidR="00F81098" w:rsidRPr="00F81098" w14:paraId="4B27CD92"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4F9FE78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8</w:t>
            </w:r>
          </w:p>
        </w:tc>
        <w:tc>
          <w:tcPr>
            <w:tcW w:w="913" w:type="pct"/>
            <w:tcBorders>
              <w:top w:val="nil"/>
              <w:left w:val="nil"/>
              <w:bottom w:val="single" w:sz="4" w:space="0" w:color="auto"/>
              <w:right w:val="single" w:sz="4" w:space="0" w:color="auto"/>
            </w:tcBorders>
            <w:shd w:val="clear" w:color="auto" w:fill="auto"/>
            <w:vAlign w:val="center"/>
            <w:hideMark/>
          </w:tcPr>
          <w:p w14:paraId="4481BA5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dhe ndryshime në Ligjin nr.10435/2011 "Për kërkim shpëtimin  në RSH".</w:t>
            </w:r>
          </w:p>
        </w:tc>
        <w:tc>
          <w:tcPr>
            <w:tcW w:w="297" w:type="pct"/>
            <w:tcBorders>
              <w:top w:val="nil"/>
              <w:left w:val="nil"/>
              <w:bottom w:val="single" w:sz="4" w:space="0" w:color="auto"/>
              <w:right w:val="single" w:sz="4" w:space="0" w:color="auto"/>
            </w:tcBorders>
            <w:shd w:val="clear" w:color="auto" w:fill="auto"/>
            <w:vAlign w:val="center"/>
            <w:hideMark/>
          </w:tcPr>
          <w:p w14:paraId="3FD6CAC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2E2E74C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47430ED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w:t>
            </w:r>
          </w:p>
        </w:tc>
        <w:tc>
          <w:tcPr>
            <w:tcW w:w="657" w:type="pct"/>
            <w:tcBorders>
              <w:top w:val="nil"/>
              <w:left w:val="nil"/>
              <w:bottom w:val="single" w:sz="4" w:space="0" w:color="auto"/>
              <w:right w:val="single" w:sz="4" w:space="0" w:color="auto"/>
            </w:tcBorders>
            <w:shd w:val="clear" w:color="auto" w:fill="auto"/>
            <w:vAlign w:val="center"/>
            <w:hideMark/>
          </w:tcPr>
          <w:p w14:paraId="729D6DC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Përmirësimi i kuadrit ligjor, për çështjet e kërkim shpëtimit </w:t>
            </w:r>
          </w:p>
        </w:tc>
        <w:tc>
          <w:tcPr>
            <w:tcW w:w="636" w:type="pct"/>
            <w:tcBorders>
              <w:top w:val="nil"/>
              <w:left w:val="nil"/>
              <w:bottom w:val="single" w:sz="4" w:space="0" w:color="auto"/>
              <w:right w:val="single" w:sz="4" w:space="0" w:color="auto"/>
            </w:tcBorders>
            <w:shd w:val="clear" w:color="auto" w:fill="auto"/>
            <w:vAlign w:val="center"/>
            <w:hideMark/>
          </w:tcPr>
          <w:p w14:paraId="1C89480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Rishikohen në mënyrë të qartë kompetencat brenda Ministrisë së Mbrojtjes për kërkim-shpëtimin dhe për institucionet e tjera shtetërore, përgjegjëse për çëshjtet e kërkim shpëtimit</w:t>
            </w:r>
          </w:p>
        </w:tc>
        <w:tc>
          <w:tcPr>
            <w:tcW w:w="304" w:type="pct"/>
            <w:tcBorders>
              <w:top w:val="nil"/>
              <w:left w:val="nil"/>
              <w:bottom w:val="single" w:sz="4" w:space="0" w:color="auto"/>
              <w:right w:val="single" w:sz="4" w:space="0" w:color="auto"/>
            </w:tcBorders>
            <w:shd w:val="clear" w:color="auto" w:fill="auto"/>
            <w:vAlign w:val="center"/>
            <w:hideMark/>
          </w:tcPr>
          <w:p w14:paraId="599E162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20C3D00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131130F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158FDD4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412C7BC2"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5106346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9</w:t>
            </w:r>
          </w:p>
        </w:tc>
        <w:tc>
          <w:tcPr>
            <w:tcW w:w="913" w:type="pct"/>
            <w:tcBorders>
              <w:top w:val="nil"/>
              <w:left w:val="nil"/>
              <w:bottom w:val="nil"/>
              <w:right w:val="single" w:sz="4" w:space="0" w:color="auto"/>
            </w:tcBorders>
            <w:shd w:val="clear" w:color="auto" w:fill="auto"/>
            <w:vAlign w:val="center"/>
            <w:hideMark/>
          </w:tcPr>
          <w:p w14:paraId="76152F8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organizimin dhe funksionimin e Frocës Rezerviste në RSH"</w:t>
            </w:r>
          </w:p>
        </w:tc>
        <w:tc>
          <w:tcPr>
            <w:tcW w:w="297" w:type="pct"/>
            <w:tcBorders>
              <w:top w:val="nil"/>
              <w:left w:val="nil"/>
              <w:bottom w:val="single" w:sz="4" w:space="0" w:color="auto"/>
              <w:right w:val="single" w:sz="4" w:space="0" w:color="auto"/>
            </w:tcBorders>
            <w:shd w:val="clear" w:color="auto" w:fill="auto"/>
            <w:vAlign w:val="center"/>
            <w:hideMark/>
          </w:tcPr>
          <w:p w14:paraId="25CC4AC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295D386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784A13F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w:t>
            </w:r>
          </w:p>
        </w:tc>
        <w:tc>
          <w:tcPr>
            <w:tcW w:w="657" w:type="pct"/>
            <w:tcBorders>
              <w:top w:val="nil"/>
              <w:left w:val="nil"/>
              <w:bottom w:val="single" w:sz="4" w:space="0" w:color="auto"/>
              <w:right w:val="single" w:sz="4" w:space="0" w:color="auto"/>
            </w:tcBorders>
            <w:shd w:val="clear" w:color="auto" w:fill="auto"/>
            <w:vAlign w:val="center"/>
            <w:hideMark/>
          </w:tcPr>
          <w:p w14:paraId="4CED0CA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Krijimi I forcës rezerviste në Republikën e Shqipërisë</w:t>
            </w:r>
          </w:p>
        </w:tc>
        <w:tc>
          <w:tcPr>
            <w:tcW w:w="636" w:type="pct"/>
            <w:tcBorders>
              <w:top w:val="nil"/>
              <w:left w:val="nil"/>
              <w:bottom w:val="single" w:sz="4" w:space="0" w:color="auto"/>
              <w:right w:val="single" w:sz="4" w:space="0" w:color="auto"/>
            </w:tcBorders>
            <w:shd w:val="clear" w:color="auto" w:fill="auto"/>
            <w:vAlign w:val="center"/>
            <w:hideMark/>
          </w:tcPr>
          <w:p w14:paraId="3D0B2A6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vendosja e bazës ligjore dhe zgjidhja e çështjeve ligjore për krijimin e forcës rezerviste</w:t>
            </w:r>
          </w:p>
        </w:tc>
        <w:tc>
          <w:tcPr>
            <w:tcW w:w="304" w:type="pct"/>
            <w:tcBorders>
              <w:top w:val="nil"/>
              <w:left w:val="nil"/>
              <w:bottom w:val="single" w:sz="4" w:space="0" w:color="auto"/>
              <w:right w:val="single" w:sz="4" w:space="0" w:color="auto"/>
            </w:tcBorders>
            <w:shd w:val="clear" w:color="auto" w:fill="auto"/>
            <w:vAlign w:val="center"/>
            <w:hideMark/>
          </w:tcPr>
          <w:p w14:paraId="7065783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7FC0EF6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27AD292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Strategjinë e Sigurisë Kombetare</w:t>
            </w:r>
          </w:p>
        </w:tc>
        <w:tc>
          <w:tcPr>
            <w:tcW w:w="469" w:type="pct"/>
            <w:tcBorders>
              <w:top w:val="nil"/>
              <w:left w:val="nil"/>
              <w:bottom w:val="single" w:sz="4" w:space="0" w:color="auto"/>
              <w:right w:val="single" w:sz="4" w:space="0" w:color="auto"/>
            </w:tcBorders>
            <w:shd w:val="clear" w:color="auto" w:fill="auto"/>
            <w:vAlign w:val="center"/>
            <w:hideMark/>
          </w:tcPr>
          <w:p w14:paraId="39104B7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5F0FF4F2"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6294A5A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10</w:t>
            </w:r>
          </w:p>
        </w:tc>
        <w:tc>
          <w:tcPr>
            <w:tcW w:w="913" w:type="pct"/>
            <w:tcBorders>
              <w:top w:val="single" w:sz="4" w:space="0" w:color="auto"/>
              <w:left w:val="nil"/>
              <w:bottom w:val="single" w:sz="4" w:space="0" w:color="auto"/>
              <w:right w:val="single" w:sz="4" w:space="0" w:color="auto"/>
            </w:tcBorders>
            <w:shd w:val="clear" w:color="auto" w:fill="auto"/>
            <w:vAlign w:val="center"/>
            <w:hideMark/>
          </w:tcPr>
          <w:p w14:paraId="7BA3F23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 Për disa shtesa dhe ndryshime në VKM nr. 17, date 13.01.2006, "Për miratimin e afateve të përdorimit të armëve, teknikës e të pajisjeve të FA dhe të rregullave për trajtimin e tyre pas heqjes nga përdorimi" i ndryshuar </w:t>
            </w:r>
          </w:p>
        </w:tc>
        <w:tc>
          <w:tcPr>
            <w:tcW w:w="297" w:type="pct"/>
            <w:tcBorders>
              <w:top w:val="nil"/>
              <w:left w:val="nil"/>
              <w:bottom w:val="single" w:sz="4" w:space="0" w:color="auto"/>
              <w:right w:val="single" w:sz="4" w:space="0" w:color="auto"/>
            </w:tcBorders>
            <w:shd w:val="clear" w:color="auto" w:fill="auto"/>
            <w:vAlign w:val="center"/>
            <w:hideMark/>
          </w:tcPr>
          <w:p w14:paraId="5B91616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7351C83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237BAB9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w:t>
            </w:r>
          </w:p>
        </w:tc>
        <w:tc>
          <w:tcPr>
            <w:tcW w:w="657" w:type="pct"/>
            <w:tcBorders>
              <w:top w:val="nil"/>
              <w:left w:val="nil"/>
              <w:bottom w:val="single" w:sz="4" w:space="0" w:color="auto"/>
              <w:right w:val="single" w:sz="4" w:space="0" w:color="auto"/>
            </w:tcBorders>
            <w:shd w:val="clear" w:color="auto" w:fill="auto"/>
            <w:vAlign w:val="center"/>
            <w:hideMark/>
          </w:tcPr>
          <w:p w14:paraId="5A73B61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 shkak të ndryshimit të afatevetë armatimeve të reja në FARSH </w:t>
            </w:r>
          </w:p>
        </w:tc>
        <w:tc>
          <w:tcPr>
            <w:tcW w:w="636" w:type="pct"/>
            <w:tcBorders>
              <w:top w:val="nil"/>
              <w:left w:val="nil"/>
              <w:bottom w:val="single" w:sz="4" w:space="0" w:color="auto"/>
              <w:right w:val="single" w:sz="4" w:space="0" w:color="auto"/>
            </w:tcBorders>
            <w:shd w:val="clear" w:color="auto" w:fill="auto"/>
            <w:vAlign w:val="center"/>
            <w:hideMark/>
          </w:tcPr>
          <w:p w14:paraId="241EA86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Përditësimi i afateve të përdorimit të armatimeve dhe teknikës së paisjeve në FA</w:t>
            </w:r>
          </w:p>
        </w:tc>
        <w:tc>
          <w:tcPr>
            <w:tcW w:w="304" w:type="pct"/>
            <w:tcBorders>
              <w:top w:val="nil"/>
              <w:left w:val="nil"/>
              <w:bottom w:val="single" w:sz="4" w:space="0" w:color="auto"/>
              <w:right w:val="single" w:sz="4" w:space="0" w:color="auto"/>
            </w:tcBorders>
            <w:shd w:val="clear" w:color="auto" w:fill="auto"/>
            <w:vAlign w:val="center"/>
            <w:hideMark/>
          </w:tcPr>
          <w:p w14:paraId="472FCC9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0FC88DC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1BF3EBB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77A70FA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11C3B2A9"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0234D73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11</w:t>
            </w:r>
          </w:p>
        </w:tc>
        <w:tc>
          <w:tcPr>
            <w:tcW w:w="913" w:type="pct"/>
            <w:tcBorders>
              <w:top w:val="nil"/>
              <w:left w:val="nil"/>
              <w:bottom w:val="single" w:sz="4" w:space="0" w:color="auto"/>
              <w:right w:val="single" w:sz="4" w:space="0" w:color="auto"/>
            </w:tcBorders>
            <w:shd w:val="clear" w:color="auto" w:fill="auto"/>
            <w:vAlign w:val="center"/>
            <w:hideMark/>
          </w:tcPr>
          <w:p w14:paraId="402FF5C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 disa shtesa dhe ndryshime në VKM nr. 194/2015, "Për njesimin e gradave ushtarake me funksionet organike në FARSH" </w:t>
            </w:r>
          </w:p>
        </w:tc>
        <w:tc>
          <w:tcPr>
            <w:tcW w:w="297" w:type="pct"/>
            <w:tcBorders>
              <w:top w:val="nil"/>
              <w:left w:val="nil"/>
              <w:bottom w:val="single" w:sz="4" w:space="0" w:color="auto"/>
              <w:right w:val="single" w:sz="4" w:space="0" w:color="auto"/>
            </w:tcBorders>
            <w:shd w:val="clear" w:color="auto" w:fill="auto"/>
            <w:vAlign w:val="center"/>
            <w:hideMark/>
          </w:tcPr>
          <w:p w14:paraId="0AF5772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05E87D5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431E381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w:t>
            </w:r>
          </w:p>
        </w:tc>
        <w:tc>
          <w:tcPr>
            <w:tcW w:w="657" w:type="pct"/>
            <w:tcBorders>
              <w:top w:val="nil"/>
              <w:left w:val="nil"/>
              <w:bottom w:val="single" w:sz="4" w:space="0" w:color="auto"/>
              <w:right w:val="single" w:sz="4" w:space="0" w:color="auto"/>
            </w:tcBorders>
            <w:shd w:val="clear" w:color="auto" w:fill="auto"/>
            <w:vAlign w:val="center"/>
            <w:hideMark/>
          </w:tcPr>
          <w:p w14:paraId="795ACC5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Njësimi i Gradave ushtarake më funksionet organike</w:t>
            </w:r>
          </w:p>
        </w:tc>
        <w:tc>
          <w:tcPr>
            <w:tcW w:w="636" w:type="pct"/>
            <w:tcBorders>
              <w:top w:val="nil"/>
              <w:left w:val="nil"/>
              <w:bottom w:val="single" w:sz="4" w:space="0" w:color="auto"/>
              <w:right w:val="single" w:sz="4" w:space="0" w:color="auto"/>
            </w:tcBorders>
            <w:shd w:val="clear" w:color="auto" w:fill="auto"/>
            <w:vAlign w:val="center"/>
            <w:hideMark/>
          </w:tcPr>
          <w:p w14:paraId="2B5E9E8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Njësimi i Gradave ushtarake më funksionet organike për çdo pozicion/funksion në strukturat e FA</w:t>
            </w:r>
          </w:p>
        </w:tc>
        <w:tc>
          <w:tcPr>
            <w:tcW w:w="304" w:type="pct"/>
            <w:tcBorders>
              <w:top w:val="nil"/>
              <w:left w:val="nil"/>
              <w:bottom w:val="single" w:sz="4" w:space="0" w:color="auto"/>
              <w:right w:val="single" w:sz="4" w:space="0" w:color="auto"/>
            </w:tcBorders>
            <w:shd w:val="clear" w:color="auto" w:fill="auto"/>
            <w:vAlign w:val="center"/>
            <w:hideMark/>
          </w:tcPr>
          <w:p w14:paraId="67F417A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1A3D2D0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37F43B1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2F8B658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5FDE9676"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1BA9A81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12</w:t>
            </w:r>
          </w:p>
        </w:tc>
        <w:tc>
          <w:tcPr>
            <w:tcW w:w="913" w:type="pct"/>
            <w:tcBorders>
              <w:top w:val="nil"/>
              <w:left w:val="nil"/>
              <w:bottom w:val="single" w:sz="4" w:space="0" w:color="auto"/>
              <w:right w:val="single" w:sz="4" w:space="0" w:color="auto"/>
            </w:tcBorders>
            <w:shd w:val="clear" w:color="auto" w:fill="auto"/>
            <w:vAlign w:val="center"/>
            <w:hideMark/>
          </w:tcPr>
          <w:p w14:paraId="56A2DBD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 "Per miratimin e modeleve standarde të autorizimeve, tarifave te</w:t>
            </w:r>
            <w:r w:rsidRPr="00F81098">
              <w:rPr>
                <w:rFonts w:ascii="Arial" w:eastAsia="Times New Roman" w:hAnsi="Arial" w:cs="Arial"/>
                <w:color w:val="000000"/>
                <w:sz w:val="12"/>
                <w:szCs w:val="12"/>
                <w:bdr w:val="none" w:sz="0" w:space="0" w:color="auto"/>
              </w:rPr>
              <w:br/>
              <w:t>autorizimeve, formateve te kërkesave për këto dokumente, afatet dhe procedurat për lëshimin e autorizimeve"</w:t>
            </w:r>
          </w:p>
        </w:tc>
        <w:tc>
          <w:tcPr>
            <w:tcW w:w="297" w:type="pct"/>
            <w:tcBorders>
              <w:top w:val="nil"/>
              <w:left w:val="nil"/>
              <w:bottom w:val="single" w:sz="4" w:space="0" w:color="auto"/>
              <w:right w:val="single" w:sz="4" w:space="0" w:color="auto"/>
            </w:tcBorders>
            <w:shd w:val="clear" w:color="auto" w:fill="auto"/>
            <w:vAlign w:val="center"/>
            <w:hideMark/>
          </w:tcPr>
          <w:p w14:paraId="40D7A9C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2C98403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67E4FF9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w:t>
            </w:r>
          </w:p>
        </w:tc>
        <w:tc>
          <w:tcPr>
            <w:tcW w:w="657" w:type="pct"/>
            <w:tcBorders>
              <w:top w:val="nil"/>
              <w:left w:val="nil"/>
              <w:bottom w:val="single" w:sz="4" w:space="0" w:color="auto"/>
              <w:right w:val="single" w:sz="4" w:space="0" w:color="auto"/>
            </w:tcBorders>
            <w:shd w:val="clear" w:color="auto" w:fill="auto"/>
            <w:vAlign w:val="center"/>
            <w:hideMark/>
          </w:tcPr>
          <w:p w14:paraId="572DE36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Ligj nr. 27/2023 “Për kontrollin e tregtimit të produkteve që mund të përdoren për dënime me vdekje, torturë ose dënime apo trajtime mizore, çnjerëzore ose poshtëruese”</w:t>
            </w:r>
          </w:p>
        </w:tc>
        <w:tc>
          <w:tcPr>
            <w:tcW w:w="636" w:type="pct"/>
            <w:tcBorders>
              <w:top w:val="nil"/>
              <w:left w:val="nil"/>
              <w:bottom w:val="single" w:sz="4" w:space="0" w:color="auto"/>
              <w:right w:val="single" w:sz="4" w:space="0" w:color="auto"/>
            </w:tcBorders>
            <w:shd w:val="clear" w:color="auto" w:fill="auto"/>
            <w:vAlign w:val="center"/>
            <w:hideMark/>
          </w:tcPr>
          <w:p w14:paraId="1679ABF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 Miratimin e modeleve standarde të autorizimeve, tarifave te</w:t>
            </w:r>
            <w:r w:rsidRPr="00F81098">
              <w:rPr>
                <w:rFonts w:ascii="Arial" w:eastAsia="Times New Roman" w:hAnsi="Arial" w:cs="Arial"/>
                <w:color w:val="000000"/>
                <w:sz w:val="12"/>
                <w:szCs w:val="12"/>
                <w:bdr w:val="none" w:sz="0" w:space="0" w:color="auto"/>
              </w:rPr>
              <w:br/>
              <w:t>autorizimeve, formateve te kërkesave për këto dokumente, afatet dhe procedurat për lëshimin e autorizimeve</w:t>
            </w:r>
          </w:p>
        </w:tc>
        <w:tc>
          <w:tcPr>
            <w:tcW w:w="304" w:type="pct"/>
            <w:tcBorders>
              <w:top w:val="nil"/>
              <w:left w:val="nil"/>
              <w:bottom w:val="single" w:sz="4" w:space="0" w:color="auto"/>
              <w:right w:val="single" w:sz="4" w:space="0" w:color="auto"/>
            </w:tcBorders>
            <w:shd w:val="clear" w:color="auto" w:fill="auto"/>
            <w:vAlign w:val="center"/>
            <w:hideMark/>
          </w:tcPr>
          <w:p w14:paraId="54C678B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5D11225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510" w:type="pct"/>
            <w:tcBorders>
              <w:top w:val="nil"/>
              <w:left w:val="nil"/>
              <w:bottom w:val="single" w:sz="4" w:space="0" w:color="auto"/>
              <w:right w:val="single" w:sz="4" w:space="0" w:color="auto"/>
            </w:tcBorders>
            <w:shd w:val="clear" w:color="auto" w:fill="auto"/>
            <w:vAlign w:val="center"/>
            <w:hideMark/>
          </w:tcPr>
          <w:p w14:paraId="755EA5F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69" w:type="pct"/>
            <w:tcBorders>
              <w:top w:val="nil"/>
              <w:left w:val="nil"/>
              <w:bottom w:val="single" w:sz="4" w:space="0" w:color="auto"/>
              <w:right w:val="single" w:sz="4" w:space="0" w:color="auto"/>
            </w:tcBorders>
            <w:shd w:val="clear" w:color="auto" w:fill="auto"/>
            <w:vAlign w:val="center"/>
            <w:hideMark/>
          </w:tcPr>
          <w:p w14:paraId="4B10D59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r>
      <w:tr w:rsidR="00F81098" w:rsidRPr="00F81098" w14:paraId="7C8E57A8"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793F04D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13</w:t>
            </w:r>
          </w:p>
        </w:tc>
        <w:tc>
          <w:tcPr>
            <w:tcW w:w="913" w:type="pct"/>
            <w:tcBorders>
              <w:top w:val="nil"/>
              <w:left w:val="nil"/>
              <w:bottom w:val="single" w:sz="4" w:space="0" w:color="auto"/>
              <w:right w:val="single" w:sz="4" w:space="0" w:color="auto"/>
            </w:tcBorders>
            <w:shd w:val="clear" w:color="auto" w:fill="auto"/>
            <w:vAlign w:val="center"/>
            <w:hideMark/>
          </w:tcPr>
          <w:p w14:paraId="01A942A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dhe ndryshime në 64/2014 "Për pushtetet dhe autoritetet e drejtimit e të komandimit të FARSH" i ndryshuar</w:t>
            </w:r>
          </w:p>
        </w:tc>
        <w:tc>
          <w:tcPr>
            <w:tcW w:w="297" w:type="pct"/>
            <w:tcBorders>
              <w:top w:val="nil"/>
              <w:left w:val="nil"/>
              <w:bottom w:val="single" w:sz="4" w:space="0" w:color="auto"/>
              <w:right w:val="single" w:sz="4" w:space="0" w:color="auto"/>
            </w:tcBorders>
            <w:shd w:val="clear" w:color="auto" w:fill="auto"/>
            <w:vAlign w:val="center"/>
            <w:hideMark/>
          </w:tcPr>
          <w:p w14:paraId="556F1AC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2263CFF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6A2D089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5CAFAA5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Përmirësimin e ligjit nr. 64/2014 “Për pushtetet dhe autoritetet e drejtimit e të komandimit të Forcave të Armatosura të Republikës së Shqipërisë”, të ndryshuar,</w:t>
            </w:r>
          </w:p>
        </w:tc>
        <w:tc>
          <w:tcPr>
            <w:tcW w:w="636" w:type="pct"/>
            <w:tcBorders>
              <w:top w:val="nil"/>
              <w:left w:val="nil"/>
              <w:bottom w:val="nil"/>
              <w:right w:val="nil"/>
            </w:tcBorders>
            <w:shd w:val="clear" w:color="auto" w:fill="auto"/>
            <w:vAlign w:val="center"/>
            <w:hideMark/>
          </w:tcPr>
          <w:p w14:paraId="5A261CB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Rishikohen disa kompetenca të Ministrit të Mbrojtjes, për ushtarakët e Forcave të Armatosura. rishikohen disa kompetenca të Shefit të Shtabit të Shtabit të Përgjithshëm të Forcave të Armatosura. </w:t>
            </w:r>
          </w:p>
        </w:tc>
        <w:tc>
          <w:tcPr>
            <w:tcW w:w="304" w:type="pct"/>
            <w:tcBorders>
              <w:top w:val="nil"/>
              <w:left w:val="single" w:sz="4" w:space="0" w:color="auto"/>
              <w:bottom w:val="single" w:sz="4" w:space="0" w:color="auto"/>
              <w:right w:val="single" w:sz="4" w:space="0" w:color="auto"/>
            </w:tcBorders>
            <w:shd w:val="clear" w:color="auto" w:fill="auto"/>
            <w:vAlign w:val="center"/>
            <w:hideMark/>
          </w:tcPr>
          <w:p w14:paraId="0327E41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2C66BAE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nil"/>
              <w:right w:val="nil"/>
            </w:tcBorders>
            <w:shd w:val="clear" w:color="auto" w:fill="auto"/>
            <w:vAlign w:val="center"/>
            <w:hideMark/>
          </w:tcPr>
          <w:p w14:paraId="7C1DC4C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Strategjinë e Sigurisë Kombetare</w:t>
            </w:r>
          </w:p>
        </w:tc>
        <w:tc>
          <w:tcPr>
            <w:tcW w:w="469" w:type="pct"/>
            <w:tcBorders>
              <w:top w:val="nil"/>
              <w:left w:val="single" w:sz="4" w:space="0" w:color="auto"/>
              <w:bottom w:val="single" w:sz="4" w:space="0" w:color="auto"/>
              <w:right w:val="single" w:sz="4" w:space="0" w:color="auto"/>
            </w:tcBorders>
            <w:shd w:val="clear" w:color="auto" w:fill="auto"/>
            <w:vAlign w:val="center"/>
            <w:hideMark/>
          </w:tcPr>
          <w:p w14:paraId="1D12FD5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2E8CB457"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7BC5D2C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14</w:t>
            </w:r>
          </w:p>
        </w:tc>
        <w:tc>
          <w:tcPr>
            <w:tcW w:w="913" w:type="pct"/>
            <w:tcBorders>
              <w:top w:val="nil"/>
              <w:left w:val="nil"/>
              <w:bottom w:val="single" w:sz="4" w:space="0" w:color="auto"/>
              <w:right w:val="single" w:sz="4" w:space="0" w:color="auto"/>
            </w:tcBorders>
            <w:shd w:val="clear" w:color="auto" w:fill="auto"/>
            <w:vAlign w:val="center"/>
            <w:hideMark/>
          </w:tcPr>
          <w:p w14:paraId="6F34C53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  Për disa shtesa dhe ndryshime në ligjin nr.9210/2004, "Për statusin e ushtarakut të FARSH"</w:t>
            </w:r>
          </w:p>
        </w:tc>
        <w:tc>
          <w:tcPr>
            <w:tcW w:w="297" w:type="pct"/>
            <w:tcBorders>
              <w:top w:val="nil"/>
              <w:left w:val="nil"/>
              <w:bottom w:val="single" w:sz="4" w:space="0" w:color="auto"/>
              <w:right w:val="single" w:sz="4" w:space="0" w:color="auto"/>
            </w:tcBorders>
            <w:shd w:val="clear" w:color="auto" w:fill="auto"/>
            <w:vAlign w:val="center"/>
            <w:hideMark/>
          </w:tcPr>
          <w:p w14:paraId="567F62A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6FF8114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1ABCD47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592FF89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Përmirësimin e ligjit nr. 9210, datë 23.03.2004 “Për statusin e ushtarakut të Forcave të Armatosura”, i ndryshuar, duke plotësuar disa mangësi që janë evidentuar ndër vite, gjatë zbatimit të tij</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2061133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Rishikohen përfitimet e ushtarakëve nga statusi, si dhe rregullime të tjera teknike</w:t>
            </w:r>
          </w:p>
        </w:tc>
        <w:tc>
          <w:tcPr>
            <w:tcW w:w="304" w:type="pct"/>
            <w:tcBorders>
              <w:top w:val="nil"/>
              <w:left w:val="nil"/>
              <w:bottom w:val="single" w:sz="4" w:space="0" w:color="auto"/>
              <w:right w:val="single" w:sz="4" w:space="0" w:color="auto"/>
            </w:tcBorders>
            <w:shd w:val="clear" w:color="auto" w:fill="auto"/>
            <w:vAlign w:val="center"/>
            <w:hideMark/>
          </w:tcPr>
          <w:p w14:paraId="472A4A8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3C7A871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single" w:sz="4" w:space="0" w:color="auto"/>
              <w:left w:val="nil"/>
              <w:bottom w:val="single" w:sz="4" w:space="0" w:color="auto"/>
              <w:right w:val="single" w:sz="4" w:space="0" w:color="auto"/>
            </w:tcBorders>
            <w:shd w:val="clear" w:color="auto" w:fill="auto"/>
            <w:vAlign w:val="center"/>
            <w:hideMark/>
          </w:tcPr>
          <w:p w14:paraId="439E74D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30F47DD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740B95BA"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66EF448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15</w:t>
            </w:r>
          </w:p>
        </w:tc>
        <w:tc>
          <w:tcPr>
            <w:tcW w:w="913" w:type="pct"/>
            <w:tcBorders>
              <w:top w:val="nil"/>
              <w:left w:val="nil"/>
              <w:bottom w:val="single" w:sz="4" w:space="0" w:color="auto"/>
              <w:right w:val="single" w:sz="4" w:space="0" w:color="auto"/>
            </w:tcBorders>
            <w:shd w:val="clear" w:color="auto" w:fill="auto"/>
            <w:vAlign w:val="center"/>
            <w:hideMark/>
          </w:tcPr>
          <w:p w14:paraId="0424972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 disa ndryshime në ligjin nr.9900/2008 "Për rezervat materiale të shtetit" I ndryshuar </w:t>
            </w:r>
          </w:p>
        </w:tc>
        <w:tc>
          <w:tcPr>
            <w:tcW w:w="297" w:type="pct"/>
            <w:tcBorders>
              <w:top w:val="nil"/>
              <w:left w:val="nil"/>
              <w:bottom w:val="single" w:sz="4" w:space="0" w:color="auto"/>
              <w:right w:val="single" w:sz="4" w:space="0" w:color="auto"/>
            </w:tcBorders>
            <w:shd w:val="clear" w:color="auto" w:fill="auto"/>
            <w:vAlign w:val="center"/>
            <w:hideMark/>
          </w:tcPr>
          <w:p w14:paraId="0AC6ADA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030078E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442BB16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5B40A03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Rekomandime te KLSH</w:t>
            </w:r>
          </w:p>
        </w:tc>
        <w:tc>
          <w:tcPr>
            <w:tcW w:w="636" w:type="pct"/>
            <w:tcBorders>
              <w:top w:val="nil"/>
              <w:left w:val="nil"/>
              <w:bottom w:val="single" w:sz="4" w:space="0" w:color="auto"/>
              <w:right w:val="single" w:sz="4" w:space="0" w:color="auto"/>
            </w:tcBorders>
            <w:shd w:val="clear" w:color="auto" w:fill="auto"/>
            <w:vAlign w:val="center"/>
            <w:hideMark/>
          </w:tcPr>
          <w:p w14:paraId="594E735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Përmirësimin e mënyrave për ndërhyrje operative për mbështetjen e popullsisë, të ekonomisë dhe mbrojtjes së vendit në situata të gjendjes së jashtëzakonëshme dhe të mbrojtjes civile  </w:t>
            </w:r>
          </w:p>
        </w:tc>
        <w:tc>
          <w:tcPr>
            <w:tcW w:w="304" w:type="pct"/>
            <w:tcBorders>
              <w:top w:val="nil"/>
              <w:left w:val="nil"/>
              <w:bottom w:val="single" w:sz="4" w:space="0" w:color="auto"/>
              <w:right w:val="single" w:sz="4" w:space="0" w:color="auto"/>
            </w:tcBorders>
            <w:shd w:val="clear" w:color="auto" w:fill="auto"/>
            <w:vAlign w:val="center"/>
            <w:hideMark/>
          </w:tcPr>
          <w:p w14:paraId="31AC580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3BBADD7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nil"/>
              <w:right w:val="nil"/>
            </w:tcBorders>
            <w:shd w:val="clear" w:color="auto" w:fill="auto"/>
            <w:vAlign w:val="center"/>
            <w:hideMark/>
          </w:tcPr>
          <w:p w14:paraId="0ACDEF0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Strategjinë e Sigurisë Kombetare</w:t>
            </w:r>
          </w:p>
        </w:tc>
        <w:tc>
          <w:tcPr>
            <w:tcW w:w="469" w:type="pct"/>
            <w:tcBorders>
              <w:top w:val="nil"/>
              <w:left w:val="single" w:sz="4" w:space="0" w:color="auto"/>
              <w:bottom w:val="single" w:sz="4" w:space="0" w:color="auto"/>
              <w:right w:val="single" w:sz="4" w:space="0" w:color="auto"/>
            </w:tcBorders>
            <w:shd w:val="clear" w:color="auto" w:fill="auto"/>
            <w:vAlign w:val="center"/>
            <w:hideMark/>
          </w:tcPr>
          <w:p w14:paraId="195885A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52CC1DB8"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7B7C06C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16</w:t>
            </w:r>
          </w:p>
        </w:tc>
        <w:tc>
          <w:tcPr>
            <w:tcW w:w="913" w:type="pct"/>
            <w:tcBorders>
              <w:top w:val="nil"/>
              <w:left w:val="nil"/>
              <w:bottom w:val="single" w:sz="4" w:space="0" w:color="auto"/>
              <w:right w:val="single" w:sz="4" w:space="0" w:color="auto"/>
            </w:tcBorders>
            <w:shd w:val="clear" w:color="auto" w:fill="auto"/>
            <w:vAlign w:val="center"/>
            <w:hideMark/>
          </w:tcPr>
          <w:p w14:paraId="601C735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 Për disa shtesa dhe ndryshime në ligjin nr.173/2014 "Per disiplinën në Forcat e Armatosura të Republikës së Shqipërisë" i ndryshuar     </w:t>
            </w:r>
          </w:p>
        </w:tc>
        <w:tc>
          <w:tcPr>
            <w:tcW w:w="297" w:type="pct"/>
            <w:tcBorders>
              <w:top w:val="nil"/>
              <w:left w:val="nil"/>
              <w:bottom w:val="single" w:sz="4" w:space="0" w:color="auto"/>
              <w:right w:val="single" w:sz="4" w:space="0" w:color="auto"/>
            </w:tcBorders>
            <w:shd w:val="clear" w:color="auto" w:fill="auto"/>
            <w:vAlign w:val="center"/>
            <w:hideMark/>
          </w:tcPr>
          <w:p w14:paraId="3E814D8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0188497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6476A1F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3630246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Përqasja me Kodin e procedurave Administrative dhe disa ndryshime të tjera teknik</w:t>
            </w:r>
          </w:p>
        </w:tc>
        <w:tc>
          <w:tcPr>
            <w:tcW w:w="636" w:type="pct"/>
            <w:tcBorders>
              <w:top w:val="nil"/>
              <w:left w:val="nil"/>
              <w:bottom w:val="single" w:sz="4" w:space="0" w:color="auto"/>
              <w:right w:val="single" w:sz="4" w:space="0" w:color="auto"/>
            </w:tcBorders>
            <w:shd w:val="clear" w:color="auto" w:fill="auto"/>
            <w:vAlign w:val="center"/>
            <w:hideMark/>
          </w:tcPr>
          <w:p w14:paraId="6FF12DA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Përqasje me KPAdhe disa ndryshime të tjera teknike</w:t>
            </w:r>
          </w:p>
        </w:tc>
        <w:tc>
          <w:tcPr>
            <w:tcW w:w="304" w:type="pct"/>
            <w:tcBorders>
              <w:top w:val="nil"/>
              <w:left w:val="nil"/>
              <w:bottom w:val="single" w:sz="4" w:space="0" w:color="auto"/>
              <w:right w:val="single" w:sz="4" w:space="0" w:color="auto"/>
            </w:tcBorders>
            <w:shd w:val="clear" w:color="auto" w:fill="auto"/>
            <w:vAlign w:val="center"/>
            <w:hideMark/>
          </w:tcPr>
          <w:p w14:paraId="127230C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41C5D73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single" w:sz="4" w:space="0" w:color="auto"/>
              <w:left w:val="nil"/>
              <w:bottom w:val="single" w:sz="4" w:space="0" w:color="auto"/>
              <w:right w:val="single" w:sz="4" w:space="0" w:color="auto"/>
            </w:tcBorders>
            <w:shd w:val="clear" w:color="auto" w:fill="auto"/>
            <w:vAlign w:val="center"/>
            <w:hideMark/>
          </w:tcPr>
          <w:p w14:paraId="5DDD8D0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1777322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r>
      <w:tr w:rsidR="00F81098" w:rsidRPr="00F81098" w14:paraId="1F9276F9"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7B9CF8F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17</w:t>
            </w:r>
          </w:p>
        </w:tc>
        <w:tc>
          <w:tcPr>
            <w:tcW w:w="913" w:type="pct"/>
            <w:tcBorders>
              <w:top w:val="nil"/>
              <w:left w:val="nil"/>
              <w:bottom w:val="single" w:sz="4" w:space="0" w:color="auto"/>
              <w:right w:val="single" w:sz="4" w:space="0" w:color="auto"/>
            </w:tcBorders>
            <w:shd w:val="clear" w:color="auto" w:fill="auto"/>
            <w:vAlign w:val="center"/>
            <w:hideMark/>
          </w:tcPr>
          <w:p w14:paraId="5008868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dhe ndryshime në ligjin nr. 45/2019, "Per mbrojtjen civile"</w:t>
            </w:r>
          </w:p>
        </w:tc>
        <w:tc>
          <w:tcPr>
            <w:tcW w:w="297" w:type="pct"/>
            <w:tcBorders>
              <w:top w:val="nil"/>
              <w:left w:val="nil"/>
              <w:bottom w:val="single" w:sz="4" w:space="0" w:color="auto"/>
              <w:right w:val="single" w:sz="4" w:space="0" w:color="auto"/>
            </w:tcBorders>
            <w:shd w:val="clear" w:color="auto" w:fill="auto"/>
            <w:vAlign w:val="center"/>
            <w:hideMark/>
          </w:tcPr>
          <w:p w14:paraId="721ED99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248F48A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27E423B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nil"/>
              <w:right w:val="nil"/>
            </w:tcBorders>
            <w:shd w:val="clear" w:color="auto" w:fill="auto"/>
            <w:vAlign w:val="center"/>
            <w:hideMark/>
          </w:tcPr>
          <w:p w14:paraId="763BCC0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Përmisimin e funksionimit të sistemit të mbrojtjes civile.</w:t>
            </w:r>
          </w:p>
        </w:tc>
        <w:tc>
          <w:tcPr>
            <w:tcW w:w="636" w:type="pct"/>
            <w:tcBorders>
              <w:top w:val="nil"/>
              <w:left w:val="nil"/>
              <w:bottom w:val="nil"/>
              <w:right w:val="nil"/>
            </w:tcBorders>
            <w:shd w:val="clear" w:color="auto" w:fill="auto"/>
            <w:vAlign w:val="center"/>
            <w:hideMark/>
          </w:tcPr>
          <w:p w14:paraId="6F0FBFA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Projektakti është akoma në fazë diskutimi nga grupi i punës.</w:t>
            </w:r>
          </w:p>
        </w:tc>
        <w:tc>
          <w:tcPr>
            <w:tcW w:w="304" w:type="pct"/>
            <w:tcBorders>
              <w:top w:val="nil"/>
              <w:left w:val="single" w:sz="4" w:space="0" w:color="auto"/>
              <w:bottom w:val="single" w:sz="4" w:space="0" w:color="auto"/>
              <w:right w:val="single" w:sz="4" w:space="0" w:color="auto"/>
            </w:tcBorders>
            <w:shd w:val="clear" w:color="auto" w:fill="auto"/>
            <w:vAlign w:val="center"/>
            <w:hideMark/>
          </w:tcPr>
          <w:p w14:paraId="4A3834A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69497D9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4363817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5B6A7EE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70F91FC1"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50EB044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18</w:t>
            </w:r>
          </w:p>
        </w:tc>
        <w:tc>
          <w:tcPr>
            <w:tcW w:w="913" w:type="pct"/>
            <w:tcBorders>
              <w:top w:val="nil"/>
              <w:left w:val="nil"/>
              <w:bottom w:val="single" w:sz="4" w:space="0" w:color="auto"/>
              <w:right w:val="single" w:sz="4" w:space="0" w:color="auto"/>
            </w:tcBorders>
            <w:shd w:val="clear" w:color="auto" w:fill="auto"/>
            <w:vAlign w:val="center"/>
            <w:hideMark/>
          </w:tcPr>
          <w:p w14:paraId="630EE44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miratimin e Strategjise Ushtarake</w:t>
            </w:r>
          </w:p>
        </w:tc>
        <w:tc>
          <w:tcPr>
            <w:tcW w:w="297" w:type="pct"/>
            <w:tcBorders>
              <w:top w:val="nil"/>
              <w:left w:val="nil"/>
              <w:bottom w:val="single" w:sz="4" w:space="0" w:color="auto"/>
              <w:right w:val="single" w:sz="4" w:space="0" w:color="auto"/>
            </w:tcBorders>
            <w:shd w:val="clear" w:color="auto" w:fill="auto"/>
            <w:vAlign w:val="center"/>
            <w:hideMark/>
          </w:tcPr>
          <w:p w14:paraId="4D57D67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Projektligj</w:t>
            </w:r>
          </w:p>
        </w:tc>
        <w:tc>
          <w:tcPr>
            <w:tcW w:w="371" w:type="pct"/>
            <w:tcBorders>
              <w:top w:val="nil"/>
              <w:left w:val="nil"/>
              <w:bottom w:val="single" w:sz="4" w:space="0" w:color="auto"/>
              <w:right w:val="single" w:sz="4" w:space="0" w:color="auto"/>
            </w:tcBorders>
            <w:shd w:val="clear" w:color="auto" w:fill="auto"/>
            <w:vAlign w:val="center"/>
            <w:hideMark/>
          </w:tcPr>
          <w:p w14:paraId="3DCADA2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2A1F3AD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single" w:sz="4" w:space="0" w:color="auto"/>
              <w:left w:val="nil"/>
              <w:bottom w:val="single" w:sz="4" w:space="0" w:color="auto"/>
              <w:right w:val="single" w:sz="4" w:space="0" w:color="auto"/>
            </w:tcBorders>
            <w:shd w:val="clear" w:color="auto" w:fill="auto"/>
            <w:vAlign w:val="center"/>
            <w:hideMark/>
          </w:tcPr>
          <w:p w14:paraId="0B20566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Ndryshimi i Strategjise Sigurisë Kombëtare është në proces miratimi, pas miratimit të saj lind nevoja për ndryshimin e strategjisë Ushtarake</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72A00F5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Në varësi të Strategjisë së Sigurisë Kombëtare</w:t>
            </w:r>
          </w:p>
        </w:tc>
        <w:tc>
          <w:tcPr>
            <w:tcW w:w="304" w:type="pct"/>
            <w:tcBorders>
              <w:top w:val="nil"/>
              <w:left w:val="nil"/>
              <w:bottom w:val="single" w:sz="4" w:space="0" w:color="auto"/>
              <w:right w:val="single" w:sz="4" w:space="0" w:color="auto"/>
            </w:tcBorders>
            <w:shd w:val="clear" w:color="auto" w:fill="auto"/>
            <w:vAlign w:val="center"/>
            <w:hideMark/>
          </w:tcPr>
          <w:p w14:paraId="0178D5C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13AEA34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2DBB1FD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Strategjinë e Sigurisë Kombetare</w:t>
            </w:r>
          </w:p>
        </w:tc>
        <w:tc>
          <w:tcPr>
            <w:tcW w:w="469" w:type="pct"/>
            <w:tcBorders>
              <w:top w:val="nil"/>
              <w:left w:val="nil"/>
              <w:bottom w:val="single" w:sz="4" w:space="0" w:color="auto"/>
              <w:right w:val="single" w:sz="4" w:space="0" w:color="auto"/>
            </w:tcBorders>
            <w:shd w:val="clear" w:color="auto" w:fill="auto"/>
            <w:vAlign w:val="center"/>
            <w:hideMark/>
          </w:tcPr>
          <w:p w14:paraId="7EC1EEF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053300AC"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2044232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19</w:t>
            </w:r>
          </w:p>
        </w:tc>
        <w:tc>
          <w:tcPr>
            <w:tcW w:w="913" w:type="pct"/>
            <w:tcBorders>
              <w:top w:val="nil"/>
              <w:left w:val="nil"/>
              <w:bottom w:val="single" w:sz="4" w:space="0" w:color="auto"/>
              <w:right w:val="single" w:sz="4" w:space="0" w:color="auto"/>
            </w:tcBorders>
            <w:shd w:val="clear" w:color="auto" w:fill="auto"/>
            <w:vAlign w:val="center"/>
            <w:hideMark/>
          </w:tcPr>
          <w:p w14:paraId="71065D1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dhe ndryshime në ligjin 36/2020, "Për prokurimet në fushën e Mbrojtjes dhe sigurisë"</w:t>
            </w:r>
          </w:p>
        </w:tc>
        <w:tc>
          <w:tcPr>
            <w:tcW w:w="297" w:type="pct"/>
            <w:tcBorders>
              <w:top w:val="nil"/>
              <w:left w:val="nil"/>
              <w:bottom w:val="single" w:sz="4" w:space="0" w:color="auto"/>
              <w:right w:val="single" w:sz="4" w:space="0" w:color="auto"/>
            </w:tcBorders>
            <w:shd w:val="clear" w:color="auto" w:fill="auto"/>
            <w:vAlign w:val="center"/>
            <w:hideMark/>
          </w:tcPr>
          <w:p w14:paraId="1C2F5E0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Projektligj </w:t>
            </w:r>
          </w:p>
        </w:tc>
        <w:tc>
          <w:tcPr>
            <w:tcW w:w="371" w:type="pct"/>
            <w:tcBorders>
              <w:top w:val="nil"/>
              <w:left w:val="nil"/>
              <w:bottom w:val="single" w:sz="4" w:space="0" w:color="auto"/>
              <w:right w:val="single" w:sz="4" w:space="0" w:color="auto"/>
            </w:tcBorders>
            <w:shd w:val="clear" w:color="auto" w:fill="auto"/>
            <w:vAlign w:val="center"/>
            <w:hideMark/>
          </w:tcPr>
          <w:p w14:paraId="6038193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632C8D4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3F33BF8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Në kuadër të procesit të deregulimit dhe të përafrimit të legjislacionit në fushën e mbrojtjes dhe sigurisë me Direktivën e BE 81/2009, do të bëhen ndryshime në legjislacionin në fushën e mbrojtjes dhe sigurisë, përfshirë dhe shkaqet e anulimit sipas pikës 1/a të nenit 36 të ligjit 36/2020. Këto ndryshime do të bëhen me qëllim edhe përafrimin me ligjin e Prokurimit Publik. Në perceptimin tonë është lapsus parashikimi :"Për shkaqe që dalin jashtë kontrollit të autoritetit kontraktor dhe të paparashikueshme nëkohën e fillimit të procedurës së prokurimit, duke respektuar parimet e barazisë dhe të transparencës, të përcaktuara me vendim të Këshillit të Ministrave</w:t>
            </w:r>
          </w:p>
        </w:tc>
        <w:tc>
          <w:tcPr>
            <w:tcW w:w="636" w:type="pct"/>
            <w:tcBorders>
              <w:top w:val="nil"/>
              <w:left w:val="nil"/>
              <w:bottom w:val="single" w:sz="4" w:space="0" w:color="auto"/>
              <w:right w:val="single" w:sz="4" w:space="0" w:color="auto"/>
            </w:tcBorders>
            <w:shd w:val="clear" w:color="auto" w:fill="auto"/>
            <w:vAlign w:val="center"/>
            <w:hideMark/>
          </w:tcPr>
          <w:p w14:paraId="3F47210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Heqja nga perjashtimet e veçanta të këtij ligji gërmën "I" e pikës 1 të nenit 5,  </w:t>
            </w:r>
          </w:p>
        </w:tc>
        <w:tc>
          <w:tcPr>
            <w:tcW w:w="304" w:type="pct"/>
            <w:tcBorders>
              <w:top w:val="nil"/>
              <w:left w:val="nil"/>
              <w:bottom w:val="single" w:sz="4" w:space="0" w:color="auto"/>
              <w:right w:val="single" w:sz="4" w:space="0" w:color="auto"/>
            </w:tcBorders>
            <w:shd w:val="clear" w:color="auto" w:fill="auto"/>
            <w:vAlign w:val="center"/>
            <w:hideMark/>
          </w:tcPr>
          <w:p w14:paraId="26CB60A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             Direktiva e BE 81/2009,    Kapitulli V.</w:t>
            </w:r>
          </w:p>
        </w:tc>
        <w:tc>
          <w:tcPr>
            <w:tcW w:w="458" w:type="pct"/>
            <w:tcBorders>
              <w:top w:val="nil"/>
              <w:left w:val="nil"/>
              <w:bottom w:val="single" w:sz="4" w:space="0" w:color="auto"/>
              <w:right w:val="single" w:sz="4" w:space="0" w:color="auto"/>
            </w:tcBorders>
            <w:shd w:val="clear" w:color="auto" w:fill="auto"/>
            <w:vAlign w:val="center"/>
            <w:hideMark/>
          </w:tcPr>
          <w:p w14:paraId="6348200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510" w:type="pct"/>
            <w:tcBorders>
              <w:top w:val="nil"/>
              <w:left w:val="nil"/>
              <w:bottom w:val="single" w:sz="4" w:space="0" w:color="auto"/>
              <w:right w:val="single" w:sz="4" w:space="0" w:color="auto"/>
            </w:tcBorders>
            <w:shd w:val="clear" w:color="auto" w:fill="auto"/>
            <w:vAlign w:val="center"/>
            <w:hideMark/>
          </w:tcPr>
          <w:p w14:paraId="6102080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69" w:type="pct"/>
            <w:tcBorders>
              <w:top w:val="nil"/>
              <w:left w:val="nil"/>
              <w:bottom w:val="single" w:sz="4" w:space="0" w:color="auto"/>
              <w:right w:val="single" w:sz="4" w:space="0" w:color="auto"/>
            </w:tcBorders>
            <w:shd w:val="clear" w:color="auto" w:fill="auto"/>
            <w:vAlign w:val="center"/>
            <w:hideMark/>
          </w:tcPr>
          <w:p w14:paraId="25FA0F8B"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r>
      <w:tr w:rsidR="00F81098" w:rsidRPr="00F81098" w14:paraId="7123B298"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10AD6A4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20</w:t>
            </w:r>
          </w:p>
        </w:tc>
        <w:tc>
          <w:tcPr>
            <w:tcW w:w="913" w:type="pct"/>
            <w:tcBorders>
              <w:top w:val="nil"/>
              <w:left w:val="nil"/>
              <w:bottom w:val="single" w:sz="4" w:space="0" w:color="auto"/>
              <w:right w:val="single" w:sz="4" w:space="0" w:color="auto"/>
            </w:tcBorders>
            <w:shd w:val="clear" w:color="auto" w:fill="auto"/>
            <w:vAlign w:val="center"/>
            <w:hideMark/>
          </w:tcPr>
          <w:p w14:paraId="67D3DF1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disa shtesa dhe ndryshime në VKM nr.1128/2008 Për krijimin dhe administrimin e mallrave rezervë materiale shtetërore</w:t>
            </w:r>
          </w:p>
        </w:tc>
        <w:tc>
          <w:tcPr>
            <w:tcW w:w="297" w:type="pct"/>
            <w:tcBorders>
              <w:top w:val="nil"/>
              <w:left w:val="nil"/>
              <w:bottom w:val="single" w:sz="4" w:space="0" w:color="auto"/>
              <w:right w:val="single" w:sz="4" w:space="0" w:color="auto"/>
            </w:tcBorders>
            <w:shd w:val="clear" w:color="auto" w:fill="auto"/>
            <w:vAlign w:val="center"/>
            <w:hideMark/>
          </w:tcPr>
          <w:p w14:paraId="462179E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0D4D530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6A77066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733DE64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Rekomandime te KLSH</w:t>
            </w:r>
          </w:p>
        </w:tc>
        <w:tc>
          <w:tcPr>
            <w:tcW w:w="636" w:type="pct"/>
            <w:tcBorders>
              <w:top w:val="nil"/>
              <w:left w:val="nil"/>
              <w:bottom w:val="single" w:sz="4" w:space="0" w:color="auto"/>
              <w:right w:val="single" w:sz="4" w:space="0" w:color="auto"/>
            </w:tcBorders>
            <w:shd w:val="clear" w:color="auto" w:fill="auto"/>
            <w:vAlign w:val="center"/>
            <w:hideMark/>
          </w:tcPr>
          <w:p w14:paraId="28B8F0F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Përmirësimin e mënyrave për ndërhyrje operative për mbështetjen e popullsisë, të ekonomisë dhe mbrojtjes së vendit në situata të gjendjes së jashtëzakonëshme dhe të mbrojtjes civile  </w:t>
            </w:r>
          </w:p>
        </w:tc>
        <w:tc>
          <w:tcPr>
            <w:tcW w:w="304" w:type="pct"/>
            <w:tcBorders>
              <w:top w:val="nil"/>
              <w:left w:val="nil"/>
              <w:bottom w:val="single" w:sz="4" w:space="0" w:color="auto"/>
              <w:right w:val="single" w:sz="4" w:space="0" w:color="auto"/>
            </w:tcBorders>
            <w:shd w:val="clear" w:color="auto" w:fill="auto"/>
            <w:vAlign w:val="center"/>
            <w:hideMark/>
          </w:tcPr>
          <w:p w14:paraId="5A01EBA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16BA6C6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nil"/>
              <w:right w:val="nil"/>
            </w:tcBorders>
            <w:shd w:val="clear" w:color="auto" w:fill="auto"/>
            <w:vAlign w:val="center"/>
            <w:hideMark/>
          </w:tcPr>
          <w:p w14:paraId="08DD027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Strategjinë e Sigurisë Kombetare</w:t>
            </w:r>
          </w:p>
        </w:tc>
        <w:tc>
          <w:tcPr>
            <w:tcW w:w="469" w:type="pct"/>
            <w:tcBorders>
              <w:top w:val="nil"/>
              <w:left w:val="single" w:sz="4" w:space="0" w:color="auto"/>
              <w:bottom w:val="single" w:sz="4" w:space="0" w:color="auto"/>
              <w:right w:val="single" w:sz="4" w:space="0" w:color="auto"/>
            </w:tcBorders>
            <w:shd w:val="clear" w:color="auto" w:fill="auto"/>
            <w:vAlign w:val="center"/>
            <w:hideMark/>
          </w:tcPr>
          <w:p w14:paraId="21B3287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68BEC69D"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018763D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21</w:t>
            </w:r>
          </w:p>
        </w:tc>
        <w:tc>
          <w:tcPr>
            <w:tcW w:w="913" w:type="pct"/>
            <w:tcBorders>
              <w:top w:val="nil"/>
              <w:left w:val="nil"/>
              <w:bottom w:val="single" w:sz="4" w:space="0" w:color="auto"/>
              <w:right w:val="single" w:sz="4" w:space="0" w:color="auto"/>
            </w:tcBorders>
            <w:shd w:val="clear" w:color="auto" w:fill="auto"/>
            <w:vAlign w:val="center"/>
            <w:hideMark/>
          </w:tcPr>
          <w:p w14:paraId="420EC57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Për pjesëmarrjen në ekipet e trajnimit të lëvizshëm  (MTM) në kuadër të A5, për vitin 2024</w:t>
            </w:r>
          </w:p>
        </w:tc>
        <w:tc>
          <w:tcPr>
            <w:tcW w:w="297" w:type="pct"/>
            <w:tcBorders>
              <w:top w:val="nil"/>
              <w:left w:val="nil"/>
              <w:bottom w:val="single" w:sz="4" w:space="0" w:color="auto"/>
              <w:right w:val="single" w:sz="4" w:space="0" w:color="auto"/>
            </w:tcBorders>
            <w:shd w:val="clear" w:color="auto" w:fill="auto"/>
            <w:vAlign w:val="center"/>
            <w:hideMark/>
          </w:tcPr>
          <w:p w14:paraId="4BBA3834"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420AFD41"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3AA282B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077CEFF0"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Angazhimi i vendeve të A5 me ekipe trajnuese dhe monitoruese në Irak</w:t>
            </w:r>
          </w:p>
        </w:tc>
        <w:tc>
          <w:tcPr>
            <w:tcW w:w="636" w:type="pct"/>
            <w:tcBorders>
              <w:top w:val="nil"/>
              <w:left w:val="nil"/>
              <w:bottom w:val="single" w:sz="4" w:space="0" w:color="auto"/>
              <w:right w:val="single" w:sz="4" w:space="0" w:color="auto"/>
            </w:tcBorders>
            <w:shd w:val="clear" w:color="auto" w:fill="auto"/>
            <w:vAlign w:val="center"/>
            <w:hideMark/>
          </w:tcPr>
          <w:p w14:paraId="5F0D74AC"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vendosja me VKM e kritereve dhe mënyrës së angazhimit</w:t>
            </w:r>
          </w:p>
        </w:tc>
        <w:tc>
          <w:tcPr>
            <w:tcW w:w="304" w:type="pct"/>
            <w:tcBorders>
              <w:top w:val="nil"/>
              <w:left w:val="nil"/>
              <w:bottom w:val="single" w:sz="4" w:space="0" w:color="auto"/>
              <w:right w:val="single" w:sz="4" w:space="0" w:color="auto"/>
            </w:tcBorders>
            <w:shd w:val="clear" w:color="auto" w:fill="auto"/>
            <w:vAlign w:val="center"/>
            <w:hideMark/>
          </w:tcPr>
          <w:p w14:paraId="2241C3F3"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50071678"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single" w:sz="4" w:space="0" w:color="auto"/>
              <w:left w:val="nil"/>
              <w:bottom w:val="single" w:sz="4" w:space="0" w:color="auto"/>
              <w:right w:val="single" w:sz="4" w:space="0" w:color="auto"/>
            </w:tcBorders>
            <w:shd w:val="clear" w:color="auto" w:fill="auto"/>
            <w:vAlign w:val="center"/>
            <w:hideMark/>
          </w:tcPr>
          <w:p w14:paraId="3AF5E797"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06C2583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r w:rsidR="00F81098" w:rsidRPr="00F81098" w14:paraId="0A8D459C" w14:textId="77777777" w:rsidTr="00F81098">
        <w:trPr>
          <w:trHeight w:val="180"/>
          <w:jc w:val="center"/>
        </w:trPr>
        <w:tc>
          <w:tcPr>
            <w:tcW w:w="101" w:type="pct"/>
            <w:tcBorders>
              <w:top w:val="nil"/>
              <w:left w:val="single" w:sz="4" w:space="0" w:color="auto"/>
              <w:bottom w:val="single" w:sz="4" w:space="0" w:color="auto"/>
              <w:right w:val="single" w:sz="4" w:space="0" w:color="auto"/>
            </w:tcBorders>
            <w:shd w:val="clear" w:color="auto" w:fill="auto"/>
            <w:vAlign w:val="center"/>
            <w:hideMark/>
          </w:tcPr>
          <w:p w14:paraId="79D65B4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22</w:t>
            </w:r>
          </w:p>
        </w:tc>
        <w:tc>
          <w:tcPr>
            <w:tcW w:w="913" w:type="pct"/>
            <w:tcBorders>
              <w:top w:val="nil"/>
              <w:left w:val="nil"/>
              <w:bottom w:val="single" w:sz="4" w:space="0" w:color="auto"/>
              <w:right w:val="single" w:sz="4" w:space="0" w:color="auto"/>
            </w:tcBorders>
            <w:shd w:val="clear" w:color="auto" w:fill="auto"/>
            <w:vAlign w:val="center"/>
            <w:hideMark/>
          </w:tcPr>
          <w:p w14:paraId="2F79E395"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Për disa shtesa dhe ndryshime ne VKM nr.854/2004 "Për kriteret dhe masën e përfitimit të pagesës së papunësisë për bashkëshortin/en e ushtarakut aktiv të FARSH", i ndryshuar       </w:t>
            </w:r>
          </w:p>
        </w:tc>
        <w:tc>
          <w:tcPr>
            <w:tcW w:w="297" w:type="pct"/>
            <w:tcBorders>
              <w:top w:val="nil"/>
              <w:left w:val="nil"/>
              <w:bottom w:val="single" w:sz="4" w:space="0" w:color="auto"/>
              <w:right w:val="single" w:sz="4" w:space="0" w:color="auto"/>
            </w:tcBorders>
            <w:shd w:val="clear" w:color="auto" w:fill="auto"/>
            <w:vAlign w:val="center"/>
            <w:hideMark/>
          </w:tcPr>
          <w:p w14:paraId="721C849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Projektvendim</w:t>
            </w:r>
          </w:p>
        </w:tc>
        <w:tc>
          <w:tcPr>
            <w:tcW w:w="371" w:type="pct"/>
            <w:tcBorders>
              <w:top w:val="nil"/>
              <w:left w:val="nil"/>
              <w:bottom w:val="single" w:sz="4" w:space="0" w:color="auto"/>
              <w:right w:val="single" w:sz="4" w:space="0" w:color="auto"/>
            </w:tcBorders>
            <w:shd w:val="clear" w:color="auto" w:fill="auto"/>
            <w:vAlign w:val="center"/>
            <w:hideMark/>
          </w:tcPr>
          <w:p w14:paraId="4B17C7A2"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Ministri i Mbrojtjes </w:t>
            </w:r>
          </w:p>
        </w:tc>
        <w:tc>
          <w:tcPr>
            <w:tcW w:w="283" w:type="pct"/>
            <w:tcBorders>
              <w:top w:val="nil"/>
              <w:left w:val="nil"/>
              <w:bottom w:val="single" w:sz="4" w:space="0" w:color="auto"/>
              <w:right w:val="single" w:sz="4" w:space="0" w:color="auto"/>
            </w:tcBorders>
            <w:shd w:val="clear" w:color="auto" w:fill="auto"/>
            <w:vAlign w:val="center"/>
            <w:hideMark/>
          </w:tcPr>
          <w:p w14:paraId="6A527AF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Katërmujori III</w:t>
            </w:r>
          </w:p>
        </w:tc>
        <w:tc>
          <w:tcPr>
            <w:tcW w:w="657" w:type="pct"/>
            <w:tcBorders>
              <w:top w:val="nil"/>
              <w:left w:val="nil"/>
              <w:bottom w:val="single" w:sz="4" w:space="0" w:color="auto"/>
              <w:right w:val="single" w:sz="4" w:space="0" w:color="auto"/>
            </w:tcBorders>
            <w:shd w:val="clear" w:color="auto" w:fill="auto"/>
            <w:vAlign w:val="center"/>
            <w:hideMark/>
          </w:tcPr>
          <w:p w14:paraId="79449C96"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Njohja e pagesës së papunësisë së bashkëshortit si vjetërsi në punë</w:t>
            </w:r>
          </w:p>
        </w:tc>
        <w:tc>
          <w:tcPr>
            <w:tcW w:w="636" w:type="pct"/>
            <w:tcBorders>
              <w:top w:val="nil"/>
              <w:left w:val="nil"/>
              <w:bottom w:val="single" w:sz="4" w:space="0" w:color="auto"/>
              <w:right w:val="single" w:sz="4" w:space="0" w:color="auto"/>
            </w:tcBorders>
            <w:shd w:val="clear" w:color="auto" w:fill="auto"/>
            <w:vAlign w:val="center"/>
            <w:hideMark/>
          </w:tcPr>
          <w:p w14:paraId="5838298A"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Njohja e pagesës së papunësisë së bashkëshortit si vjetërsi në punë</w:t>
            </w:r>
          </w:p>
        </w:tc>
        <w:tc>
          <w:tcPr>
            <w:tcW w:w="304" w:type="pct"/>
            <w:tcBorders>
              <w:top w:val="nil"/>
              <w:left w:val="nil"/>
              <w:bottom w:val="single" w:sz="4" w:space="0" w:color="auto"/>
              <w:right w:val="single" w:sz="4" w:space="0" w:color="auto"/>
            </w:tcBorders>
            <w:shd w:val="clear" w:color="auto" w:fill="auto"/>
            <w:vAlign w:val="center"/>
            <w:hideMark/>
          </w:tcPr>
          <w:p w14:paraId="7D9E877E"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JO</w:t>
            </w:r>
          </w:p>
        </w:tc>
        <w:tc>
          <w:tcPr>
            <w:tcW w:w="458" w:type="pct"/>
            <w:tcBorders>
              <w:top w:val="nil"/>
              <w:left w:val="nil"/>
              <w:bottom w:val="single" w:sz="4" w:space="0" w:color="auto"/>
              <w:right w:val="single" w:sz="4" w:space="0" w:color="auto"/>
            </w:tcBorders>
            <w:shd w:val="clear" w:color="auto" w:fill="auto"/>
            <w:vAlign w:val="center"/>
            <w:hideMark/>
          </w:tcPr>
          <w:p w14:paraId="45C0F059"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510" w:type="pct"/>
            <w:tcBorders>
              <w:top w:val="nil"/>
              <w:left w:val="nil"/>
              <w:bottom w:val="single" w:sz="4" w:space="0" w:color="auto"/>
              <w:right w:val="single" w:sz="4" w:space="0" w:color="auto"/>
            </w:tcBorders>
            <w:shd w:val="clear" w:color="auto" w:fill="auto"/>
            <w:vAlign w:val="center"/>
            <w:hideMark/>
          </w:tcPr>
          <w:p w14:paraId="15D15EAD"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 xml:space="preserve">JO </w:t>
            </w:r>
          </w:p>
        </w:tc>
        <w:tc>
          <w:tcPr>
            <w:tcW w:w="469" w:type="pct"/>
            <w:tcBorders>
              <w:top w:val="nil"/>
              <w:left w:val="nil"/>
              <w:bottom w:val="single" w:sz="4" w:space="0" w:color="auto"/>
              <w:right w:val="single" w:sz="4" w:space="0" w:color="auto"/>
            </w:tcBorders>
            <w:shd w:val="clear" w:color="auto" w:fill="auto"/>
            <w:vAlign w:val="center"/>
            <w:hideMark/>
          </w:tcPr>
          <w:p w14:paraId="1C29CC3F" w14:textId="77777777" w:rsidR="00F81098" w:rsidRPr="00F81098" w:rsidRDefault="00F81098" w:rsidP="00F810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F81098">
              <w:rPr>
                <w:rFonts w:ascii="Arial" w:eastAsia="Times New Roman" w:hAnsi="Arial" w:cs="Arial"/>
                <w:color w:val="000000"/>
                <w:sz w:val="12"/>
                <w:szCs w:val="12"/>
                <w:bdr w:val="none" w:sz="0" w:space="0" w:color="auto"/>
              </w:rPr>
              <w:t>PO</w:t>
            </w:r>
          </w:p>
        </w:tc>
      </w:tr>
    </w:tbl>
    <w:p w14:paraId="025FF7A8" w14:textId="36ACA074" w:rsidR="00C35B84" w:rsidRDefault="00C35B84" w:rsidP="009F3407">
      <w:pPr>
        <w:pStyle w:val="BodyA"/>
        <w:jc w:val="center"/>
        <w:rPr>
          <w:sz w:val="28"/>
          <w:szCs w:val="28"/>
          <w:lang w:val="it-IT"/>
        </w:rPr>
      </w:pPr>
    </w:p>
    <w:p w14:paraId="1794535E" w14:textId="20B65FEB" w:rsidR="00C35B84" w:rsidRDefault="00C35B84" w:rsidP="009F3407">
      <w:pPr>
        <w:pStyle w:val="BodyA"/>
        <w:jc w:val="center"/>
        <w:rPr>
          <w:sz w:val="28"/>
          <w:szCs w:val="28"/>
          <w:lang w:val="it-IT"/>
        </w:rPr>
      </w:pPr>
    </w:p>
    <w:p w14:paraId="0F8A744B" w14:textId="4D9C2462" w:rsidR="00050CA1" w:rsidRDefault="00050CA1" w:rsidP="009F3407">
      <w:pPr>
        <w:pStyle w:val="BodyA"/>
        <w:jc w:val="center"/>
        <w:rPr>
          <w:sz w:val="28"/>
          <w:szCs w:val="28"/>
          <w:lang w:val="it-IT"/>
        </w:rPr>
      </w:pPr>
    </w:p>
    <w:tbl>
      <w:tblPr>
        <w:tblW w:w="5000" w:type="pct"/>
        <w:tblLook w:val="04A0" w:firstRow="1" w:lastRow="0" w:firstColumn="1" w:lastColumn="0" w:noHBand="0" w:noVBand="1"/>
      </w:tblPr>
      <w:tblGrid>
        <w:gridCol w:w="383"/>
        <w:gridCol w:w="2385"/>
        <w:gridCol w:w="943"/>
        <w:gridCol w:w="1183"/>
        <w:gridCol w:w="963"/>
        <w:gridCol w:w="1443"/>
        <w:gridCol w:w="2046"/>
        <w:gridCol w:w="917"/>
        <w:gridCol w:w="1250"/>
        <w:gridCol w:w="1568"/>
        <w:gridCol w:w="877"/>
      </w:tblGrid>
      <w:tr w:rsidR="00EA1F3C" w:rsidRPr="00EA1F3C" w14:paraId="342593E7" w14:textId="77777777" w:rsidTr="00EA1F3C">
        <w:trPr>
          <w:trHeight w:val="180"/>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77CAA4EA"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EA1F3C">
              <w:rPr>
                <w:rFonts w:ascii="Arial" w:eastAsia="Times New Roman" w:hAnsi="Arial" w:cs="Arial"/>
                <w:b/>
                <w:bCs/>
                <w:color w:val="000000"/>
                <w:sz w:val="12"/>
                <w:szCs w:val="12"/>
                <w:bdr w:val="none" w:sz="0" w:space="0" w:color="auto"/>
              </w:rPr>
              <w:t>Programi i Përgjithshëm Analitik i Projektakteve për vitin 2024</w:t>
            </w:r>
          </w:p>
        </w:tc>
      </w:tr>
      <w:tr w:rsidR="00EA1F3C" w:rsidRPr="00EA1F3C" w14:paraId="621C9587" w14:textId="77777777" w:rsidTr="00EA1F3C">
        <w:trPr>
          <w:trHeight w:val="180"/>
        </w:trPr>
        <w:tc>
          <w:tcPr>
            <w:tcW w:w="5000" w:type="pct"/>
            <w:gridSpan w:val="11"/>
            <w:tcBorders>
              <w:top w:val="single" w:sz="4" w:space="0" w:color="FFFFFF"/>
              <w:left w:val="nil"/>
              <w:bottom w:val="nil"/>
              <w:right w:val="nil"/>
            </w:tcBorders>
            <w:shd w:val="clear" w:color="000000" w:fill="F2F2F2"/>
            <w:vAlign w:val="center"/>
            <w:hideMark/>
          </w:tcPr>
          <w:p w14:paraId="20A7D82A"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EA1F3C">
              <w:rPr>
                <w:rFonts w:ascii="Arial" w:eastAsia="Times New Roman" w:hAnsi="Arial" w:cs="Arial"/>
                <w:b/>
                <w:bCs/>
                <w:color w:val="000000"/>
                <w:sz w:val="12"/>
                <w:szCs w:val="12"/>
                <w:bdr w:val="none" w:sz="0" w:space="0" w:color="auto"/>
              </w:rPr>
              <w:t>Ministri i Shtetit për Rininë dhe Fëmijët</w:t>
            </w:r>
          </w:p>
        </w:tc>
      </w:tr>
      <w:tr w:rsidR="00EA1F3C" w:rsidRPr="00812C9A" w14:paraId="26E7BE16" w14:textId="77777777" w:rsidTr="00EA1F3C">
        <w:trPr>
          <w:trHeight w:val="180"/>
        </w:trPr>
        <w:tc>
          <w:tcPr>
            <w:tcW w:w="118" w:type="pct"/>
            <w:tcBorders>
              <w:top w:val="single" w:sz="8" w:space="0" w:color="auto"/>
              <w:left w:val="single" w:sz="8" w:space="0" w:color="auto"/>
              <w:bottom w:val="nil"/>
              <w:right w:val="nil"/>
            </w:tcBorders>
            <w:shd w:val="clear" w:color="000000" w:fill="C00000"/>
            <w:vAlign w:val="center"/>
            <w:hideMark/>
          </w:tcPr>
          <w:p w14:paraId="7DA146D0"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Nr.</w:t>
            </w:r>
          </w:p>
        </w:tc>
        <w:tc>
          <w:tcPr>
            <w:tcW w:w="863" w:type="pct"/>
            <w:tcBorders>
              <w:top w:val="single" w:sz="8" w:space="0" w:color="auto"/>
              <w:left w:val="single" w:sz="4" w:space="0" w:color="FFFFFF"/>
              <w:bottom w:val="nil"/>
              <w:right w:val="single" w:sz="4" w:space="0" w:color="FFFFFF"/>
            </w:tcBorders>
            <w:shd w:val="clear" w:color="000000" w:fill="C00000"/>
            <w:vAlign w:val="center"/>
            <w:hideMark/>
          </w:tcPr>
          <w:p w14:paraId="2F26938C"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Titulli i projektaktit</w:t>
            </w:r>
          </w:p>
        </w:tc>
        <w:tc>
          <w:tcPr>
            <w:tcW w:w="346" w:type="pct"/>
            <w:tcBorders>
              <w:top w:val="single" w:sz="8" w:space="0" w:color="auto"/>
              <w:left w:val="nil"/>
              <w:bottom w:val="nil"/>
              <w:right w:val="single" w:sz="4" w:space="0" w:color="FFFFFF"/>
            </w:tcBorders>
            <w:shd w:val="clear" w:color="000000" w:fill="C00000"/>
            <w:vAlign w:val="center"/>
            <w:hideMark/>
          </w:tcPr>
          <w:p w14:paraId="75F7309B"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Lloji i projektaktit</w:t>
            </w:r>
          </w:p>
        </w:tc>
        <w:tc>
          <w:tcPr>
            <w:tcW w:w="432" w:type="pct"/>
            <w:tcBorders>
              <w:top w:val="single" w:sz="8" w:space="0" w:color="auto"/>
              <w:left w:val="nil"/>
              <w:bottom w:val="nil"/>
              <w:right w:val="nil"/>
            </w:tcBorders>
            <w:shd w:val="clear" w:color="000000" w:fill="C00000"/>
            <w:vAlign w:val="center"/>
            <w:hideMark/>
          </w:tcPr>
          <w:p w14:paraId="2710A6D7"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Ministri propozues</w:t>
            </w:r>
          </w:p>
        </w:tc>
        <w:tc>
          <w:tcPr>
            <w:tcW w:w="334" w:type="pct"/>
            <w:tcBorders>
              <w:top w:val="single" w:sz="8" w:space="0" w:color="auto"/>
              <w:left w:val="single" w:sz="4" w:space="0" w:color="FFFFFF"/>
              <w:bottom w:val="nil"/>
              <w:right w:val="nil"/>
            </w:tcBorders>
            <w:shd w:val="clear" w:color="000000" w:fill="C00000"/>
            <w:vAlign w:val="center"/>
            <w:hideMark/>
          </w:tcPr>
          <w:p w14:paraId="44DD5BC0"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Katër mujori</w:t>
            </w:r>
          </w:p>
        </w:tc>
        <w:tc>
          <w:tcPr>
            <w:tcW w:w="525" w:type="pct"/>
            <w:tcBorders>
              <w:top w:val="single" w:sz="8" w:space="0" w:color="auto"/>
              <w:left w:val="single" w:sz="4" w:space="0" w:color="FFFFFF"/>
              <w:bottom w:val="nil"/>
              <w:right w:val="nil"/>
            </w:tcBorders>
            <w:shd w:val="clear" w:color="000000" w:fill="C00000"/>
            <w:vAlign w:val="center"/>
            <w:hideMark/>
          </w:tcPr>
          <w:p w14:paraId="7B159FD3"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Arsyet kryesore për propozimin e projektaktit</w:t>
            </w:r>
          </w:p>
        </w:tc>
        <w:tc>
          <w:tcPr>
            <w:tcW w:w="741" w:type="pct"/>
            <w:tcBorders>
              <w:top w:val="single" w:sz="8" w:space="0" w:color="auto"/>
              <w:left w:val="single" w:sz="4" w:space="0" w:color="FFFFFF"/>
              <w:bottom w:val="nil"/>
              <w:right w:val="single" w:sz="4" w:space="0" w:color="FFFFFF"/>
            </w:tcBorders>
            <w:shd w:val="clear" w:color="000000" w:fill="C00000"/>
            <w:vAlign w:val="center"/>
            <w:hideMark/>
          </w:tcPr>
          <w:p w14:paraId="07A16202"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 xml:space="preserve">Çështjet kryesore që parashikon të rregullojë projektakti </w:t>
            </w:r>
          </w:p>
        </w:tc>
        <w:tc>
          <w:tcPr>
            <w:tcW w:w="305" w:type="pct"/>
            <w:tcBorders>
              <w:top w:val="single" w:sz="8" w:space="0" w:color="auto"/>
              <w:left w:val="nil"/>
              <w:bottom w:val="nil"/>
              <w:right w:val="single" w:sz="4" w:space="0" w:color="FFFFFF"/>
            </w:tcBorders>
            <w:shd w:val="clear" w:color="000000" w:fill="C00000"/>
            <w:vAlign w:val="center"/>
            <w:hideMark/>
          </w:tcPr>
          <w:p w14:paraId="5539A00C"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A është parashikuar projektakti në PKIE?</w:t>
            </w:r>
            <w:r w:rsidRPr="00EA1F3C">
              <w:rPr>
                <w:rFonts w:ascii="Arial" w:eastAsia="Times New Roman" w:hAnsi="Arial" w:cs="Arial"/>
                <w:b/>
                <w:bCs/>
                <w:color w:val="FFFFFF"/>
                <w:sz w:val="12"/>
                <w:szCs w:val="12"/>
                <w:bdr w:val="none" w:sz="0" w:space="0" w:color="auto"/>
              </w:rPr>
              <w:br/>
            </w:r>
            <w:r w:rsidRPr="00EA1F3C">
              <w:rPr>
                <w:rFonts w:ascii="Arial" w:eastAsia="Times New Roman" w:hAnsi="Arial" w:cs="Arial"/>
                <w:b/>
                <w:bCs/>
                <w:color w:val="FFFFFF"/>
                <w:sz w:val="12"/>
                <w:szCs w:val="12"/>
                <w:bdr w:val="none" w:sz="0" w:space="0" w:color="auto"/>
              </w:rPr>
              <w:br/>
              <w:t>Nëse po, të specifikohet kapitulli përkatës</w:t>
            </w:r>
          </w:p>
        </w:tc>
        <w:tc>
          <w:tcPr>
            <w:tcW w:w="456" w:type="pct"/>
            <w:tcBorders>
              <w:top w:val="single" w:sz="8" w:space="0" w:color="auto"/>
              <w:left w:val="nil"/>
              <w:bottom w:val="nil"/>
              <w:right w:val="single" w:sz="4" w:space="0" w:color="FFFFFF"/>
            </w:tcBorders>
            <w:shd w:val="clear" w:color="000000" w:fill="C00000"/>
            <w:vAlign w:val="center"/>
            <w:hideMark/>
          </w:tcPr>
          <w:p w14:paraId="1EBDC47A"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Përputhshmëria e projektaktit me programin politik qeverisës 2021-2025</w:t>
            </w:r>
            <w:r w:rsidRPr="00EA1F3C">
              <w:rPr>
                <w:rFonts w:ascii="Arial" w:eastAsia="Times New Roman" w:hAnsi="Arial" w:cs="Arial"/>
                <w:b/>
                <w:bCs/>
                <w:color w:val="FFFFFF"/>
                <w:sz w:val="12"/>
                <w:szCs w:val="12"/>
                <w:bdr w:val="none" w:sz="0" w:space="0" w:color="auto"/>
              </w:rPr>
              <w:br/>
            </w:r>
            <w:r w:rsidRPr="00EA1F3C">
              <w:rPr>
                <w:rFonts w:ascii="Arial" w:eastAsia="Times New Roman" w:hAnsi="Arial" w:cs="Arial"/>
                <w:b/>
                <w:bCs/>
                <w:color w:val="FFFFFF"/>
                <w:sz w:val="12"/>
                <w:szCs w:val="12"/>
                <w:bdr w:val="none" w:sz="0" w:space="0" w:color="auto"/>
              </w:rPr>
              <w:br/>
              <w:t>Nëse përputhet, të jepet  referenca e saktë në progam</w:t>
            </w:r>
          </w:p>
        </w:tc>
        <w:tc>
          <w:tcPr>
            <w:tcW w:w="570" w:type="pct"/>
            <w:tcBorders>
              <w:top w:val="single" w:sz="8" w:space="0" w:color="auto"/>
              <w:left w:val="nil"/>
              <w:bottom w:val="nil"/>
              <w:right w:val="single" w:sz="4" w:space="0" w:color="FFFFFF"/>
            </w:tcBorders>
            <w:shd w:val="clear" w:color="000000" w:fill="C00000"/>
            <w:vAlign w:val="center"/>
            <w:hideMark/>
          </w:tcPr>
          <w:p w14:paraId="7127472C"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Lidhja e projektaktit me strategjitë kombëtare dhe sektoriale</w:t>
            </w:r>
            <w:r w:rsidRPr="00EA1F3C">
              <w:rPr>
                <w:rFonts w:ascii="Arial" w:eastAsia="Times New Roman" w:hAnsi="Arial" w:cs="Arial"/>
                <w:b/>
                <w:bCs/>
                <w:color w:val="FFFFFF"/>
                <w:sz w:val="12"/>
                <w:szCs w:val="12"/>
                <w:bdr w:val="none" w:sz="0" w:space="0" w:color="auto"/>
              </w:rPr>
              <w:br/>
            </w:r>
            <w:r w:rsidRPr="00EA1F3C">
              <w:rPr>
                <w:rFonts w:ascii="Arial" w:eastAsia="Times New Roman" w:hAnsi="Arial" w:cs="Arial"/>
                <w:b/>
                <w:bCs/>
                <w:color w:val="FFFFFF"/>
                <w:sz w:val="12"/>
                <w:szCs w:val="12"/>
                <w:bdr w:val="none" w:sz="0" w:space="0" w:color="auto"/>
              </w:rPr>
              <w:br/>
              <w:t>Nëse lidhet, të specifikohen strategjitë</w:t>
            </w:r>
          </w:p>
        </w:tc>
        <w:tc>
          <w:tcPr>
            <w:tcW w:w="309" w:type="pct"/>
            <w:tcBorders>
              <w:top w:val="single" w:sz="8" w:space="0" w:color="auto"/>
              <w:left w:val="nil"/>
              <w:bottom w:val="nil"/>
              <w:right w:val="nil"/>
            </w:tcBorders>
            <w:shd w:val="clear" w:color="000000" w:fill="C00000"/>
            <w:vAlign w:val="center"/>
            <w:hideMark/>
          </w:tcPr>
          <w:p w14:paraId="0AE24E6F"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EA1F3C">
              <w:rPr>
                <w:rFonts w:ascii="Arial" w:eastAsia="Times New Roman" w:hAnsi="Arial" w:cs="Arial"/>
                <w:b/>
                <w:bCs/>
                <w:color w:val="FFFFFF"/>
                <w:sz w:val="12"/>
                <w:szCs w:val="12"/>
                <w:bdr w:val="none" w:sz="0" w:space="0" w:color="auto"/>
              </w:rPr>
              <w:t>Ndikimet e mundshme ekonomike, financiare, sociale dhe mjedisore</w:t>
            </w:r>
            <w:r w:rsidRPr="00EA1F3C">
              <w:rPr>
                <w:rFonts w:ascii="Arial" w:eastAsia="Times New Roman" w:hAnsi="Arial" w:cs="Arial"/>
                <w:b/>
                <w:bCs/>
                <w:color w:val="FFFFFF"/>
                <w:sz w:val="12"/>
                <w:szCs w:val="12"/>
                <w:bdr w:val="none" w:sz="0" w:space="0" w:color="auto"/>
              </w:rPr>
              <w:br/>
            </w:r>
            <w:r w:rsidRPr="00EA1F3C">
              <w:rPr>
                <w:rFonts w:ascii="Arial" w:eastAsia="Times New Roman" w:hAnsi="Arial" w:cs="Arial"/>
                <w:b/>
                <w:bCs/>
                <w:color w:val="FFFFFF"/>
                <w:sz w:val="12"/>
                <w:szCs w:val="12"/>
                <w:bdr w:val="none" w:sz="0" w:space="0" w:color="auto"/>
              </w:rPr>
              <w:br/>
              <w:t xml:space="preserve">Përgjigjuni me Po/Jo për ndikimet përkatëse </w:t>
            </w:r>
          </w:p>
        </w:tc>
      </w:tr>
      <w:tr w:rsidR="00812C9A" w:rsidRPr="00812C9A" w14:paraId="39DD3973" w14:textId="77777777" w:rsidTr="00EA1F3C">
        <w:trPr>
          <w:trHeight w:val="180"/>
        </w:trPr>
        <w:tc>
          <w:tcPr>
            <w:tcW w:w="118" w:type="pct"/>
            <w:tcBorders>
              <w:top w:val="single" w:sz="8" w:space="0" w:color="auto"/>
              <w:left w:val="single" w:sz="8" w:space="0" w:color="auto"/>
              <w:bottom w:val="nil"/>
              <w:right w:val="nil"/>
            </w:tcBorders>
            <w:shd w:val="clear" w:color="000000" w:fill="C00000"/>
            <w:vAlign w:val="center"/>
          </w:tcPr>
          <w:p w14:paraId="4EFEF381"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863" w:type="pct"/>
            <w:tcBorders>
              <w:top w:val="single" w:sz="8" w:space="0" w:color="auto"/>
              <w:left w:val="single" w:sz="4" w:space="0" w:color="FFFFFF"/>
              <w:bottom w:val="nil"/>
              <w:right w:val="single" w:sz="4" w:space="0" w:color="FFFFFF"/>
            </w:tcBorders>
            <w:shd w:val="clear" w:color="000000" w:fill="C00000"/>
            <w:vAlign w:val="center"/>
          </w:tcPr>
          <w:p w14:paraId="25D085D0"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346" w:type="pct"/>
            <w:tcBorders>
              <w:top w:val="single" w:sz="8" w:space="0" w:color="auto"/>
              <w:left w:val="nil"/>
              <w:bottom w:val="nil"/>
              <w:right w:val="single" w:sz="4" w:space="0" w:color="FFFFFF"/>
            </w:tcBorders>
            <w:shd w:val="clear" w:color="000000" w:fill="C00000"/>
            <w:vAlign w:val="center"/>
          </w:tcPr>
          <w:p w14:paraId="4BAA5042"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432" w:type="pct"/>
            <w:tcBorders>
              <w:top w:val="single" w:sz="8" w:space="0" w:color="auto"/>
              <w:left w:val="nil"/>
              <w:bottom w:val="nil"/>
              <w:right w:val="nil"/>
            </w:tcBorders>
            <w:shd w:val="clear" w:color="000000" w:fill="C00000"/>
            <w:vAlign w:val="center"/>
          </w:tcPr>
          <w:p w14:paraId="5FD5C9B1"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334" w:type="pct"/>
            <w:tcBorders>
              <w:top w:val="single" w:sz="8" w:space="0" w:color="auto"/>
              <w:left w:val="single" w:sz="4" w:space="0" w:color="FFFFFF"/>
              <w:bottom w:val="nil"/>
              <w:right w:val="nil"/>
            </w:tcBorders>
            <w:shd w:val="clear" w:color="000000" w:fill="C00000"/>
            <w:vAlign w:val="center"/>
          </w:tcPr>
          <w:p w14:paraId="27A783B6"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525" w:type="pct"/>
            <w:tcBorders>
              <w:top w:val="single" w:sz="8" w:space="0" w:color="auto"/>
              <w:left w:val="single" w:sz="4" w:space="0" w:color="FFFFFF"/>
              <w:bottom w:val="nil"/>
              <w:right w:val="nil"/>
            </w:tcBorders>
            <w:shd w:val="clear" w:color="000000" w:fill="C00000"/>
            <w:vAlign w:val="center"/>
          </w:tcPr>
          <w:p w14:paraId="6074B2FC"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741" w:type="pct"/>
            <w:tcBorders>
              <w:top w:val="single" w:sz="8" w:space="0" w:color="auto"/>
              <w:left w:val="single" w:sz="4" w:space="0" w:color="FFFFFF"/>
              <w:bottom w:val="nil"/>
              <w:right w:val="single" w:sz="4" w:space="0" w:color="FFFFFF"/>
            </w:tcBorders>
            <w:shd w:val="clear" w:color="000000" w:fill="C00000"/>
            <w:vAlign w:val="center"/>
          </w:tcPr>
          <w:p w14:paraId="78034D87"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305" w:type="pct"/>
            <w:tcBorders>
              <w:top w:val="single" w:sz="8" w:space="0" w:color="auto"/>
              <w:left w:val="nil"/>
              <w:bottom w:val="nil"/>
              <w:right w:val="single" w:sz="4" w:space="0" w:color="FFFFFF"/>
            </w:tcBorders>
            <w:shd w:val="clear" w:color="000000" w:fill="C00000"/>
            <w:vAlign w:val="center"/>
          </w:tcPr>
          <w:p w14:paraId="31C22808"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456" w:type="pct"/>
            <w:tcBorders>
              <w:top w:val="single" w:sz="8" w:space="0" w:color="auto"/>
              <w:left w:val="nil"/>
              <w:bottom w:val="nil"/>
              <w:right w:val="single" w:sz="4" w:space="0" w:color="FFFFFF"/>
            </w:tcBorders>
            <w:shd w:val="clear" w:color="000000" w:fill="C00000"/>
            <w:vAlign w:val="center"/>
          </w:tcPr>
          <w:p w14:paraId="00869BA5"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570" w:type="pct"/>
            <w:tcBorders>
              <w:top w:val="single" w:sz="8" w:space="0" w:color="auto"/>
              <w:left w:val="nil"/>
              <w:bottom w:val="nil"/>
              <w:right w:val="single" w:sz="4" w:space="0" w:color="FFFFFF"/>
            </w:tcBorders>
            <w:shd w:val="clear" w:color="000000" w:fill="C00000"/>
            <w:vAlign w:val="center"/>
          </w:tcPr>
          <w:p w14:paraId="470DA929"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c>
          <w:tcPr>
            <w:tcW w:w="309" w:type="pct"/>
            <w:tcBorders>
              <w:top w:val="single" w:sz="8" w:space="0" w:color="auto"/>
              <w:left w:val="nil"/>
              <w:bottom w:val="nil"/>
              <w:right w:val="nil"/>
            </w:tcBorders>
            <w:shd w:val="clear" w:color="000000" w:fill="C00000"/>
            <w:vAlign w:val="center"/>
          </w:tcPr>
          <w:p w14:paraId="721F67C7" w14:textId="77777777" w:rsidR="00812C9A" w:rsidRPr="00812C9A" w:rsidRDefault="00812C9A"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p>
        </w:tc>
      </w:tr>
      <w:tr w:rsidR="00EA1F3C" w:rsidRPr="00812C9A" w14:paraId="2A0C2759" w14:textId="77777777" w:rsidTr="00EA1F3C">
        <w:trPr>
          <w:trHeight w:val="180"/>
        </w:trPr>
        <w:tc>
          <w:tcPr>
            <w:tcW w:w="1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40997"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1</w:t>
            </w:r>
          </w:p>
        </w:tc>
        <w:tc>
          <w:tcPr>
            <w:tcW w:w="863" w:type="pct"/>
            <w:tcBorders>
              <w:top w:val="single" w:sz="4" w:space="0" w:color="auto"/>
              <w:left w:val="nil"/>
              <w:bottom w:val="single" w:sz="4" w:space="0" w:color="auto"/>
              <w:right w:val="single" w:sz="4" w:space="0" w:color="auto"/>
            </w:tcBorders>
            <w:shd w:val="clear" w:color="auto" w:fill="auto"/>
            <w:vAlign w:val="center"/>
            <w:hideMark/>
          </w:tcPr>
          <w:p w14:paraId="35A0B727"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Për disa shtesa dhe ndryshime në Ligjin  45/2016 “Për vullnetarizmin”  </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14:paraId="719F3014"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Projektligj</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0304521A"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Ministri I Shtetit për Rininë dhe Fëmijët; Ministri I Financave dhe Ekonomisë;</w:t>
            </w:r>
          </w:p>
        </w:tc>
        <w:tc>
          <w:tcPr>
            <w:tcW w:w="334" w:type="pct"/>
            <w:tcBorders>
              <w:top w:val="single" w:sz="4" w:space="0" w:color="auto"/>
              <w:left w:val="nil"/>
              <w:bottom w:val="single" w:sz="4" w:space="0" w:color="auto"/>
              <w:right w:val="single" w:sz="4" w:space="0" w:color="auto"/>
            </w:tcBorders>
            <w:shd w:val="clear" w:color="auto" w:fill="auto"/>
            <w:noWrap/>
            <w:vAlign w:val="center"/>
            <w:hideMark/>
          </w:tcPr>
          <w:p w14:paraId="57CE5309"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Katërmujori III</w:t>
            </w:r>
          </w:p>
        </w:tc>
        <w:tc>
          <w:tcPr>
            <w:tcW w:w="525" w:type="pct"/>
            <w:tcBorders>
              <w:top w:val="single" w:sz="4" w:space="0" w:color="auto"/>
              <w:left w:val="nil"/>
              <w:bottom w:val="single" w:sz="4" w:space="0" w:color="auto"/>
              <w:right w:val="single" w:sz="4" w:space="0" w:color="auto"/>
            </w:tcBorders>
            <w:shd w:val="clear" w:color="auto" w:fill="auto"/>
            <w:vAlign w:val="center"/>
            <w:hideMark/>
          </w:tcPr>
          <w:p w14:paraId="215464D4"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Ky projekt ligj propozohet me qëllim përmirësimin e dispozitave ligjore në fuqi mbi vullnetarizmin dhe krijimin e një mjedis nxitës dhe promovues për vullnetarizmin në Shqipëri. </w:t>
            </w:r>
          </w:p>
        </w:tc>
        <w:tc>
          <w:tcPr>
            <w:tcW w:w="741" w:type="pct"/>
            <w:tcBorders>
              <w:top w:val="single" w:sz="4" w:space="0" w:color="auto"/>
              <w:left w:val="nil"/>
              <w:bottom w:val="single" w:sz="4" w:space="0" w:color="auto"/>
              <w:right w:val="single" w:sz="4" w:space="0" w:color="auto"/>
            </w:tcBorders>
            <w:shd w:val="clear" w:color="auto" w:fill="auto"/>
            <w:vAlign w:val="center"/>
            <w:hideMark/>
          </w:tcPr>
          <w:p w14:paraId="3DACDA5B"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Nëpërmjet projektligjit do të qartësohen dhe lehtësohet zbatimi i dispozitave ligjore të lidhura me marrëdhënien midis ofruesit të vullnetarizimit dhe vullnetarit; llojit të mbulimit të sigurimit të shëndetit të vullnetarit nga ofruesi i vullnetarizmit; qëllimin e mbajtjes dhe përdorimit të regjistrit të vullnetareve; dallimet mes vullnetarizmit të strukturuar dhe atij masiv apo afatshkurtër; vullnetarizmit digjital; ngritjen  e shërbimit elektronik për regjistrin e vullnetarëve dhe librezën e vullnetarëve etj.</w:t>
            </w:r>
          </w:p>
        </w:tc>
        <w:tc>
          <w:tcPr>
            <w:tcW w:w="305" w:type="pct"/>
            <w:tcBorders>
              <w:top w:val="single" w:sz="4" w:space="0" w:color="auto"/>
              <w:left w:val="nil"/>
              <w:bottom w:val="single" w:sz="4" w:space="0" w:color="auto"/>
              <w:right w:val="single" w:sz="4" w:space="0" w:color="auto"/>
            </w:tcBorders>
            <w:shd w:val="clear" w:color="auto" w:fill="auto"/>
            <w:vAlign w:val="center"/>
            <w:hideMark/>
          </w:tcPr>
          <w:p w14:paraId="2B419786"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Kapitulli 26.</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0E5EA794"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Nuk ka</w:t>
            </w:r>
          </w:p>
        </w:tc>
        <w:tc>
          <w:tcPr>
            <w:tcW w:w="570" w:type="pct"/>
            <w:tcBorders>
              <w:top w:val="single" w:sz="4" w:space="0" w:color="auto"/>
              <w:left w:val="nil"/>
              <w:bottom w:val="single" w:sz="4" w:space="0" w:color="auto"/>
              <w:right w:val="single" w:sz="4" w:space="0" w:color="auto"/>
            </w:tcBorders>
            <w:shd w:val="clear" w:color="auto" w:fill="auto"/>
            <w:vAlign w:val="center"/>
            <w:hideMark/>
          </w:tcPr>
          <w:p w14:paraId="604F9F92"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Strategjia Kombëtare e Rinisë 2022-29.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69A996D4"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Priten ndikime të mundshme pozitive  ekonomike, financiare, sociale dhe mjedisore</w:t>
            </w:r>
          </w:p>
        </w:tc>
      </w:tr>
      <w:tr w:rsidR="00EA1F3C" w:rsidRPr="00812C9A" w14:paraId="7570C285" w14:textId="77777777" w:rsidTr="00EA1F3C">
        <w:trPr>
          <w:trHeight w:val="180"/>
        </w:trPr>
        <w:tc>
          <w:tcPr>
            <w:tcW w:w="118" w:type="pct"/>
            <w:tcBorders>
              <w:top w:val="nil"/>
              <w:left w:val="single" w:sz="4" w:space="0" w:color="auto"/>
              <w:bottom w:val="single" w:sz="4" w:space="0" w:color="auto"/>
              <w:right w:val="single" w:sz="4" w:space="0" w:color="auto"/>
            </w:tcBorders>
            <w:shd w:val="clear" w:color="auto" w:fill="auto"/>
            <w:noWrap/>
            <w:vAlign w:val="center"/>
            <w:hideMark/>
          </w:tcPr>
          <w:p w14:paraId="2F4E3D20"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2</w:t>
            </w:r>
          </w:p>
        </w:tc>
        <w:tc>
          <w:tcPr>
            <w:tcW w:w="863" w:type="pct"/>
            <w:tcBorders>
              <w:top w:val="nil"/>
              <w:left w:val="nil"/>
              <w:bottom w:val="single" w:sz="4" w:space="0" w:color="auto"/>
              <w:right w:val="single" w:sz="4" w:space="0" w:color="auto"/>
            </w:tcBorders>
            <w:shd w:val="clear" w:color="auto" w:fill="auto"/>
            <w:vAlign w:val="center"/>
            <w:hideMark/>
          </w:tcPr>
          <w:p w14:paraId="678BCC84"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Për disa shtesa dhe ndryshime në Ligjin  NR. 75/2019 "Për Rininë" </w:t>
            </w:r>
          </w:p>
        </w:tc>
        <w:tc>
          <w:tcPr>
            <w:tcW w:w="346" w:type="pct"/>
            <w:tcBorders>
              <w:top w:val="nil"/>
              <w:left w:val="nil"/>
              <w:bottom w:val="single" w:sz="4" w:space="0" w:color="auto"/>
              <w:right w:val="single" w:sz="4" w:space="0" w:color="auto"/>
            </w:tcBorders>
            <w:shd w:val="clear" w:color="auto" w:fill="auto"/>
            <w:noWrap/>
            <w:vAlign w:val="center"/>
            <w:hideMark/>
          </w:tcPr>
          <w:p w14:paraId="7931C043"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Projektligj</w:t>
            </w:r>
          </w:p>
        </w:tc>
        <w:tc>
          <w:tcPr>
            <w:tcW w:w="432" w:type="pct"/>
            <w:tcBorders>
              <w:top w:val="nil"/>
              <w:left w:val="nil"/>
              <w:bottom w:val="single" w:sz="4" w:space="0" w:color="auto"/>
              <w:right w:val="single" w:sz="4" w:space="0" w:color="auto"/>
            </w:tcBorders>
            <w:shd w:val="clear" w:color="auto" w:fill="auto"/>
            <w:vAlign w:val="center"/>
            <w:hideMark/>
          </w:tcPr>
          <w:p w14:paraId="04A9C227"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Ministri I Shtetit për Rininë dhe Fëmijët; </w:t>
            </w:r>
          </w:p>
        </w:tc>
        <w:tc>
          <w:tcPr>
            <w:tcW w:w="334" w:type="pct"/>
            <w:tcBorders>
              <w:top w:val="nil"/>
              <w:left w:val="nil"/>
              <w:bottom w:val="single" w:sz="4" w:space="0" w:color="auto"/>
              <w:right w:val="single" w:sz="4" w:space="0" w:color="auto"/>
            </w:tcBorders>
            <w:shd w:val="clear" w:color="auto" w:fill="auto"/>
            <w:noWrap/>
            <w:vAlign w:val="center"/>
            <w:hideMark/>
          </w:tcPr>
          <w:p w14:paraId="7F8A16B9"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Katërmujori III</w:t>
            </w:r>
          </w:p>
        </w:tc>
        <w:tc>
          <w:tcPr>
            <w:tcW w:w="525" w:type="pct"/>
            <w:tcBorders>
              <w:top w:val="nil"/>
              <w:left w:val="nil"/>
              <w:bottom w:val="single" w:sz="4" w:space="0" w:color="auto"/>
              <w:right w:val="single" w:sz="4" w:space="0" w:color="auto"/>
            </w:tcBorders>
            <w:shd w:val="clear" w:color="auto" w:fill="auto"/>
            <w:vAlign w:val="center"/>
            <w:hideMark/>
          </w:tcPr>
          <w:p w14:paraId="6F96BF20"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Ky projekt ligj propozohet me qëllim konsolidimin e kuadrit ligjor për rininë duke përmirësuar mekanizmat  për nxitjen e aktivitizimit, pjesëmarrjes dhe mbështetjen e të rinjve dhe organizatave që ushtrojnë veprimtari në fushën e rinisë.       </w:t>
            </w:r>
          </w:p>
        </w:tc>
        <w:tc>
          <w:tcPr>
            <w:tcW w:w="741" w:type="pct"/>
            <w:tcBorders>
              <w:top w:val="nil"/>
              <w:left w:val="nil"/>
              <w:bottom w:val="single" w:sz="4" w:space="0" w:color="auto"/>
              <w:right w:val="single" w:sz="4" w:space="0" w:color="auto"/>
            </w:tcBorders>
            <w:shd w:val="clear" w:color="auto" w:fill="auto"/>
            <w:vAlign w:val="center"/>
            <w:hideMark/>
          </w:tcPr>
          <w:p w14:paraId="052F1BA6"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Nëpërmjet projektligjit do të qartësohen kriteret për organizatat rinore dhe harmonizohen me parashikimet e legjislacionin në fuqi për organizatat jo fitimprurëse, do të rishikohen kriteret për  ngritjen e organizatës kombëtare përfaqësuese rinore dhe konsolidohet roli i saj në mjedisin rinor, do të përmirësohen mekanizmat e mbështetjes së infrastrukturës rinore dhe vendosjes së krutereve bazë për punonjësit rinor.  </w:t>
            </w:r>
          </w:p>
        </w:tc>
        <w:tc>
          <w:tcPr>
            <w:tcW w:w="305" w:type="pct"/>
            <w:tcBorders>
              <w:top w:val="nil"/>
              <w:left w:val="nil"/>
              <w:bottom w:val="single" w:sz="4" w:space="0" w:color="auto"/>
              <w:right w:val="single" w:sz="4" w:space="0" w:color="auto"/>
            </w:tcBorders>
            <w:shd w:val="clear" w:color="auto" w:fill="auto"/>
            <w:vAlign w:val="center"/>
            <w:hideMark/>
          </w:tcPr>
          <w:p w14:paraId="7B446DDE"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Kapitulli 26.</w:t>
            </w:r>
          </w:p>
        </w:tc>
        <w:tc>
          <w:tcPr>
            <w:tcW w:w="456" w:type="pct"/>
            <w:tcBorders>
              <w:top w:val="nil"/>
              <w:left w:val="nil"/>
              <w:bottom w:val="single" w:sz="4" w:space="0" w:color="auto"/>
              <w:right w:val="single" w:sz="4" w:space="0" w:color="auto"/>
            </w:tcBorders>
            <w:shd w:val="clear" w:color="auto" w:fill="auto"/>
            <w:vAlign w:val="center"/>
            <w:hideMark/>
          </w:tcPr>
          <w:p w14:paraId="0B37D131"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Nuk ka</w:t>
            </w:r>
          </w:p>
        </w:tc>
        <w:tc>
          <w:tcPr>
            <w:tcW w:w="570" w:type="pct"/>
            <w:tcBorders>
              <w:top w:val="nil"/>
              <w:left w:val="nil"/>
              <w:bottom w:val="single" w:sz="4" w:space="0" w:color="auto"/>
              <w:right w:val="single" w:sz="4" w:space="0" w:color="auto"/>
            </w:tcBorders>
            <w:shd w:val="clear" w:color="auto" w:fill="auto"/>
            <w:vAlign w:val="center"/>
            <w:hideMark/>
          </w:tcPr>
          <w:p w14:paraId="7760FBDF"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 xml:space="preserve">Strategjia Kombëtare e Rinisë 2022-29. </w:t>
            </w:r>
          </w:p>
        </w:tc>
        <w:tc>
          <w:tcPr>
            <w:tcW w:w="309" w:type="pct"/>
            <w:tcBorders>
              <w:top w:val="nil"/>
              <w:left w:val="nil"/>
              <w:bottom w:val="single" w:sz="4" w:space="0" w:color="auto"/>
              <w:right w:val="single" w:sz="4" w:space="0" w:color="auto"/>
            </w:tcBorders>
            <w:shd w:val="clear" w:color="auto" w:fill="auto"/>
            <w:vAlign w:val="center"/>
            <w:hideMark/>
          </w:tcPr>
          <w:p w14:paraId="5EAB8741" w14:textId="77777777" w:rsidR="00EA1F3C" w:rsidRPr="00EA1F3C" w:rsidRDefault="00EA1F3C" w:rsidP="00EA1F3C">
            <w:pPr>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rFonts w:ascii="Arial" w:eastAsia="Times New Roman" w:hAnsi="Arial" w:cs="Arial"/>
                <w:color w:val="000000"/>
                <w:sz w:val="12"/>
                <w:szCs w:val="12"/>
                <w:bdr w:val="none" w:sz="0" w:space="0" w:color="auto"/>
              </w:rPr>
            </w:pPr>
            <w:r w:rsidRPr="00EA1F3C">
              <w:rPr>
                <w:rFonts w:ascii="Arial" w:eastAsia="Times New Roman" w:hAnsi="Arial" w:cs="Arial"/>
                <w:color w:val="000000"/>
                <w:sz w:val="12"/>
                <w:szCs w:val="12"/>
                <w:bdr w:val="none" w:sz="0" w:space="0" w:color="auto"/>
              </w:rPr>
              <w:t>Priten ndikime të mundshme pozitive  ekonomike, sociale dhe mjedisore</w:t>
            </w:r>
          </w:p>
        </w:tc>
      </w:tr>
    </w:tbl>
    <w:p w14:paraId="7A2C93D9" w14:textId="1B30DA47" w:rsidR="00050CA1" w:rsidRDefault="00050CA1" w:rsidP="009F3407">
      <w:pPr>
        <w:pStyle w:val="BodyA"/>
        <w:jc w:val="center"/>
        <w:rPr>
          <w:sz w:val="28"/>
          <w:szCs w:val="28"/>
          <w:lang w:val="it-IT"/>
        </w:rPr>
      </w:pPr>
    </w:p>
    <w:p w14:paraId="3C32A5BE" w14:textId="7E0D3C97" w:rsidR="00050CA1" w:rsidRDefault="00050CA1" w:rsidP="009F3407">
      <w:pPr>
        <w:pStyle w:val="BodyA"/>
        <w:jc w:val="center"/>
        <w:rPr>
          <w:sz w:val="28"/>
          <w:szCs w:val="28"/>
          <w:lang w:val="it-IT"/>
        </w:rPr>
      </w:pPr>
    </w:p>
    <w:p w14:paraId="5CDA7380" w14:textId="3B5AE7A9" w:rsidR="00050CA1" w:rsidRDefault="00050CA1" w:rsidP="009F3407">
      <w:pPr>
        <w:pStyle w:val="BodyA"/>
        <w:jc w:val="center"/>
        <w:rPr>
          <w:sz w:val="28"/>
          <w:szCs w:val="28"/>
          <w:lang w:val="it-IT"/>
        </w:rPr>
      </w:pPr>
    </w:p>
    <w:p w14:paraId="297603A1" w14:textId="2F760B09" w:rsidR="00F13B00" w:rsidRDefault="00F13B00" w:rsidP="009F3407">
      <w:pPr>
        <w:pStyle w:val="BodyA"/>
        <w:jc w:val="center"/>
        <w:rPr>
          <w:sz w:val="28"/>
          <w:szCs w:val="28"/>
          <w:lang w:val="it-IT"/>
        </w:rPr>
      </w:pPr>
    </w:p>
    <w:p w14:paraId="5E92200D" w14:textId="26E46D03" w:rsidR="00F13B00" w:rsidRDefault="00F13B00" w:rsidP="009F3407">
      <w:pPr>
        <w:pStyle w:val="BodyA"/>
        <w:jc w:val="center"/>
        <w:rPr>
          <w:sz w:val="28"/>
          <w:szCs w:val="28"/>
          <w:lang w:val="it-IT"/>
        </w:rPr>
      </w:pPr>
    </w:p>
    <w:p w14:paraId="2436E136" w14:textId="686A9547" w:rsidR="00F13B00" w:rsidRDefault="00F13B00" w:rsidP="009F3407">
      <w:pPr>
        <w:pStyle w:val="BodyA"/>
        <w:jc w:val="center"/>
        <w:rPr>
          <w:sz w:val="28"/>
          <w:szCs w:val="28"/>
          <w:lang w:val="it-IT"/>
        </w:rPr>
      </w:pPr>
    </w:p>
    <w:p w14:paraId="5BEDBBA1" w14:textId="4A43EC79" w:rsidR="00F13B00" w:rsidRDefault="00F13B00" w:rsidP="009F3407">
      <w:pPr>
        <w:pStyle w:val="BodyA"/>
        <w:jc w:val="center"/>
        <w:rPr>
          <w:sz w:val="28"/>
          <w:szCs w:val="28"/>
          <w:lang w:val="it-IT"/>
        </w:rPr>
      </w:pPr>
    </w:p>
    <w:tbl>
      <w:tblPr>
        <w:tblW w:w="5000" w:type="pct"/>
        <w:jc w:val="center"/>
        <w:tblLook w:val="04A0" w:firstRow="1" w:lastRow="0" w:firstColumn="1" w:lastColumn="0" w:noHBand="0" w:noVBand="1"/>
      </w:tblPr>
      <w:tblGrid>
        <w:gridCol w:w="383"/>
        <w:gridCol w:w="2296"/>
        <w:gridCol w:w="977"/>
        <w:gridCol w:w="1132"/>
        <w:gridCol w:w="856"/>
        <w:gridCol w:w="1859"/>
        <w:gridCol w:w="1968"/>
        <w:gridCol w:w="917"/>
        <w:gridCol w:w="1197"/>
        <w:gridCol w:w="1496"/>
        <w:gridCol w:w="877"/>
      </w:tblGrid>
      <w:tr w:rsidR="00894973" w:rsidRPr="00894973" w14:paraId="5D5AB87B" w14:textId="77777777" w:rsidTr="00894973">
        <w:trPr>
          <w:trHeight w:val="180"/>
          <w:jc w:val="center"/>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6312A54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894973">
              <w:rPr>
                <w:rFonts w:ascii="Arial" w:eastAsia="Times New Roman" w:hAnsi="Arial" w:cs="Arial"/>
                <w:b/>
                <w:bCs/>
                <w:color w:val="000000"/>
                <w:sz w:val="12"/>
                <w:szCs w:val="12"/>
                <w:bdr w:val="none" w:sz="0" w:space="0" w:color="auto"/>
              </w:rPr>
              <w:t>Programi i Përgjithshëm Analitik i Projektakteve për vitin 2024</w:t>
            </w:r>
          </w:p>
        </w:tc>
      </w:tr>
      <w:tr w:rsidR="00894973" w:rsidRPr="00894973" w14:paraId="298277DE" w14:textId="77777777" w:rsidTr="00894973">
        <w:trPr>
          <w:trHeight w:val="180"/>
          <w:jc w:val="center"/>
        </w:trPr>
        <w:tc>
          <w:tcPr>
            <w:tcW w:w="5000" w:type="pct"/>
            <w:gridSpan w:val="11"/>
            <w:tcBorders>
              <w:top w:val="single" w:sz="4" w:space="0" w:color="FFFFFF"/>
              <w:left w:val="nil"/>
              <w:bottom w:val="nil"/>
              <w:right w:val="nil"/>
            </w:tcBorders>
            <w:shd w:val="clear" w:color="000000" w:fill="F2F2F2"/>
            <w:vAlign w:val="center"/>
            <w:hideMark/>
          </w:tcPr>
          <w:p w14:paraId="7C6428E9"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894973">
              <w:rPr>
                <w:rFonts w:ascii="Arial" w:eastAsia="Times New Roman" w:hAnsi="Arial" w:cs="Arial"/>
                <w:b/>
                <w:bCs/>
                <w:color w:val="000000"/>
                <w:sz w:val="12"/>
                <w:szCs w:val="12"/>
                <w:bdr w:val="none" w:sz="0" w:space="0" w:color="auto"/>
              </w:rPr>
              <w:t>Ministri i Shtetit për Pushtetin Vendor</w:t>
            </w:r>
          </w:p>
        </w:tc>
      </w:tr>
      <w:tr w:rsidR="00894973" w:rsidRPr="00894973" w14:paraId="66FFDF12" w14:textId="77777777" w:rsidTr="00894973">
        <w:trPr>
          <w:trHeight w:val="180"/>
          <w:jc w:val="center"/>
        </w:trPr>
        <w:tc>
          <w:tcPr>
            <w:tcW w:w="114" w:type="pct"/>
            <w:tcBorders>
              <w:top w:val="single" w:sz="8" w:space="0" w:color="auto"/>
              <w:left w:val="single" w:sz="8" w:space="0" w:color="auto"/>
              <w:bottom w:val="nil"/>
              <w:right w:val="nil"/>
            </w:tcBorders>
            <w:shd w:val="clear" w:color="000000" w:fill="C00000"/>
            <w:vAlign w:val="center"/>
            <w:hideMark/>
          </w:tcPr>
          <w:p w14:paraId="0D3D57FE"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Nr.</w:t>
            </w:r>
          </w:p>
        </w:tc>
        <w:tc>
          <w:tcPr>
            <w:tcW w:w="835" w:type="pct"/>
            <w:tcBorders>
              <w:top w:val="single" w:sz="8" w:space="0" w:color="auto"/>
              <w:left w:val="single" w:sz="4" w:space="0" w:color="FFFFFF"/>
              <w:bottom w:val="nil"/>
              <w:right w:val="single" w:sz="4" w:space="0" w:color="FFFFFF"/>
            </w:tcBorders>
            <w:shd w:val="clear" w:color="000000" w:fill="C00000"/>
            <w:vAlign w:val="center"/>
            <w:hideMark/>
          </w:tcPr>
          <w:p w14:paraId="056564AC"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Titulli i projektaktit</w:t>
            </w:r>
          </w:p>
        </w:tc>
        <w:tc>
          <w:tcPr>
            <w:tcW w:w="335" w:type="pct"/>
            <w:tcBorders>
              <w:top w:val="single" w:sz="8" w:space="0" w:color="auto"/>
              <w:left w:val="nil"/>
              <w:bottom w:val="nil"/>
              <w:right w:val="single" w:sz="4" w:space="0" w:color="FFFFFF"/>
            </w:tcBorders>
            <w:shd w:val="clear" w:color="000000" w:fill="C00000"/>
            <w:vAlign w:val="center"/>
            <w:hideMark/>
          </w:tcPr>
          <w:p w14:paraId="1DD3D33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Lloji i projektaktit</w:t>
            </w:r>
          </w:p>
        </w:tc>
        <w:tc>
          <w:tcPr>
            <w:tcW w:w="418" w:type="pct"/>
            <w:tcBorders>
              <w:top w:val="single" w:sz="8" w:space="0" w:color="auto"/>
              <w:left w:val="nil"/>
              <w:bottom w:val="nil"/>
              <w:right w:val="nil"/>
            </w:tcBorders>
            <w:shd w:val="clear" w:color="000000" w:fill="C00000"/>
            <w:vAlign w:val="center"/>
            <w:hideMark/>
          </w:tcPr>
          <w:p w14:paraId="625A5EFC"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Ministri propozues</w:t>
            </w:r>
          </w:p>
        </w:tc>
        <w:tc>
          <w:tcPr>
            <w:tcW w:w="319" w:type="pct"/>
            <w:tcBorders>
              <w:top w:val="single" w:sz="8" w:space="0" w:color="auto"/>
              <w:left w:val="single" w:sz="4" w:space="0" w:color="FFFFFF"/>
              <w:bottom w:val="nil"/>
              <w:right w:val="nil"/>
            </w:tcBorders>
            <w:shd w:val="clear" w:color="000000" w:fill="C00000"/>
            <w:vAlign w:val="center"/>
            <w:hideMark/>
          </w:tcPr>
          <w:p w14:paraId="3FFAD55E"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Katër mujori</w:t>
            </w:r>
          </w:p>
        </w:tc>
        <w:tc>
          <w:tcPr>
            <w:tcW w:w="678" w:type="pct"/>
            <w:tcBorders>
              <w:top w:val="single" w:sz="8" w:space="0" w:color="auto"/>
              <w:left w:val="single" w:sz="4" w:space="0" w:color="FFFFFF"/>
              <w:bottom w:val="nil"/>
              <w:right w:val="nil"/>
            </w:tcBorders>
            <w:shd w:val="clear" w:color="000000" w:fill="C00000"/>
            <w:vAlign w:val="center"/>
            <w:hideMark/>
          </w:tcPr>
          <w:p w14:paraId="14D85F9A"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Arsyet kryesore për propozimin e projektaktit</w:t>
            </w:r>
          </w:p>
        </w:tc>
        <w:tc>
          <w:tcPr>
            <w:tcW w:w="717" w:type="pct"/>
            <w:tcBorders>
              <w:top w:val="single" w:sz="8" w:space="0" w:color="auto"/>
              <w:left w:val="single" w:sz="4" w:space="0" w:color="FFFFFF"/>
              <w:bottom w:val="nil"/>
              <w:right w:val="single" w:sz="4" w:space="0" w:color="FFFFFF"/>
            </w:tcBorders>
            <w:shd w:val="clear" w:color="000000" w:fill="C00000"/>
            <w:vAlign w:val="center"/>
            <w:hideMark/>
          </w:tcPr>
          <w:p w14:paraId="4BD8525D"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 xml:space="preserve">Çështjet kryesore që parashikon të rregullojë projektakti </w:t>
            </w:r>
          </w:p>
        </w:tc>
        <w:tc>
          <w:tcPr>
            <w:tcW w:w="296" w:type="pct"/>
            <w:tcBorders>
              <w:top w:val="single" w:sz="8" w:space="0" w:color="auto"/>
              <w:left w:val="nil"/>
              <w:bottom w:val="nil"/>
              <w:right w:val="single" w:sz="4" w:space="0" w:color="FFFFFF"/>
            </w:tcBorders>
            <w:shd w:val="clear" w:color="000000" w:fill="C00000"/>
            <w:vAlign w:val="center"/>
            <w:hideMark/>
          </w:tcPr>
          <w:p w14:paraId="44DC9533"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A është parashikuar projektakti në PKIE?</w:t>
            </w:r>
            <w:r w:rsidRPr="00894973">
              <w:rPr>
                <w:rFonts w:ascii="Arial" w:eastAsia="Times New Roman" w:hAnsi="Arial" w:cs="Arial"/>
                <w:b/>
                <w:bCs/>
                <w:color w:val="FFFFFF"/>
                <w:sz w:val="12"/>
                <w:szCs w:val="12"/>
                <w:bdr w:val="none" w:sz="0" w:space="0" w:color="auto"/>
              </w:rPr>
              <w:br/>
            </w:r>
            <w:r w:rsidRPr="00894973">
              <w:rPr>
                <w:rFonts w:ascii="Arial" w:eastAsia="Times New Roman" w:hAnsi="Arial" w:cs="Arial"/>
                <w:b/>
                <w:bCs/>
                <w:color w:val="FFFFFF"/>
                <w:sz w:val="12"/>
                <w:szCs w:val="12"/>
                <w:bdr w:val="none" w:sz="0" w:space="0" w:color="auto"/>
              </w:rPr>
              <w:br/>
              <w:t>Nëse po, të specifikohet kapitulli përkatës</w:t>
            </w:r>
          </w:p>
        </w:tc>
        <w:tc>
          <w:tcPr>
            <w:tcW w:w="441" w:type="pct"/>
            <w:tcBorders>
              <w:top w:val="single" w:sz="8" w:space="0" w:color="auto"/>
              <w:left w:val="nil"/>
              <w:bottom w:val="nil"/>
              <w:right w:val="single" w:sz="4" w:space="0" w:color="FFFFFF"/>
            </w:tcBorders>
            <w:shd w:val="clear" w:color="000000" w:fill="C00000"/>
            <w:vAlign w:val="center"/>
            <w:hideMark/>
          </w:tcPr>
          <w:p w14:paraId="5D549014"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Përputhshmëria e projektaktit me programin politik qeverisës 2021-2025</w:t>
            </w:r>
            <w:r w:rsidRPr="00894973">
              <w:rPr>
                <w:rFonts w:ascii="Arial" w:eastAsia="Times New Roman" w:hAnsi="Arial" w:cs="Arial"/>
                <w:b/>
                <w:bCs/>
                <w:color w:val="FFFFFF"/>
                <w:sz w:val="12"/>
                <w:szCs w:val="12"/>
                <w:bdr w:val="none" w:sz="0" w:space="0" w:color="auto"/>
              </w:rPr>
              <w:br/>
            </w:r>
            <w:r w:rsidRPr="00894973">
              <w:rPr>
                <w:rFonts w:ascii="Arial" w:eastAsia="Times New Roman" w:hAnsi="Arial" w:cs="Arial"/>
                <w:b/>
                <w:bCs/>
                <w:color w:val="FFFFFF"/>
                <w:sz w:val="12"/>
                <w:szCs w:val="12"/>
                <w:bdr w:val="none" w:sz="0" w:space="0" w:color="auto"/>
              </w:rPr>
              <w:br/>
              <w:t>Nëse përputhet, të jepet  referenca e saktë në progam</w:t>
            </w:r>
          </w:p>
        </w:tc>
        <w:tc>
          <w:tcPr>
            <w:tcW w:w="548" w:type="pct"/>
            <w:tcBorders>
              <w:top w:val="single" w:sz="8" w:space="0" w:color="auto"/>
              <w:left w:val="nil"/>
              <w:bottom w:val="nil"/>
              <w:right w:val="single" w:sz="4" w:space="0" w:color="FFFFFF"/>
            </w:tcBorders>
            <w:shd w:val="clear" w:color="000000" w:fill="C00000"/>
            <w:vAlign w:val="center"/>
            <w:hideMark/>
          </w:tcPr>
          <w:p w14:paraId="1028453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Lidhja e projektaktit me strategjitë kombëtare dhe sektoriale</w:t>
            </w:r>
            <w:r w:rsidRPr="00894973">
              <w:rPr>
                <w:rFonts w:ascii="Arial" w:eastAsia="Times New Roman" w:hAnsi="Arial" w:cs="Arial"/>
                <w:b/>
                <w:bCs/>
                <w:color w:val="FFFFFF"/>
                <w:sz w:val="12"/>
                <w:szCs w:val="12"/>
                <w:bdr w:val="none" w:sz="0" w:space="0" w:color="auto"/>
              </w:rPr>
              <w:br/>
            </w:r>
            <w:r w:rsidRPr="00894973">
              <w:rPr>
                <w:rFonts w:ascii="Arial" w:eastAsia="Times New Roman" w:hAnsi="Arial" w:cs="Arial"/>
                <w:b/>
                <w:bCs/>
                <w:color w:val="FFFFFF"/>
                <w:sz w:val="12"/>
                <w:szCs w:val="12"/>
                <w:bdr w:val="none" w:sz="0" w:space="0" w:color="auto"/>
              </w:rPr>
              <w:br/>
              <w:t>Nëse lidhet, të specifikohen strategjitë</w:t>
            </w:r>
          </w:p>
        </w:tc>
        <w:tc>
          <w:tcPr>
            <w:tcW w:w="299" w:type="pct"/>
            <w:tcBorders>
              <w:top w:val="single" w:sz="8" w:space="0" w:color="auto"/>
              <w:left w:val="nil"/>
              <w:bottom w:val="nil"/>
              <w:right w:val="nil"/>
            </w:tcBorders>
            <w:shd w:val="clear" w:color="000000" w:fill="C00000"/>
            <w:vAlign w:val="center"/>
            <w:hideMark/>
          </w:tcPr>
          <w:p w14:paraId="73F3B1FB"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894973">
              <w:rPr>
                <w:rFonts w:ascii="Arial" w:eastAsia="Times New Roman" w:hAnsi="Arial" w:cs="Arial"/>
                <w:b/>
                <w:bCs/>
                <w:color w:val="FFFFFF"/>
                <w:sz w:val="12"/>
                <w:szCs w:val="12"/>
                <w:bdr w:val="none" w:sz="0" w:space="0" w:color="auto"/>
              </w:rPr>
              <w:t>Ndikimet e mundshme ekonomike, financiare, sociale dhe mjedisore</w:t>
            </w:r>
            <w:r w:rsidRPr="00894973">
              <w:rPr>
                <w:rFonts w:ascii="Arial" w:eastAsia="Times New Roman" w:hAnsi="Arial" w:cs="Arial"/>
                <w:b/>
                <w:bCs/>
                <w:color w:val="FFFFFF"/>
                <w:sz w:val="12"/>
                <w:szCs w:val="12"/>
                <w:bdr w:val="none" w:sz="0" w:space="0" w:color="auto"/>
              </w:rPr>
              <w:br/>
            </w:r>
            <w:r w:rsidRPr="00894973">
              <w:rPr>
                <w:rFonts w:ascii="Arial" w:eastAsia="Times New Roman" w:hAnsi="Arial" w:cs="Arial"/>
                <w:b/>
                <w:bCs/>
                <w:color w:val="FFFFFF"/>
                <w:sz w:val="12"/>
                <w:szCs w:val="12"/>
                <w:bdr w:val="none" w:sz="0" w:space="0" w:color="auto"/>
              </w:rPr>
              <w:br/>
              <w:t xml:space="preserve">Përgjigjuni me Po/Jo për ndikimet përkatëse </w:t>
            </w:r>
          </w:p>
        </w:tc>
      </w:tr>
      <w:tr w:rsidR="00894973" w:rsidRPr="00894973" w14:paraId="27A958B0" w14:textId="77777777" w:rsidTr="00894973">
        <w:trPr>
          <w:trHeight w:val="180"/>
          <w:jc w:val="center"/>
        </w:trPr>
        <w:tc>
          <w:tcPr>
            <w:tcW w:w="1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1D9D2B"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1</w:t>
            </w:r>
          </w:p>
        </w:tc>
        <w:tc>
          <w:tcPr>
            <w:tcW w:w="835" w:type="pct"/>
            <w:tcBorders>
              <w:top w:val="single" w:sz="4" w:space="0" w:color="auto"/>
              <w:left w:val="nil"/>
              <w:bottom w:val="single" w:sz="4" w:space="0" w:color="auto"/>
              <w:right w:val="single" w:sz="4" w:space="0" w:color="auto"/>
            </w:tcBorders>
            <w:shd w:val="clear" w:color="auto" w:fill="auto"/>
            <w:vAlign w:val="center"/>
            <w:hideMark/>
          </w:tcPr>
          <w:p w14:paraId="6823361D"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Per shtesa/ndryshime në VKM Nr. 83, datë 28.1.2015 për Organizimin dhe Funksionimin e AMVV</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29DFD8EB"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Projektvendim</w:t>
            </w:r>
          </w:p>
        </w:tc>
        <w:tc>
          <w:tcPr>
            <w:tcW w:w="418" w:type="pct"/>
            <w:tcBorders>
              <w:top w:val="single" w:sz="4" w:space="0" w:color="auto"/>
              <w:left w:val="nil"/>
              <w:bottom w:val="single" w:sz="4" w:space="0" w:color="auto"/>
              <w:right w:val="single" w:sz="4" w:space="0" w:color="auto"/>
            </w:tcBorders>
            <w:shd w:val="clear" w:color="auto" w:fill="auto"/>
            <w:vAlign w:val="center"/>
            <w:hideMark/>
          </w:tcPr>
          <w:p w14:paraId="0B91814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Ministri i Shtetit për Pushtetin Vendor</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6818FBFF"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Katërmujori I</w:t>
            </w:r>
          </w:p>
        </w:tc>
        <w:tc>
          <w:tcPr>
            <w:tcW w:w="678" w:type="pct"/>
            <w:tcBorders>
              <w:top w:val="single" w:sz="4" w:space="0" w:color="auto"/>
              <w:left w:val="nil"/>
              <w:bottom w:val="single" w:sz="4" w:space="0" w:color="auto"/>
              <w:right w:val="single" w:sz="4" w:space="0" w:color="auto"/>
            </w:tcBorders>
            <w:shd w:val="clear" w:color="auto" w:fill="auto"/>
            <w:vAlign w:val="center"/>
            <w:hideMark/>
          </w:tcPr>
          <w:p w14:paraId="21884DDD"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Me themelimin e Ministrisë së Shtetit për Pushtetin Vendor, u krijua nevoja që Agjencia për Mbështetjen e Vetëqeverisjes Vendore të transferohet nga Ministria e Brendshme në Ministrinë e re. Si pasojë, është e domosdoshme të rishikohet VKM Nr. 83, i cili përcakton organizimin dhe funksionimin e kësaj agjencie.</w:t>
            </w:r>
          </w:p>
        </w:tc>
        <w:tc>
          <w:tcPr>
            <w:tcW w:w="717" w:type="pct"/>
            <w:tcBorders>
              <w:top w:val="single" w:sz="4" w:space="0" w:color="auto"/>
              <w:left w:val="nil"/>
              <w:bottom w:val="single" w:sz="4" w:space="0" w:color="auto"/>
              <w:right w:val="single" w:sz="4" w:space="0" w:color="auto"/>
            </w:tcBorders>
            <w:shd w:val="clear" w:color="auto" w:fill="auto"/>
            <w:vAlign w:val="center"/>
            <w:hideMark/>
          </w:tcPr>
          <w:p w14:paraId="051FE42A"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Çështjet kryesore që projektakti synon të adresojë përfshijnë organizimin dhe funksionimin e brendshëm.</w:t>
            </w:r>
          </w:p>
        </w:tc>
        <w:tc>
          <w:tcPr>
            <w:tcW w:w="296" w:type="pct"/>
            <w:tcBorders>
              <w:top w:val="single" w:sz="4" w:space="0" w:color="auto"/>
              <w:left w:val="nil"/>
              <w:bottom w:val="single" w:sz="4" w:space="0" w:color="auto"/>
              <w:right w:val="single" w:sz="4" w:space="0" w:color="auto"/>
            </w:tcBorders>
            <w:shd w:val="clear" w:color="auto" w:fill="auto"/>
            <w:vAlign w:val="center"/>
            <w:hideMark/>
          </w:tcPr>
          <w:p w14:paraId="3380E0AC"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7237EFE9"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6FBBE2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299" w:type="pct"/>
            <w:tcBorders>
              <w:top w:val="single" w:sz="4" w:space="0" w:color="auto"/>
              <w:left w:val="nil"/>
              <w:bottom w:val="single" w:sz="4" w:space="0" w:color="auto"/>
              <w:right w:val="single" w:sz="4" w:space="0" w:color="auto"/>
            </w:tcBorders>
            <w:shd w:val="clear" w:color="auto" w:fill="auto"/>
            <w:vAlign w:val="center"/>
            <w:hideMark/>
          </w:tcPr>
          <w:p w14:paraId="62BA7F0F"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JO</w:t>
            </w:r>
          </w:p>
        </w:tc>
      </w:tr>
      <w:tr w:rsidR="00894973" w:rsidRPr="00894973" w14:paraId="4DC8203D" w14:textId="77777777" w:rsidTr="00894973">
        <w:trPr>
          <w:trHeight w:val="180"/>
          <w:jc w:val="center"/>
        </w:trPr>
        <w:tc>
          <w:tcPr>
            <w:tcW w:w="114" w:type="pct"/>
            <w:tcBorders>
              <w:top w:val="nil"/>
              <w:left w:val="single" w:sz="4" w:space="0" w:color="auto"/>
              <w:bottom w:val="single" w:sz="4" w:space="0" w:color="auto"/>
              <w:right w:val="single" w:sz="4" w:space="0" w:color="auto"/>
            </w:tcBorders>
            <w:shd w:val="clear" w:color="auto" w:fill="auto"/>
            <w:vAlign w:val="center"/>
            <w:hideMark/>
          </w:tcPr>
          <w:p w14:paraId="26BC238B"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2</w:t>
            </w:r>
          </w:p>
        </w:tc>
        <w:tc>
          <w:tcPr>
            <w:tcW w:w="835" w:type="pct"/>
            <w:tcBorders>
              <w:top w:val="nil"/>
              <w:left w:val="nil"/>
              <w:bottom w:val="single" w:sz="4" w:space="0" w:color="auto"/>
              <w:right w:val="single" w:sz="4" w:space="0" w:color="auto"/>
            </w:tcBorders>
            <w:shd w:val="clear" w:color="000000" w:fill="FFFFFF"/>
            <w:vAlign w:val="center"/>
            <w:hideMark/>
          </w:tcPr>
          <w:p w14:paraId="1AAC498A"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Per shtesa/ndryshime ne VKM Nr. 910 dt 21.12.2016  "Për Çështjet, Objekt Konsultimi dhe Strukturën , Procedurën,</w:t>
            </w:r>
            <w:r w:rsidRPr="00894973">
              <w:rPr>
                <w:rFonts w:ascii="Arial" w:eastAsia="Times New Roman" w:hAnsi="Arial" w:cs="Arial"/>
                <w:color w:val="000000"/>
                <w:sz w:val="12"/>
                <w:szCs w:val="12"/>
                <w:bdr w:val="none" w:sz="0" w:space="0" w:color="auto"/>
              </w:rPr>
              <w:br/>
              <w:t xml:space="preserve">Formën, Mënyrën e Organizimit e të Funksionimit të Këshillit Konsultativ të Qeverisjes Qendrore me Vetëqeverisjen Vendore </w:t>
            </w:r>
          </w:p>
        </w:tc>
        <w:tc>
          <w:tcPr>
            <w:tcW w:w="335" w:type="pct"/>
            <w:tcBorders>
              <w:top w:val="nil"/>
              <w:left w:val="nil"/>
              <w:bottom w:val="single" w:sz="4" w:space="0" w:color="auto"/>
              <w:right w:val="single" w:sz="4" w:space="0" w:color="auto"/>
            </w:tcBorders>
            <w:shd w:val="clear" w:color="auto" w:fill="auto"/>
            <w:vAlign w:val="center"/>
            <w:hideMark/>
          </w:tcPr>
          <w:p w14:paraId="5E8DF5E4"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Projektvendim</w:t>
            </w:r>
          </w:p>
        </w:tc>
        <w:tc>
          <w:tcPr>
            <w:tcW w:w="418" w:type="pct"/>
            <w:tcBorders>
              <w:top w:val="nil"/>
              <w:left w:val="nil"/>
              <w:bottom w:val="single" w:sz="4" w:space="0" w:color="auto"/>
              <w:right w:val="single" w:sz="4" w:space="0" w:color="auto"/>
            </w:tcBorders>
            <w:shd w:val="clear" w:color="auto" w:fill="auto"/>
            <w:vAlign w:val="center"/>
            <w:hideMark/>
          </w:tcPr>
          <w:p w14:paraId="071F25F7"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Ministri i Shtetit për Pushtetin Vendor</w:t>
            </w:r>
          </w:p>
        </w:tc>
        <w:tc>
          <w:tcPr>
            <w:tcW w:w="319" w:type="pct"/>
            <w:tcBorders>
              <w:top w:val="nil"/>
              <w:left w:val="nil"/>
              <w:bottom w:val="single" w:sz="4" w:space="0" w:color="auto"/>
              <w:right w:val="single" w:sz="4" w:space="0" w:color="auto"/>
            </w:tcBorders>
            <w:shd w:val="clear" w:color="auto" w:fill="auto"/>
            <w:vAlign w:val="center"/>
            <w:hideMark/>
          </w:tcPr>
          <w:p w14:paraId="51002B0E"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Katërmujori I</w:t>
            </w:r>
          </w:p>
        </w:tc>
        <w:tc>
          <w:tcPr>
            <w:tcW w:w="678" w:type="pct"/>
            <w:tcBorders>
              <w:top w:val="nil"/>
              <w:left w:val="nil"/>
              <w:bottom w:val="single" w:sz="4" w:space="0" w:color="auto"/>
              <w:right w:val="single" w:sz="4" w:space="0" w:color="auto"/>
            </w:tcBorders>
            <w:shd w:val="clear" w:color="auto" w:fill="auto"/>
            <w:vAlign w:val="center"/>
            <w:hideMark/>
          </w:tcPr>
          <w:p w14:paraId="0E808604"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Rishikimi i VKM-së për Këshillin Konsultativ është i nevojshëm për të rritur efikasitetin e tij, duke ndarë organizimin në dy nivele: një nivel teknik, i përbërë nga disa tryeza teknike, të cilat do të krijojnë bazën për zhvillimin e debatit teknik, dhe një tryezë e nivelit politik, ku do të diskutohen rekomandimet e tryezave teknike. Kjo ndarje synon të sigurojë një platformë më të qartë dhe të strukturuar për diskutime të frytshme dhe vendimmarrje më të informuar.</w:t>
            </w:r>
          </w:p>
        </w:tc>
        <w:tc>
          <w:tcPr>
            <w:tcW w:w="717" w:type="pct"/>
            <w:tcBorders>
              <w:top w:val="nil"/>
              <w:left w:val="nil"/>
              <w:bottom w:val="single" w:sz="4" w:space="0" w:color="auto"/>
              <w:right w:val="single" w:sz="4" w:space="0" w:color="auto"/>
            </w:tcBorders>
            <w:shd w:val="clear" w:color="auto" w:fill="auto"/>
            <w:vAlign w:val="center"/>
            <w:hideMark/>
          </w:tcPr>
          <w:p w14:paraId="73A1F754"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Optimizimi i strukturës organizative të Këshillit Konsultativ, duke ndarë funksionimin e tij në dy nivele - një nivel teknik me tryeza teknike për zhvillimin e debatit dhe analizës teknike, dhe një tryezë të nivelit politik për diskutimin dhe vendimmarrjen mbi rekomandimet e marra nga tryezat teknike - për të siguruar diskutime më të qarta, të frytshme dhe vendimmarrje më të informuar.</w:t>
            </w:r>
          </w:p>
        </w:tc>
        <w:tc>
          <w:tcPr>
            <w:tcW w:w="296" w:type="pct"/>
            <w:tcBorders>
              <w:top w:val="nil"/>
              <w:left w:val="nil"/>
              <w:bottom w:val="single" w:sz="4" w:space="0" w:color="auto"/>
              <w:right w:val="single" w:sz="4" w:space="0" w:color="auto"/>
            </w:tcBorders>
            <w:shd w:val="clear" w:color="auto" w:fill="auto"/>
            <w:vAlign w:val="center"/>
            <w:hideMark/>
          </w:tcPr>
          <w:p w14:paraId="279A5458"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441" w:type="pct"/>
            <w:tcBorders>
              <w:top w:val="nil"/>
              <w:left w:val="nil"/>
              <w:bottom w:val="single" w:sz="4" w:space="0" w:color="auto"/>
              <w:right w:val="single" w:sz="4" w:space="0" w:color="auto"/>
            </w:tcBorders>
            <w:shd w:val="clear" w:color="auto" w:fill="auto"/>
            <w:vAlign w:val="center"/>
            <w:hideMark/>
          </w:tcPr>
          <w:p w14:paraId="66A26D23"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548" w:type="pct"/>
            <w:tcBorders>
              <w:top w:val="nil"/>
              <w:left w:val="nil"/>
              <w:bottom w:val="single" w:sz="4" w:space="0" w:color="auto"/>
              <w:right w:val="single" w:sz="4" w:space="0" w:color="auto"/>
            </w:tcBorders>
            <w:shd w:val="clear" w:color="auto" w:fill="auto"/>
            <w:vAlign w:val="center"/>
            <w:hideMark/>
          </w:tcPr>
          <w:p w14:paraId="0041C843"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299" w:type="pct"/>
            <w:tcBorders>
              <w:top w:val="nil"/>
              <w:left w:val="nil"/>
              <w:bottom w:val="single" w:sz="4" w:space="0" w:color="auto"/>
              <w:right w:val="single" w:sz="4" w:space="0" w:color="auto"/>
            </w:tcBorders>
            <w:shd w:val="clear" w:color="auto" w:fill="auto"/>
            <w:vAlign w:val="center"/>
            <w:hideMark/>
          </w:tcPr>
          <w:p w14:paraId="76AC5F1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JO</w:t>
            </w:r>
          </w:p>
        </w:tc>
      </w:tr>
      <w:tr w:rsidR="00894973" w:rsidRPr="00894973" w14:paraId="54BD4E8A" w14:textId="77777777" w:rsidTr="00894973">
        <w:trPr>
          <w:trHeight w:val="180"/>
          <w:jc w:val="center"/>
        </w:trPr>
        <w:tc>
          <w:tcPr>
            <w:tcW w:w="114" w:type="pct"/>
            <w:tcBorders>
              <w:top w:val="nil"/>
              <w:left w:val="single" w:sz="4" w:space="0" w:color="auto"/>
              <w:bottom w:val="single" w:sz="4" w:space="0" w:color="auto"/>
              <w:right w:val="single" w:sz="4" w:space="0" w:color="auto"/>
            </w:tcBorders>
            <w:shd w:val="clear" w:color="auto" w:fill="auto"/>
            <w:vAlign w:val="center"/>
            <w:hideMark/>
          </w:tcPr>
          <w:p w14:paraId="11899F34"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3</w:t>
            </w:r>
          </w:p>
        </w:tc>
        <w:tc>
          <w:tcPr>
            <w:tcW w:w="835" w:type="pct"/>
            <w:tcBorders>
              <w:top w:val="nil"/>
              <w:left w:val="nil"/>
              <w:bottom w:val="single" w:sz="4" w:space="0" w:color="auto"/>
              <w:right w:val="single" w:sz="4" w:space="0" w:color="auto"/>
            </w:tcBorders>
            <w:shd w:val="clear" w:color="auto" w:fill="auto"/>
            <w:vAlign w:val="center"/>
            <w:hideMark/>
          </w:tcPr>
          <w:p w14:paraId="67AD359A"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 xml:space="preserve">Per shtesa/ndryshime në ligjin nr. 68/2017 për Financat e Vetëqeverisjes Vendore </w:t>
            </w:r>
          </w:p>
        </w:tc>
        <w:tc>
          <w:tcPr>
            <w:tcW w:w="335" w:type="pct"/>
            <w:tcBorders>
              <w:top w:val="nil"/>
              <w:left w:val="nil"/>
              <w:bottom w:val="single" w:sz="4" w:space="0" w:color="auto"/>
              <w:right w:val="single" w:sz="4" w:space="0" w:color="auto"/>
            </w:tcBorders>
            <w:shd w:val="clear" w:color="auto" w:fill="auto"/>
            <w:vAlign w:val="center"/>
            <w:hideMark/>
          </w:tcPr>
          <w:p w14:paraId="7AEE391F"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Projektligj</w:t>
            </w:r>
          </w:p>
        </w:tc>
        <w:tc>
          <w:tcPr>
            <w:tcW w:w="418" w:type="pct"/>
            <w:tcBorders>
              <w:top w:val="nil"/>
              <w:left w:val="nil"/>
              <w:bottom w:val="single" w:sz="4" w:space="0" w:color="auto"/>
              <w:right w:val="single" w:sz="4" w:space="0" w:color="auto"/>
            </w:tcBorders>
            <w:shd w:val="clear" w:color="auto" w:fill="auto"/>
            <w:vAlign w:val="center"/>
            <w:hideMark/>
          </w:tcPr>
          <w:p w14:paraId="201254D9"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Ministri i Shtetit për Pushtetin Vendor</w:t>
            </w:r>
          </w:p>
        </w:tc>
        <w:tc>
          <w:tcPr>
            <w:tcW w:w="319" w:type="pct"/>
            <w:tcBorders>
              <w:top w:val="nil"/>
              <w:left w:val="nil"/>
              <w:bottom w:val="single" w:sz="4" w:space="0" w:color="auto"/>
              <w:right w:val="single" w:sz="4" w:space="0" w:color="auto"/>
            </w:tcBorders>
            <w:shd w:val="clear" w:color="auto" w:fill="auto"/>
            <w:vAlign w:val="center"/>
            <w:hideMark/>
          </w:tcPr>
          <w:p w14:paraId="7A4DC299"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Katërmujori II</w:t>
            </w:r>
          </w:p>
        </w:tc>
        <w:tc>
          <w:tcPr>
            <w:tcW w:w="678" w:type="pct"/>
            <w:tcBorders>
              <w:top w:val="nil"/>
              <w:left w:val="nil"/>
              <w:bottom w:val="single" w:sz="4" w:space="0" w:color="auto"/>
              <w:right w:val="single" w:sz="4" w:space="0" w:color="auto"/>
            </w:tcBorders>
            <w:shd w:val="clear" w:color="auto" w:fill="auto"/>
            <w:vAlign w:val="center"/>
            <w:hideMark/>
          </w:tcPr>
          <w:p w14:paraId="142F6983"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Nevoja për thellimin e procesit të decentralizimit dhe fuqizimi i autonomisë fiskale të autoriteteve lokale, për të nxitur menaxhimin më të pavarur dhe të efektshëm të burimeve financiare në nivelin vendor.</w:t>
            </w:r>
          </w:p>
        </w:tc>
        <w:tc>
          <w:tcPr>
            <w:tcW w:w="717" w:type="pct"/>
            <w:tcBorders>
              <w:top w:val="nil"/>
              <w:left w:val="nil"/>
              <w:bottom w:val="single" w:sz="4" w:space="0" w:color="auto"/>
              <w:right w:val="single" w:sz="4" w:space="0" w:color="auto"/>
            </w:tcBorders>
            <w:shd w:val="clear" w:color="auto" w:fill="auto"/>
            <w:vAlign w:val="center"/>
            <w:hideMark/>
          </w:tcPr>
          <w:p w14:paraId="79EF78DD"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Fuqizimi i performancës fiskale në nivel vendor</w:t>
            </w:r>
          </w:p>
        </w:tc>
        <w:tc>
          <w:tcPr>
            <w:tcW w:w="296" w:type="pct"/>
            <w:tcBorders>
              <w:top w:val="nil"/>
              <w:left w:val="nil"/>
              <w:bottom w:val="single" w:sz="4" w:space="0" w:color="auto"/>
              <w:right w:val="single" w:sz="4" w:space="0" w:color="auto"/>
            </w:tcBorders>
            <w:shd w:val="clear" w:color="auto" w:fill="auto"/>
            <w:vAlign w:val="center"/>
            <w:hideMark/>
          </w:tcPr>
          <w:p w14:paraId="72FCB1EA"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441" w:type="pct"/>
            <w:tcBorders>
              <w:top w:val="nil"/>
              <w:left w:val="nil"/>
              <w:bottom w:val="single" w:sz="4" w:space="0" w:color="auto"/>
              <w:right w:val="single" w:sz="4" w:space="0" w:color="auto"/>
            </w:tcBorders>
            <w:shd w:val="clear" w:color="auto" w:fill="auto"/>
            <w:vAlign w:val="center"/>
            <w:hideMark/>
          </w:tcPr>
          <w:p w14:paraId="6342531E"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548" w:type="pct"/>
            <w:tcBorders>
              <w:top w:val="nil"/>
              <w:left w:val="nil"/>
              <w:bottom w:val="single" w:sz="4" w:space="0" w:color="auto"/>
              <w:right w:val="single" w:sz="4" w:space="0" w:color="auto"/>
            </w:tcBorders>
            <w:shd w:val="clear" w:color="auto" w:fill="auto"/>
            <w:vAlign w:val="center"/>
            <w:hideMark/>
          </w:tcPr>
          <w:p w14:paraId="027BA28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299" w:type="pct"/>
            <w:tcBorders>
              <w:top w:val="nil"/>
              <w:left w:val="nil"/>
              <w:bottom w:val="single" w:sz="4" w:space="0" w:color="auto"/>
              <w:right w:val="single" w:sz="4" w:space="0" w:color="auto"/>
            </w:tcBorders>
            <w:shd w:val="clear" w:color="auto" w:fill="auto"/>
            <w:vAlign w:val="center"/>
            <w:hideMark/>
          </w:tcPr>
          <w:p w14:paraId="5C160B53"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Mund te kete ndikimi te pritshme pozitive financiare dhe sociale</w:t>
            </w:r>
          </w:p>
        </w:tc>
      </w:tr>
      <w:tr w:rsidR="00894973" w:rsidRPr="00894973" w14:paraId="13E35E2C" w14:textId="77777777" w:rsidTr="00894973">
        <w:trPr>
          <w:trHeight w:val="180"/>
          <w:jc w:val="center"/>
        </w:trPr>
        <w:tc>
          <w:tcPr>
            <w:tcW w:w="114" w:type="pct"/>
            <w:tcBorders>
              <w:top w:val="nil"/>
              <w:left w:val="single" w:sz="4" w:space="0" w:color="auto"/>
              <w:bottom w:val="single" w:sz="4" w:space="0" w:color="auto"/>
              <w:right w:val="single" w:sz="4" w:space="0" w:color="auto"/>
            </w:tcBorders>
            <w:shd w:val="clear" w:color="auto" w:fill="auto"/>
            <w:vAlign w:val="center"/>
            <w:hideMark/>
          </w:tcPr>
          <w:p w14:paraId="7D7AD760"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4</w:t>
            </w:r>
          </w:p>
        </w:tc>
        <w:tc>
          <w:tcPr>
            <w:tcW w:w="835" w:type="pct"/>
            <w:tcBorders>
              <w:top w:val="nil"/>
              <w:left w:val="nil"/>
              <w:bottom w:val="single" w:sz="4" w:space="0" w:color="auto"/>
              <w:right w:val="single" w:sz="4" w:space="0" w:color="auto"/>
            </w:tcBorders>
            <w:shd w:val="clear" w:color="000000" w:fill="FFFFFF"/>
            <w:vAlign w:val="center"/>
            <w:hideMark/>
          </w:tcPr>
          <w:p w14:paraId="6CA5768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Për shtesa/ndryshime në ligjin nr. 10112, datë 9.4.2009 "Për Administrimin e Bashkëpronësisë në Ndërtesat e Banimit"</w:t>
            </w:r>
          </w:p>
        </w:tc>
        <w:tc>
          <w:tcPr>
            <w:tcW w:w="335" w:type="pct"/>
            <w:tcBorders>
              <w:top w:val="nil"/>
              <w:left w:val="nil"/>
              <w:bottom w:val="single" w:sz="4" w:space="0" w:color="auto"/>
              <w:right w:val="single" w:sz="4" w:space="0" w:color="auto"/>
            </w:tcBorders>
            <w:shd w:val="clear" w:color="auto" w:fill="auto"/>
            <w:vAlign w:val="center"/>
            <w:hideMark/>
          </w:tcPr>
          <w:p w14:paraId="22C04427"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Projektligj</w:t>
            </w:r>
          </w:p>
        </w:tc>
        <w:tc>
          <w:tcPr>
            <w:tcW w:w="418" w:type="pct"/>
            <w:tcBorders>
              <w:top w:val="nil"/>
              <w:left w:val="nil"/>
              <w:bottom w:val="single" w:sz="4" w:space="0" w:color="auto"/>
              <w:right w:val="single" w:sz="4" w:space="0" w:color="auto"/>
            </w:tcBorders>
            <w:shd w:val="clear" w:color="auto" w:fill="auto"/>
            <w:vAlign w:val="center"/>
            <w:hideMark/>
          </w:tcPr>
          <w:p w14:paraId="45034770"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Ministri i Shtetit për Pushtetin Vendor</w:t>
            </w:r>
          </w:p>
        </w:tc>
        <w:tc>
          <w:tcPr>
            <w:tcW w:w="319" w:type="pct"/>
            <w:tcBorders>
              <w:top w:val="nil"/>
              <w:left w:val="nil"/>
              <w:bottom w:val="single" w:sz="4" w:space="0" w:color="auto"/>
              <w:right w:val="single" w:sz="4" w:space="0" w:color="auto"/>
            </w:tcBorders>
            <w:shd w:val="clear" w:color="auto" w:fill="auto"/>
            <w:vAlign w:val="center"/>
            <w:hideMark/>
          </w:tcPr>
          <w:p w14:paraId="29D8612A"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Katërmujori III</w:t>
            </w:r>
          </w:p>
        </w:tc>
        <w:tc>
          <w:tcPr>
            <w:tcW w:w="678" w:type="pct"/>
            <w:tcBorders>
              <w:top w:val="nil"/>
              <w:left w:val="nil"/>
              <w:bottom w:val="single" w:sz="4" w:space="0" w:color="auto"/>
              <w:right w:val="single" w:sz="4" w:space="0" w:color="auto"/>
            </w:tcBorders>
            <w:shd w:val="clear" w:color="auto" w:fill="auto"/>
            <w:vAlign w:val="center"/>
            <w:hideMark/>
          </w:tcPr>
          <w:p w14:paraId="6D145B0D"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Nevoja për përgatitjen e një Draft Ligji të ri për Bashkëpronësinë rrjedh nga mungesa e manaxhimit efikas ose menxhimit te dobët të problemeve të ndryshme që lindin në lidhje me administrimin e bashkëpronësisë në banesa.</w:t>
            </w:r>
          </w:p>
        </w:tc>
        <w:tc>
          <w:tcPr>
            <w:tcW w:w="717" w:type="pct"/>
            <w:tcBorders>
              <w:top w:val="nil"/>
              <w:left w:val="nil"/>
              <w:bottom w:val="single" w:sz="4" w:space="0" w:color="auto"/>
              <w:right w:val="single" w:sz="4" w:space="0" w:color="auto"/>
            </w:tcBorders>
            <w:shd w:val="clear" w:color="auto" w:fill="auto"/>
            <w:vAlign w:val="center"/>
            <w:hideMark/>
          </w:tcPr>
          <w:p w14:paraId="40F5F6E9"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Ky ligj jo vetëm që do të ofrojë një kornizë të qartë për rregullimin e marrëdhënieve mes bashkëpronarëve dhe zgjidhjen e konflikteve, por gjithashtu do të shtrihet dhe zbatohet në të gjithë nivelin e vetëqeverisjes vendore, duke siguruar një zbatim uniform dhe të drejtë në të gjithë vendin.</w:t>
            </w:r>
          </w:p>
        </w:tc>
        <w:tc>
          <w:tcPr>
            <w:tcW w:w="296" w:type="pct"/>
            <w:tcBorders>
              <w:top w:val="nil"/>
              <w:left w:val="nil"/>
              <w:bottom w:val="single" w:sz="4" w:space="0" w:color="auto"/>
              <w:right w:val="single" w:sz="4" w:space="0" w:color="auto"/>
            </w:tcBorders>
            <w:shd w:val="clear" w:color="auto" w:fill="auto"/>
            <w:vAlign w:val="center"/>
            <w:hideMark/>
          </w:tcPr>
          <w:p w14:paraId="370E25C8"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441" w:type="pct"/>
            <w:tcBorders>
              <w:top w:val="nil"/>
              <w:left w:val="nil"/>
              <w:bottom w:val="single" w:sz="4" w:space="0" w:color="auto"/>
              <w:right w:val="single" w:sz="4" w:space="0" w:color="auto"/>
            </w:tcBorders>
            <w:shd w:val="clear" w:color="auto" w:fill="auto"/>
            <w:vAlign w:val="center"/>
            <w:hideMark/>
          </w:tcPr>
          <w:p w14:paraId="34CC3B08"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548" w:type="pct"/>
            <w:tcBorders>
              <w:top w:val="nil"/>
              <w:left w:val="nil"/>
              <w:bottom w:val="single" w:sz="4" w:space="0" w:color="auto"/>
              <w:right w:val="single" w:sz="4" w:space="0" w:color="auto"/>
            </w:tcBorders>
            <w:shd w:val="clear" w:color="auto" w:fill="auto"/>
            <w:vAlign w:val="center"/>
            <w:hideMark/>
          </w:tcPr>
          <w:p w14:paraId="1A015F6D"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299" w:type="pct"/>
            <w:tcBorders>
              <w:top w:val="nil"/>
              <w:left w:val="nil"/>
              <w:bottom w:val="single" w:sz="4" w:space="0" w:color="auto"/>
              <w:right w:val="single" w:sz="4" w:space="0" w:color="auto"/>
            </w:tcBorders>
            <w:shd w:val="clear" w:color="auto" w:fill="auto"/>
            <w:vAlign w:val="center"/>
            <w:hideMark/>
          </w:tcPr>
          <w:p w14:paraId="41B690F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Mund te kete ndikimi te pritshme pozitive financiare dhe sociale</w:t>
            </w:r>
          </w:p>
        </w:tc>
      </w:tr>
      <w:tr w:rsidR="00894973" w:rsidRPr="00894973" w14:paraId="5DF09F8F" w14:textId="77777777" w:rsidTr="00894973">
        <w:trPr>
          <w:trHeight w:val="180"/>
          <w:jc w:val="center"/>
        </w:trPr>
        <w:tc>
          <w:tcPr>
            <w:tcW w:w="114" w:type="pct"/>
            <w:tcBorders>
              <w:top w:val="nil"/>
              <w:left w:val="single" w:sz="4" w:space="0" w:color="auto"/>
              <w:bottom w:val="single" w:sz="4" w:space="0" w:color="auto"/>
              <w:right w:val="single" w:sz="4" w:space="0" w:color="auto"/>
            </w:tcBorders>
            <w:shd w:val="clear" w:color="auto" w:fill="auto"/>
            <w:vAlign w:val="center"/>
            <w:hideMark/>
          </w:tcPr>
          <w:p w14:paraId="14A071B0"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5</w:t>
            </w:r>
          </w:p>
        </w:tc>
        <w:tc>
          <w:tcPr>
            <w:tcW w:w="835" w:type="pct"/>
            <w:tcBorders>
              <w:top w:val="nil"/>
              <w:left w:val="nil"/>
              <w:bottom w:val="single" w:sz="4" w:space="0" w:color="auto"/>
              <w:right w:val="single" w:sz="4" w:space="0" w:color="auto"/>
            </w:tcBorders>
            <w:shd w:val="clear" w:color="auto" w:fill="auto"/>
            <w:vAlign w:val="center"/>
            <w:hideMark/>
          </w:tcPr>
          <w:p w14:paraId="6A362D26"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Për krjimin dhe organizimin e Akademisë së Pushtetit Vendor</w:t>
            </w:r>
          </w:p>
        </w:tc>
        <w:tc>
          <w:tcPr>
            <w:tcW w:w="335" w:type="pct"/>
            <w:tcBorders>
              <w:top w:val="nil"/>
              <w:left w:val="nil"/>
              <w:bottom w:val="single" w:sz="4" w:space="0" w:color="auto"/>
              <w:right w:val="single" w:sz="4" w:space="0" w:color="auto"/>
            </w:tcBorders>
            <w:shd w:val="clear" w:color="auto" w:fill="auto"/>
            <w:vAlign w:val="center"/>
            <w:hideMark/>
          </w:tcPr>
          <w:p w14:paraId="3B6EFE3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Projektvendim</w:t>
            </w:r>
          </w:p>
        </w:tc>
        <w:tc>
          <w:tcPr>
            <w:tcW w:w="418" w:type="pct"/>
            <w:tcBorders>
              <w:top w:val="nil"/>
              <w:left w:val="nil"/>
              <w:bottom w:val="single" w:sz="4" w:space="0" w:color="auto"/>
              <w:right w:val="single" w:sz="4" w:space="0" w:color="auto"/>
            </w:tcBorders>
            <w:shd w:val="clear" w:color="auto" w:fill="auto"/>
            <w:vAlign w:val="center"/>
            <w:hideMark/>
          </w:tcPr>
          <w:p w14:paraId="2C1A9384"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Ministri i Shtetit për Pushtetin Vendor</w:t>
            </w:r>
          </w:p>
        </w:tc>
        <w:tc>
          <w:tcPr>
            <w:tcW w:w="319" w:type="pct"/>
            <w:tcBorders>
              <w:top w:val="nil"/>
              <w:left w:val="nil"/>
              <w:bottom w:val="single" w:sz="4" w:space="0" w:color="auto"/>
              <w:right w:val="single" w:sz="4" w:space="0" w:color="auto"/>
            </w:tcBorders>
            <w:shd w:val="clear" w:color="auto" w:fill="auto"/>
            <w:vAlign w:val="center"/>
            <w:hideMark/>
          </w:tcPr>
          <w:p w14:paraId="1299F02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Katërmujori III</w:t>
            </w:r>
          </w:p>
        </w:tc>
        <w:tc>
          <w:tcPr>
            <w:tcW w:w="678" w:type="pct"/>
            <w:tcBorders>
              <w:top w:val="nil"/>
              <w:left w:val="nil"/>
              <w:bottom w:val="single" w:sz="4" w:space="0" w:color="auto"/>
              <w:right w:val="single" w:sz="4" w:space="0" w:color="auto"/>
            </w:tcBorders>
            <w:shd w:val="clear" w:color="auto" w:fill="auto"/>
            <w:vAlign w:val="center"/>
            <w:hideMark/>
          </w:tcPr>
          <w:p w14:paraId="369E6FF8"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Nevoja për hartimin e Draft-VKM për Akademinë e Pushtetit Vendor rrjedh nga rëndësia vitale e përmirësimit të aftësive dhe njohurive të administratorëve lokalë për të rritur perormancën e tyre, nxitur zhvillimin e qëndrueshëm dhe përgjegjësinë në nivelin vendor</w:t>
            </w:r>
          </w:p>
        </w:tc>
        <w:tc>
          <w:tcPr>
            <w:tcW w:w="717" w:type="pct"/>
            <w:tcBorders>
              <w:top w:val="nil"/>
              <w:left w:val="nil"/>
              <w:bottom w:val="single" w:sz="4" w:space="0" w:color="auto"/>
              <w:right w:val="single" w:sz="4" w:space="0" w:color="auto"/>
            </w:tcBorders>
            <w:shd w:val="clear" w:color="auto" w:fill="auto"/>
            <w:vAlign w:val="center"/>
            <w:hideMark/>
          </w:tcPr>
          <w:p w14:paraId="773A3D3B"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Standardizimi dhe përmirësimi i programeve të trajnimit për zyrtarët e pushtetit vendor, për të garantuar një nivel të lartë të ekspertizës dhe profesionalizmit në menaxhimin e çështjeve dhe sfidave lokale që lidhen me funksionimin e rregullt të administratës dhe zbatimin e projekteve loakle.</w:t>
            </w:r>
          </w:p>
        </w:tc>
        <w:tc>
          <w:tcPr>
            <w:tcW w:w="296" w:type="pct"/>
            <w:tcBorders>
              <w:top w:val="nil"/>
              <w:left w:val="nil"/>
              <w:bottom w:val="single" w:sz="4" w:space="0" w:color="auto"/>
              <w:right w:val="single" w:sz="4" w:space="0" w:color="auto"/>
            </w:tcBorders>
            <w:shd w:val="clear" w:color="auto" w:fill="auto"/>
            <w:vAlign w:val="center"/>
            <w:hideMark/>
          </w:tcPr>
          <w:p w14:paraId="104BECDC"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441" w:type="pct"/>
            <w:tcBorders>
              <w:top w:val="nil"/>
              <w:left w:val="nil"/>
              <w:bottom w:val="single" w:sz="4" w:space="0" w:color="auto"/>
              <w:right w:val="single" w:sz="4" w:space="0" w:color="auto"/>
            </w:tcBorders>
            <w:shd w:val="clear" w:color="auto" w:fill="auto"/>
            <w:vAlign w:val="center"/>
            <w:hideMark/>
          </w:tcPr>
          <w:p w14:paraId="4BCA611A"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548" w:type="pct"/>
            <w:tcBorders>
              <w:top w:val="nil"/>
              <w:left w:val="nil"/>
              <w:bottom w:val="single" w:sz="4" w:space="0" w:color="auto"/>
              <w:right w:val="single" w:sz="4" w:space="0" w:color="auto"/>
            </w:tcBorders>
            <w:shd w:val="clear" w:color="auto" w:fill="auto"/>
            <w:vAlign w:val="center"/>
            <w:hideMark/>
          </w:tcPr>
          <w:p w14:paraId="2DFC1097"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299" w:type="pct"/>
            <w:tcBorders>
              <w:top w:val="nil"/>
              <w:left w:val="nil"/>
              <w:bottom w:val="single" w:sz="4" w:space="0" w:color="auto"/>
              <w:right w:val="single" w:sz="4" w:space="0" w:color="auto"/>
            </w:tcBorders>
            <w:shd w:val="clear" w:color="auto" w:fill="auto"/>
            <w:vAlign w:val="center"/>
            <w:hideMark/>
          </w:tcPr>
          <w:p w14:paraId="3A154B2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JO</w:t>
            </w:r>
          </w:p>
        </w:tc>
      </w:tr>
      <w:tr w:rsidR="00894973" w:rsidRPr="00894973" w14:paraId="2DAF017E" w14:textId="77777777" w:rsidTr="00894973">
        <w:trPr>
          <w:trHeight w:val="180"/>
          <w:jc w:val="center"/>
        </w:trPr>
        <w:tc>
          <w:tcPr>
            <w:tcW w:w="114" w:type="pct"/>
            <w:tcBorders>
              <w:top w:val="nil"/>
              <w:left w:val="single" w:sz="4" w:space="0" w:color="auto"/>
              <w:bottom w:val="single" w:sz="4" w:space="0" w:color="auto"/>
              <w:right w:val="single" w:sz="4" w:space="0" w:color="auto"/>
            </w:tcBorders>
            <w:shd w:val="clear" w:color="auto" w:fill="auto"/>
            <w:vAlign w:val="center"/>
            <w:hideMark/>
          </w:tcPr>
          <w:p w14:paraId="732617F9"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6</w:t>
            </w:r>
          </w:p>
        </w:tc>
        <w:tc>
          <w:tcPr>
            <w:tcW w:w="835" w:type="pct"/>
            <w:tcBorders>
              <w:top w:val="nil"/>
              <w:left w:val="nil"/>
              <w:bottom w:val="single" w:sz="4" w:space="0" w:color="auto"/>
              <w:right w:val="single" w:sz="4" w:space="0" w:color="auto"/>
            </w:tcBorders>
            <w:shd w:val="clear" w:color="auto" w:fill="auto"/>
            <w:vAlign w:val="center"/>
            <w:hideMark/>
          </w:tcPr>
          <w:p w14:paraId="1772A24C"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 xml:space="preserve">Per shtesa/ndryshime të ligjin nr. 139/2015 për Vetëqeverisjen Vendore </w:t>
            </w:r>
          </w:p>
        </w:tc>
        <w:tc>
          <w:tcPr>
            <w:tcW w:w="335" w:type="pct"/>
            <w:tcBorders>
              <w:top w:val="nil"/>
              <w:left w:val="nil"/>
              <w:bottom w:val="single" w:sz="4" w:space="0" w:color="auto"/>
              <w:right w:val="single" w:sz="4" w:space="0" w:color="auto"/>
            </w:tcBorders>
            <w:shd w:val="clear" w:color="auto" w:fill="auto"/>
            <w:vAlign w:val="center"/>
            <w:hideMark/>
          </w:tcPr>
          <w:p w14:paraId="23C8F46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Projektligj</w:t>
            </w:r>
          </w:p>
        </w:tc>
        <w:tc>
          <w:tcPr>
            <w:tcW w:w="418" w:type="pct"/>
            <w:tcBorders>
              <w:top w:val="nil"/>
              <w:left w:val="nil"/>
              <w:bottom w:val="single" w:sz="4" w:space="0" w:color="auto"/>
              <w:right w:val="single" w:sz="4" w:space="0" w:color="auto"/>
            </w:tcBorders>
            <w:shd w:val="clear" w:color="auto" w:fill="auto"/>
            <w:vAlign w:val="center"/>
            <w:hideMark/>
          </w:tcPr>
          <w:p w14:paraId="6F5424F9"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Ministri i Shtetit për Pushtetin Vendor</w:t>
            </w:r>
          </w:p>
        </w:tc>
        <w:tc>
          <w:tcPr>
            <w:tcW w:w="319" w:type="pct"/>
            <w:tcBorders>
              <w:top w:val="nil"/>
              <w:left w:val="nil"/>
              <w:bottom w:val="single" w:sz="4" w:space="0" w:color="auto"/>
              <w:right w:val="single" w:sz="4" w:space="0" w:color="auto"/>
            </w:tcBorders>
            <w:shd w:val="clear" w:color="auto" w:fill="auto"/>
            <w:vAlign w:val="center"/>
            <w:hideMark/>
          </w:tcPr>
          <w:p w14:paraId="0A1B4857"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Katërmujori III</w:t>
            </w:r>
          </w:p>
        </w:tc>
        <w:tc>
          <w:tcPr>
            <w:tcW w:w="678" w:type="pct"/>
            <w:tcBorders>
              <w:top w:val="nil"/>
              <w:left w:val="nil"/>
              <w:bottom w:val="single" w:sz="4" w:space="0" w:color="auto"/>
              <w:right w:val="single" w:sz="4" w:space="0" w:color="auto"/>
            </w:tcBorders>
            <w:shd w:val="clear" w:color="auto" w:fill="auto"/>
            <w:vAlign w:val="center"/>
            <w:hideMark/>
          </w:tcPr>
          <w:p w14:paraId="53B2EA07"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Nevoja për të thelluar decentralizimin dhe forcimin e performancës dhe autonomisë së autoriteteve të vetëqeverisjes vendore, duke iu përgjigjur sfidave të reja dhe duke rritur efektivitetin e tyre në shërbim të qytetarëve.</w:t>
            </w:r>
          </w:p>
        </w:tc>
        <w:tc>
          <w:tcPr>
            <w:tcW w:w="717" w:type="pct"/>
            <w:tcBorders>
              <w:top w:val="nil"/>
              <w:left w:val="nil"/>
              <w:bottom w:val="single" w:sz="4" w:space="0" w:color="auto"/>
              <w:right w:val="single" w:sz="4" w:space="0" w:color="auto"/>
            </w:tcBorders>
            <w:shd w:val="clear" w:color="auto" w:fill="auto"/>
            <w:vAlign w:val="center"/>
            <w:hideMark/>
          </w:tcPr>
          <w:p w14:paraId="11C8DFC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Fuqizimi i procesit të decentralizimit dhe rritja e autonominë dhe performancës së autoriteteve të vetëqeverisjes vendore, për të përmirësuar menaxhimin dhe shërbimet ndaj qytetarëve.</w:t>
            </w:r>
          </w:p>
        </w:tc>
        <w:tc>
          <w:tcPr>
            <w:tcW w:w="296" w:type="pct"/>
            <w:tcBorders>
              <w:top w:val="nil"/>
              <w:left w:val="nil"/>
              <w:bottom w:val="single" w:sz="4" w:space="0" w:color="auto"/>
              <w:right w:val="single" w:sz="4" w:space="0" w:color="auto"/>
            </w:tcBorders>
            <w:shd w:val="clear" w:color="auto" w:fill="auto"/>
            <w:vAlign w:val="center"/>
            <w:hideMark/>
          </w:tcPr>
          <w:p w14:paraId="623D382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441" w:type="pct"/>
            <w:tcBorders>
              <w:top w:val="nil"/>
              <w:left w:val="nil"/>
              <w:bottom w:val="single" w:sz="4" w:space="0" w:color="auto"/>
              <w:right w:val="single" w:sz="4" w:space="0" w:color="auto"/>
            </w:tcBorders>
            <w:shd w:val="clear" w:color="auto" w:fill="auto"/>
            <w:vAlign w:val="center"/>
            <w:hideMark/>
          </w:tcPr>
          <w:p w14:paraId="619FCA64"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548" w:type="pct"/>
            <w:tcBorders>
              <w:top w:val="nil"/>
              <w:left w:val="nil"/>
              <w:bottom w:val="single" w:sz="4" w:space="0" w:color="auto"/>
              <w:right w:val="single" w:sz="4" w:space="0" w:color="auto"/>
            </w:tcBorders>
            <w:shd w:val="clear" w:color="auto" w:fill="auto"/>
            <w:vAlign w:val="center"/>
            <w:hideMark/>
          </w:tcPr>
          <w:p w14:paraId="4A244E32"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N/A</w:t>
            </w:r>
          </w:p>
        </w:tc>
        <w:tc>
          <w:tcPr>
            <w:tcW w:w="299" w:type="pct"/>
            <w:tcBorders>
              <w:top w:val="nil"/>
              <w:left w:val="nil"/>
              <w:bottom w:val="single" w:sz="4" w:space="0" w:color="auto"/>
              <w:right w:val="single" w:sz="4" w:space="0" w:color="auto"/>
            </w:tcBorders>
            <w:shd w:val="clear" w:color="auto" w:fill="auto"/>
            <w:vAlign w:val="center"/>
            <w:hideMark/>
          </w:tcPr>
          <w:p w14:paraId="6DD8B545" w14:textId="77777777" w:rsidR="00894973" w:rsidRPr="00894973" w:rsidRDefault="00894973" w:rsidP="0089497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894973">
              <w:rPr>
                <w:rFonts w:ascii="Arial" w:eastAsia="Times New Roman" w:hAnsi="Arial" w:cs="Arial"/>
                <w:color w:val="000000"/>
                <w:sz w:val="12"/>
                <w:szCs w:val="12"/>
                <w:bdr w:val="none" w:sz="0" w:space="0" w:color="auto"/>
              </w:rPr>
              <w:t>Mund te kete ndikimi te pritshme pozitive financiare dhe sociale</w:t>
            </w:r>
          </w:p>
        </w:tc>
      </w:tr>
    </w:tbl>
    <w:p w14:paraId="2AD3C7C2" w14:textId="5A7D7E8C" w:rsidR="00F13B00" w:rsidRDefault="00F13B00" w:rsidP="009F3407">
      <w:pPr>
        <w:pStyle w:val="BodyA"/>
        <w:jc w:val="center"/>
        <w:rPr>
          <w:sz w:val="28"/>
          <w:szCs w:val="28"/>
          <w:lang w:val="it-IT"/>
        </w:rPr>
      </w:pPr>
    </w:p>
    <w:p w14:paraId="1B6C98E7" w14:textId="303299CE" w:rsidR="000D13FF" w:rsidRDefault="000D13FF" w:rsidP="009F3407">
      <w:pPr>
        <w:pStyle w:val="BodyA"/>
        <w:jc w:val="center"/>
        <w:rPr>
          <w:sz w:val="28"/>
          <w:szCs w:val="28"/>
          <w:lang w:val="it-IT"/>
        </w:rPr>
      </w:pPr>
    </w:p>
    <w:p w14:paraId="20433D0B" w14:textId="4E89943B" w:rsidR="000D13FF" w:rsidRDefault="000D13FF" w:rsidP="009F3407">
      <w:pPr>
        <w:pStyle w:val="BodyA"/>
        <w:jc w:val="center"/>
        <w:rPr>
          <w:sz w:val="28"/>
          <w:szCs w:val="28"/>
          <w:lang w:val="it-IT"/>
        </w:rPr>
      </w:pPr>
    </w:p>
    <w:p w14:paraId="0F086EFB" w14:textId="51965AF7" w:rsidR="000D13FF" w:rsidRDefault="000D13FF" w:rsidP="009F3407">
      <w:pPr>
        <w:pStyle w:val="BodyA"/>
        <w:jc w:val="center"/>
        <w:rPr>
          <w:sz w:val="28"/>
          <w:szCs w:val="28"/>
          <w:lang w:val="it-IT"/>
        </w:rPr>
      </w:pPr>
    </w:p>
    <w:p w14:paraId="102C9006" w14:textId="189DE4F0" w:rsidR="000D13FF" w:rsidRDefault="000D13FF" w:rsidP="009F3407">
      <w:pPr>
        <w:pStyle w:val="BodyA"/>
        <w:jc w:val="center"/>
        <w:rPr>
          <w:sz w:val="28"/>
          <w:szCs w:val="28"/>
          <w:lang w:val="it-IT"/>
        </w:rPr>
      </w:pPr>
    </w:p>
    <w:p w14:paraId="7C648BD9" w14:textId="3855FAAB" w:rsidR="000D13FF" w:rsidRDefault="000D13FF" w:rsidP="009F3407">
      <w:pPr>
        <w:pStyle w:val="BodyA"/>
        <w:jc w:val="center"/>
        <w:rPr>
          <w:sz w:val="28"/>
          <w:szCs w:val="28"/>
          <w:lang w:val="it-IT"/>
        </w:rPr>
      </w:pPr>
    </w:p>
    <w:p w14:paraId="557E4F42" w14:textId="69B36859" w:rsidR="000D13FF" w:rsidRDefault="000D13FF" w:rsidP="009F3407">
      <w:pPr>
        <w:pStyle w:val="BodyA"/>
        <w:jc w:val="center"/>
        <w:rPr>
          <w:sz w:val="28"/>
          <w:szCs w:val="28"/>
          <w:lang w:val="it-IT"/>
        </w:rPr>
      </w:pPr>
    </w:p>
    <w:p w14:paraId="22B70237" w14:textId="61DCB053" w:rsidR="000D13FF" w:rsidRDefault="000D13FF" w:rsidP="009F3407">
      <w:pPr>
        <w:pStyle w:val="BodyA"/>
        <w:jc w:val="center"/>
        <w:rPr>
          <w:sz w:val="28"/>
          <w:szCs w:val="28"/>
          <w:lang w:val="it-IT"/>
        </w:rPr>
      </w:pPr>
    </w:p>
    <w:p w14:paraId="6A6550C4" w14:textId="4BD86FA1" w:rsidR="000D13FF" w:rsidRDefault="000D13FF" w:rsidP="009F3407">
      <w:pPr>
        <w:pStyle w:val="BodyA"/>
        <w:jc w:val="center"/>
        <w:rPr>
          <w:sz w:val="28"/>
          <w:szCs w:val="28"/>
          <w:lang w:val="it-IT"/>
        </w:rPr>
      </w:pPr>
    </w:p>
    <w:p w14:paraId="493F5A11" w14:textId="1E6F0B34" w:rsidR="000D13FF" w:rsidRDefault="000D13FF" w:rsidP="009F3407">
      <w:pPr>
        <w:pStyle w:val="BodyA"/>
        <w:jc w:val="center"/>
        <w:rPr>
          <w:sz w:val="28"/>
          <w:szCs w:val="28"/>
          <w:lang w:val="it-IT"/>
        </w:rPr>
      </w:pPr>
    </w:p>
    <w:p w14:paraId="250D993E" w14:textId="15BCA0B7" w:rsidR="000D13FF" w:rsidRDefault="000D13FF" w:rsidP="009F3407">
      <w:pPr>
        <w:pStyle w:val="BodyA"/>
        <w:jc w:val="center"/>
        <w:rPr>
          <w:sz w:val="28"/>
          <w:szCs w:val="28"/>
          <w:lang w:val="it-IT"/>
        </w:rPr>
      </w:pPr>
    </w:p>
    <w:p w14:paraId="006E4102" w14:textId="20C0A9DE" w:rsidR="000D13FF" w:rsidRDefault="000D13FF" w:rsidP="009F3407">
      <w:pPr>
        <w:pStyle w:val="BodyA"/>
        <w:jc w:val="center"/>
        <w:rPr>
          <w:sz w:val="28"/>
          <w:szCs w:val="28"/>
          <w:lang w:val="it-IT"/>
        </w:rPr>
      </w:pPr>
    </w:p>
    <w:p w14:paraId="1A416FB6" w14:textId="5B6751B9" w:rsidR="000D13FF" w:rsidRDefault="000D13FF" w:rsidP="009F3407">
      <w:pPr>
        <w:pStyle w:val="BodyA"/>
        <w:jc w:val="center"/>
        <w:rPr>
          <w:sz w:val="28"/>
          <w:szCs w:val="28"/>
          <w:lang w:val="it-IT"/>
        </w:rPr>
      </w:pPr>
    </w:p>
    <w:p w14:paraId="25B71C09" w14:textId="7CBB3DC3" w:rsidR="000D13FF" w:rsidRDefault="000D13FF" w:rsidP="009F3407">
      <w:pPr>
        <w:pStyle w:val="BodyA"/>
        <w:jc w:val="center"/>
        <w:rPr>
          <w:sz w:val="28"/>
          <w:szCs w:val="28"/>
          <w:lang w:val="it-IT"/>
        </w:rPr>
      </w:pPr>
    </w:p>
    <w:p w14:paraId="363D6065" w14:textId="6BA7D496" w:rsidR="000D13FF" w:rsidRDefault="000D13FF" w:rsidP="009F3407">
      <w:pPr>
        <w:pStyle w:val="BodyA"/>
        <w:jc w:val="center"/>
        <w:rPr>
          <w:sz w:val="28"/>
          <w:szCs w:val="28"/>
          <w:lang w:val="it-IT"/>
        </w:rPr>
      </w:pPr>
    </w:p>
    <w:p w14:paraId="20936CCA" w14:textId="52C1433E" w:rsidR="000D13FF" w:rsidRDefault="000D13FF" w:rsidP="009F3407">
      <w:pPr>
        <w:pStyle w:val="BodyA"/>
        <w:jc w:val="center"/>
        <w:rPr>
          <w:sz w:val="28"/>
          <w:szCs w:val="28"/>
          <w:lang w:val="it-IT"/>
        </w:rPr>
      </w:pPr>
    </w:p>
    <w:p w14:paraId="5B3D94C3" w14:textId="6480E49D" w:rsidR="000D13FF" w:rsidRDefault="000D13FF" w:rsidP="009F3407">
      <w:pPr>
        <w:pStyle w:val="BodyA"/>
        <w:jc w:val="center"/>
        <w:rPr>
          <w:sz w:val="28"/>
          <w:szCs w:val="28"/>
          <w:lang w:val="it-IT"/>
        </w:rPr>
      </w:pPr>
    </w:p>
    <w:p w14:paraId="3FCF4AD4" w14:textId="0E768128" w:rsidR="000D13FF" w:rsidRDefault="000D13FF" w:rsidP="009F3407">
      <w:pPr>
        <w:pStyle w:val="BodyA"/>
        <w:jc w:val="center"/>
        <w:rPr>
          <w:sz w:val="28"/>
          <w:szCs w:val="28"/>
          <w:lang w:val="it-IT"/>
        </w:rPr>
      </w:pPr>
    </w:p>
    <w:p w14:paraId="7345A2B6" w14:textId="51800F63" w:rsidR="000D13FF" w:rsidRDefault="000D13FF" w:rsidP="009F3407">
      <w:pPr>
        <w:pStyle w:val="BodyA"/>
        <w:jc w:val="center"/>
        <w:rPr>
          <w:sz w:val="28"/>
          <w:szCs w:val="28"/>
          <w:lang w:val="it-IT"/>
        </w:rPr>
      </w:pPr>
    </w:p>
    <w:p w14:paraId="38DB18C4" w14:textId="4851DBD6" w:rsidR="000D13FF" w:rsidRDefault="000D13FF" w:rsidP="009F3407">
      <w:pPr>
        <w:pStyle w:val="BodyA"/>
        <w:jc w:val="center"/>
        <w:rPr>
          <w:sz w:val="28"/>
          <w:szCs w:val="28"/>
          <w:lang w:val="it-IT"/>
        </w:rPr>
      </w:pPr>
    </w:p>
    <w:p w14:paraId="076B8945" w14:textId="437DDE74" w:rsidR="000D13FF" w:rsidRDefault="000D13FF" w:rsidP="009F3407">
      <w:pPr>
        <w:pStyle w:val="BodyA"/>
        <w:jc w:val="center"/>
        <w:rPr>
          <w:sz w:val="28"/>
          <w:szCs w:val="28"/>
          <w:lang w:val="it-IT"/>
        </w:rPr>
      </w:pPr>
    </w:p>
    <w:p w14:paraId="4ECBDF6E" w14:textId="7E477040" w:rsidR="000D13FF" w:rsidRDefault="000D13FF" w:rsidP="009F3407">
      <w:pPr>
        <w:pStyle w:val="BodyA"/>
        <w:jc w:val="center"/>
        <w:rPr>
          <w:sz w:val="28"/>
          <w:szCs w:val="28"/>
          <w:lang w:val="it-IT"/>
        </w:rPr>
      </w:pPr>
    </w:p>
    <w:tbl>
      <w:tblPr>
        <w:tblW w:w="5000" w:type="pct"/>
        <w:tblLook w:val="04A0" w:firstRow="1" w:lastRow="0" w:firstColumn="1" w:lastColumn="0" w:noHBand="0" w:noVBand="1"/>
      </w:tblPr>
      <w:tblGrid>
        <w:gridCol w:w="383"/>
        <w:gridCol w:w="2389"/>
        <w:gridCol w:w="977"/>
        <w:gridCol w:w="1183"/>
        <w:gridCol w:w="898"/>
        <w:gridCol w:w="1431"/>
        <w:gridCol w:w="2048"/>
        <w:gridCol w:w="917"/>
        <w:gridCol w:w="1251"/>
        <w:gridCol w:w="1558"/>
        <w:gridCol w:w="923"/>
      </w:tblGrid>
      <w:tr w:rsidR="000D13FF" w:rsidRPr="000D13FF" w14:paraId="2D65F535" w14:textId="77777777" w:rsidTr="000D13FF">
        <w:trPr>
          <w:trHeight w:val="180"/>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29C2B351"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0D13FF">
              <w:rPr>
                <w:rFonts w:ascii="Arial" w:eastAsia="Times New Roman" w:hAnsi="Arial" w:cs="Arial"/>
                <w:b/>
                <w:bCs/>
                <w:color w:val="000000"/>
                <w:sz w:val="12"/>
                <w:szCs w:val="12"/>
                <w:bdr w:val="none" w:sz="0" w:space="0" w:color="auto"/>
              </w:rPr>
              <w:t>Programi i Përgjithshëm Analitik i Projektakteve për vitin 2024</w:t>
            </w:r>
          </w:p>
        </w:tc>
      </w:tr>
      <w:tr w:rsidR="000D13FF" w:rsidRPr="000D13FF" w14:paraId="3986F63E" w14:textId="77777777" w:rsidTr="000D13FF">
        <w:trPr>
          <w:trHeight w:val="180"/>
        </w:trPr>
        <w:tc>
          <w:tcPr>
            <w:tcW w:w="5000" w:type="pct"/>
            <w:gridSpan w:val="11"/>
            <w:tcBorders>
              <w:top w:val="single" w:sz="4" w:space="0" w:color="FFFFFF"/>
              <w:left w:val="nil"/>
              <w:bottom w:val="nil"/>
              <w:right w:val="nil"/>
            </w:tcBorders>
            <w:shd w:val="clear" w:color="000000" w:fill="F2F2F2"/>
            <w:vAlign w:val="center"/>
            <w:hideMark/>
          </w:tcPr>
          <w:p w14:paraId="3B7CB05F"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0D13FF">
              <w:rPr>
                <w:rFonts w:ascii="Arial" w:eastAsia="Times New Roman" w:hAnsi="Arial" w:cs="Arial"/>
                <w:b/>
                <w:bCs/>
                <w:color w:val="000000"/>
                <w:sz w:val="12"/>
                <w:szCs w:val="12"/>
                <w:bdr w:val="none" w:sz="0" w:space="0" w:color="auto"/>
              </w:rPr>
              <w:t>Ministri i Shtetit për Sipërmarrjen dhe Klimën e Biznesit</w:t>
            </w:r>
          </w:p>
        </w:tc>
      </w:tr>
      <w:tr w:rsidR="000D13FF" w:rsidRPr="000D13FF" w14:paraId="254E8EA5" w14:textId="77777777" w:rsidTr="000D13FF">
        <w:trPr>
          <w:trHeight w:val="180"/>
        </w:trPr>
        <w:tc>
          <w:tcPr>
            <w:tcW w:w="118" w:type="pct"/>
            <w:tcBorders>
              <w:top w:val="single" w:sz="8" w:space="0" w:color="auto"/>
              <w:left w:val="single" w:sz="8" w:space="0" w:color="auto"/>
              <w:bottom w:val="nil"/>
              <w:right w:val="nil"/>
            </w:tcBorders>
            <w:shd w:val="clear" w:color="000000" w:fill="C00000"/>
            <w:vAlign w:val="center"/>
            <w:hideMark/>
          </w:tcPr>
          <w:p w14:paraId="09A1782D"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Nr.</w:t>
            </w:r>
          </w:p>
        </w:tc>
        <w:tc>
          <w:tcPr>
            <w:tcW w:w="865" w:type="pct"/>
            <w:tcBorders>
              <w:top w:val="single" w:sz="8" w:space="0" w:color="auto"/>
              <w:left w:val="single" w:sz="4" w:space="0" w:color="FFFFFF"/>
              <w:bottom w:val="nil"/>
              <w:right w:val="single" w:sz="4" w:space="0" w:color="FFFFFF"/>
            </w:tcBorders>
            <w:shd w:val="clear" w:color="000000" w:fill="C00000"/>
            <w:vAlign w:val="center"/>
            <w:hideMark/>
          </w:tcPr>
          <w:p w14:paraId="128C0D0C"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Titulli i projektaktit</w:t>
            </w:r>
          </w:p>
        </w:tc>
        <w:tc>
          <w:tcPr>
            <w:tcW w:w="347" w:type="pct"/>
            <w:tcBorders>
              <w:top w:val="single" w:sz="8" w:space="0" w:color="auto"/>
              <w:left w:val="nil"/>
              <w:bottom w:val="nil"/>
              <w:right w:val="single" w:sz="4" w:space="0" w:color="FFFFFF"/>
            </w:tcBorders>
            <w:shd w:val="clear" w:color="000000" w:fill="C00000"/>
            <w:vAlign w:val="center"/>
            <w:hideMark/>
          </w:tcPr>
          <w:p w14:paraId="21DD4FC4"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Lloji i projektaktit</w:t>
            </w:r>
          </w:p>
        </w:tc>
        <w:tc>
          <w:tcPr>
            <w:tcW w:w="433" w:type="pct"/>
            <w:tcBorders>
              <w:top w:val="single" w:sz="8" w:space="0" w:color="auto"/>
              <w:left w:val="nil"/>
              <w:bottom w:val="nil"/>
              <w:right w:val="nil"/>
            </w:tcBorders>
            <w:shd w:val="clear" w:color="000000" w:fill="C00000"/>
            <w:vAlign w:val="center"/>
            <w:hideMark/>
          </w:tcPr>
          <w:p w14:paraId="4249D3D7"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Ministri propozues</w:t>
            </w:r>
          </w:p>
        </w:tc>
        <w:tc>
          <w:tcPr>
            <w:tcW w:w="331" w:type="pct"/>
            <w:tcBorders>
              <w:top w:val="single" w:sz="8" w:space="0" w:color="auto"/>
              <w:left w:val="single" w:sz="4" w:space="0" w:color="FFFFFF"/>
              <w:bottom w:val="nil"/>
              <w:right w:val="nil"/>
            </w:tcBorders>
            <w:shd w:val="clear" w:color="000000" w:fill="C00000"/>
            <w:vAlign w:val="center"/>
            <w:hideMark/>
          </w:tcPr>
          <w:p w14:paraId="2550BD71"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Katër mujori</w:t>
            </w:r>
          </w:p>
        </w:tc>
        <w:tc>
          <w:tcPr>
            <w:tcW w:w="522" w:type="pct"/>
            <w:tcBorders>
              <w:top w:val="single" w:sz="8" w:space="0" w:color="auto"/>
              <w:left w:val="single" w:sz="4" w:space="0" w:color="FFFFFF"/>
              <w:bottom w:val="nil"/>
              <w:right w:val="nil"/>
            </w:tcBorders>
            <w:shd w:val="clear" w:color="000000" w:fill="C00000"/>
            <w:vAlign w:val="center"/>
            <w:hideMark/>
          </w:tcPr>
          <w:p w14:paraId="258065D4"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Arsyet kryesore për propozimin e projektaktit</w:t>
            </w:r>
          </w:p>
        </w:tc>
        <w:tc>
          <w:tcPr>
            <w:tcW w:w="743" w:type="pct"/>
            <w:tcBorders>
              <w:top w:val="single" w:sz="8" w:space="0" w:color="auto"/>
              <w:left w:val="single" w:sz="4" w:space="0" w:color="FFFFFF"/>
              <w:bottom w:val="nil"/>
              <w:right w:val="single" w:sz="4" w:space="0" w:color="FFFFFF"/>
            </w:tcBorders>
            <w:shd w:val="clear" w:color="000000" w:fill="C00000"/>
            <w:vAlign w:val="center"/>
            <w:hideMark/>
          </w:tcPr>
          <w:p w14:paraId="49CF3E52"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 xml:space="preserve">Çështjet kryesore që parashikon të rregullojë projektakti </w:t>
            </w:r>
          </w:p>
        </w:tc>
        <w:tc>
          <w:tcPr>
            <w:tcW w:w="306" w:type="pct"/>
            <w:tcBorders>
              <w:top w:val="single" w:sz="8" w:space="0" w:color="auto"/>
              <w:left w:val="nil"/>
              <w:bottom w:val="nil"/>
              <w:right w:val="single" w:sz="4" w:space="0" w:color="FFFFFF"/>
            </w:tcBorders>
            <w:shd w:val="clear" w:color="000000" w:fill="C00000"/>
            <w:vAlign w:val="center"/>
            <w:hideMark/>
          </w:tcPr>
          <w:p w14:paraId="2E96B47E"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A është parashikuar projektakti në PKIE?</w:t>
            </w:r>
            <w:r w:rsidRPr="000D13FF">
              <w:rPr>
                <w:rFonts w:ascii="Arial" w:eastAsia="Times New Roman" w:hAnsi="Arial" w:cs="Arial"/>
                <w:b/>
                <w:bCs/>
                <w:color w:val="FFFFFF"/>
                <w:sz w:val="12"/>
                <w:szCs w:val="12"/>
                <w:bdr w:val="none" w:sz="0" w:space="0" w:color="auto"/>
              </w:rPr>
              <w:br/>
            </w:r>
            <w:r w:rsidRPr="000D13FF">
              <w:rPr>
                <w:rFonts w:ascii="Arial" w:eastAsia="Times New Roman" w:hAnsi="Arial" w:cs="Arial"/>
                <w:b/>
                <w:bCs/>
                <w:color w:val="FFFFFF"/>
                <w:sz w:val="12"/>
                <w:szCs w:val="12"/>
                <w:bdr w:val="none" w:sz="0" w:space="0" w:color="auto"/>
              </w:rPr>
              <w:br/>
              <w:t>Nëse po, të specifikohet kapitulli përkatës</w:t>
            </w:r>
          </w:p>
        </w:tc>
        <w:tc>
          <w:tcPr>
            <w:tcW w:w="457" w:type="pct"/>
            <w:tcBorders>
              <w:top w:val="single" w:sz="8" w:space="0" w:color="auto"/>
              <w:left w:val="nil"/>
              <w:bottom w:val="nil"/>
              <w:right w:val="single" w:sz="4" w:space="0" w:color="FFFFFF"/>
            </w:tcBorders>
            <w:shd w:val="clear" w:color="000000" w:fill="C00000"/>
            <w:vAlign w:val="center"/>
            <w:hideMark/>
          </w:tcPr>
          <w:p w14:paraId="66972468"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Përputhshmëria e projektaktit me programin politik qeverisës 2021-2025</w:t>
            </w:r>
            <w:r w:rsidRPr="000D13FF">
              <w:rPr>
                <w:rFonts w:ascii="Arial" w:eastAsia="Times New Roman" w:hAnsi="Arial" w:cs="Arial"/>
                <w:b/>
                <w:bCs/>
                <w:color w:val="FFFFFF"/>
                <w:sz w:val="12"/>
                <w:szCs w:val="12"/>
                <w:bdr w:val="none" w:sz="0" w:space="0" w:color="auto"/>
              </w:rPr>
              <w:br/>
            </w:r>
            <w:r w:rsidRPr="000D13FF">
              <w:rPr>
                <w:rFonts w:ascii="Arial" w:eastAsia="Times New Roman" w:hAnsi="Arial" w:cs="Arial"/>
                <w:b/>
                <w:bCs/>
                <w:color w:val="FFFFFF"/>
                <w:sz w:val="12"/>
                <w:szCs w:val="12"/>
                <w:bdr w:val="none" w:sz="0" w:space="0" w:color="auto"/>
              </w:rPr>
              <w:br/>
              <w:t>Nëse përputhet, të jepet  referenca e saktë në progam</w:t>
            </w:r>
          </w:p>
        </w:tc>
        <w:tc>
          <w:tcPr>
            <w:tcW w:w="567" w:type="pct"/>
            <w:tcBorders>
              <w:top w:val="single" w:sz="8" w:space="0" w:color="auto"/>
              <w:left w:val="nil"/>
              <w:bottom w:val="nil"/>
              <w:right w:val="single" w:sz="4" w:space="0" w:color="FFFFFF"/>
            </w:tcBorders>
            <w:shd w:val="clear" w:color="000000" w:fill="C00000"/>
            <w:vAlign w:val="center"/>
            <w:hideMark/>
          </w:tcPr>
          <w:p w14:paraId="4F5C936E"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Lidhja e projektaktit me strategjitë kombëtare dhe sektoriale</w:t>
            </w:r>
            <w:r w:rsidRPr="000D13FF">
              <w:rPr>
                <w:rFonts w:ascii="Arial" w:eastAsia="Times New Roman" w:hAnsi="Arial" w:cs="Arial"/>
                <w:b/>
                <w:bCs/>
                <w:color w:val="FFFFFF"/>
                <w:sz w:val="12"/>
                <w:szCs w:val="12"/>
                <w:bdr w:val="none" w:sz="0" w:space="0" w:color="auto"/>
              </w:rPr>
              <w:br/>
            </w:r>
            <w:r w:rsidRPr="000D13FF">
              <w:rPr>
                <w:rFonts w:ascii="Arial" w:eastAsia="Times New Roman" w:hAnsi="Arial" w:cs="Arial"/>
                <w:b/>
                <w:bCs/>
                <w:color w:val="FFFFFF"/>
                <w:sz w:val="12"/>
                <w:szCs w:val="12"/>
                <w:bdr w:val="none" w:sz="0" w:space="0" w:color="auto"/>
              </w:rPr>
              <w:br/>
              <w:t>Nëse lidhet, të specifikohen strategjitë</w:t>
            </w:r>
          </w:p>
        </w:tc>
        <w:tc>
          <w:tcPr>
            <w:tcW w:w="310" w:type="pct"/>
            <w:tcBorders>
              <w:top w:val="single" w:sz="8" w:space="0" w:color="auto"/>
              <w:left w:val="nil"/>
              <w:bottom w:val="nil"/>
              <w:right w:val="nil"/>
            </w:tcBorders>
            <w:shd w:val="clear" w:color="000000" w:fill="C00000"/>
            <w:vAlign w:val="center"/>
            <w:hideMark/>
          </w:tcPr>
          <w:p w14:paraId="2D90C126"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0D13FF">
              <w:rPr>
                <w:rFonts w:ascii="Arial" w:eastAsia="Times New Roman" w:hAnsi="Arial" w:cs="Arial"/>
                <w:b/>
                <w:bCs/>
                <w:color w:val="FFFFFF"/>
                <w:sz w:val="12"/>
                <w:szCs w:val="12"/>
                <w:bdr w:val="none" w:sz="0" w:space="0" w:color="auto"/>
              </w:rPr>
              <w:t>Ndikimet e mundshme ekonomike, financiare, sociale dhe mjedisore</w:t>
            </w:r>
            <w:r w:rsidRPr="000D13FF">
              <w:rPr>
                <w:rFonts w:ascii="Arial" w:eastAsia="Times New Roman" w:hAnsi="Arial" w:cs="Arial"/>
                <w:b/>
                <w:bCs/>
                <w:color w:val="FFFFFF"/>
                <w:sz w:val="12"/>
                <w:szCs w:val="12"/>
                <w:bdr w:val="none" w:sz="0" w:space="0" w:color="auto"/>
              </w:rPr>
              <w:br/>
            </w:r>
            <w:r w:rsidRPr="000D13FF">
              <w:rPr>
                <w:rFonts w:ascii="Arial" w:eastAsia="Times New Roman" w:hAnsi="Arial" w:cs="Arial"/>
                <w:b/>
                <w:bCs/>
                <w:color w:val="FFFFFF"/>
                <w:sz w:val="12"/>
                <w:szCs w:val="12"/>
                <w:bdr w:val="none" w:sz="0" w:space="0" w:color="auto"/>
              </w:rPr>
              <w:br/>
              <w:t xml:space="preserve">Përgjigjuni me Po/Jo për ndikimet përkatëse </w:t>
            </w:r>
          </w:p>
        </w:tc>
      </w:tr>
      <w:tr w:rsidR="000D13FF" w:rsidRPr="000D13FF" w14:paraId="628E8927" w14:textId="77777777" w:rsidTr="000D13FF">
        <w:trPr>
          <w:trHeight w:val="180"/>
        </w:trPr>
        <w:tc>
          <w:tcPr>
            <w:tcW w:w="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3207D"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0D13FF">
              <w:rPr>
                <w:rFonts w:ascii="Arial" w:eastAsia="Times New Roman" w:hAnsi="Arial" w:cs="Arial"/>
                <w:b/>
                <w:bCs/>
                <w:color w:val="000000"/>
                <w:sz w:val="12"/>
                <w:szCs w:val="12"/>
                <w:bdr w:val="none" w:sz="0" w:space="0" w:color="auto"/>
              </w:rPr>
              <w:t>1</w:t>
            </w:r>
          </w:p>
        </w:tc>
        <w:tc>
          <w:tcPr>
            <w:tcW w:w="865" w:type="pct"/>
            <w:tcBorders>
              <w:top w:val="single" w:sz="4" w:space="0" w:color="auto"/>
              <w:left w:val="nil"/>
              <w:bottom w:val="single" w:sz="4" w:space="0" w:color="auto"/>
              <w:right w:val="single" w:sz="4" w:space="0" w:color="auto"/>
            </w:tcBorders>
            <w:shd w:val="clear" w:color="auto" w:fill="auto"/>
            <w:vAlign w:val="center"/>
            <w:hideMark/>
          </w:tcPr>
          <w:p w14:paraId="45C23F5D"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“Për miratimin e rregullave dhe procedurave për vlerësimin e kërkesave për masa mbështetëse në formën e granteve për zhvillimin dhe mbështetjen e startup-eve dhe lehtësuesve”. (Synohet që projektakti të shfuqizoj VKM Nr. 313, datë 11.05.2022 dhe VKM Nr. 315, datë 11.5.2022).</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4805B876"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Projektvendim</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1E82735E"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Ministri i Shtetit për Sipërmarrjen dhe Klimën e Biznesit</w:t>
            </w:r>
          </w:p>
        </w:tc>
        <w:tc>
          <w:tcPr>
            <w:tcW w:w="331" w:type="pct"/>
            <w:tcBorders>
              <w:top w:val="single" w:sz="4" w:space="0" w:color="auto"/>
              <w:left w:val="nil"/>
              <w:bottom w:val="single" w:sz="4" w:space="0" w:color="auto"/>
              <w:right w:val="single" w:sz="4" w:space="0" w:color="auto"/>
            </w:tcBorders>
            <w:shd w:val="clear" w:color="auto" w:fill="auto"/>
            <w:vAlign w:val="center"/>
            <w:hideMark/>
          </w:tcPr>
          <w:p w14:paraId="0D90913A"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Katërmujori I</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7E201AC2"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 xml:space="preserve">Për nxitjen e startup-eve, zhvillimin dhe fuqizimin e ekosistemit të startup-ve, si dhe integrimin ndërkombëtar të ekosistemit të startup-ve. </w:t>
            </w:r>
          </w:p>
        </w:tc>
        <w:tc>
          <w:tcPr>
            <w:tcW w:w="743" w:type="pct"/>
            <w:tcBorders>
              <w:top w:val="single" w:sz="4" w:space="0" w:color="auto"/>
              <w:left w:val="nil"/>
              <w:bottom w:val="single" w:sz="4" w:space="0" w:color="auto"/>
              <w:right w:val="single" w:sz="4" w:space="0" w:color="auto"/>
            </w:tcBorders>
            <w:shd w:val="clear" w:color="auto" w:fill="auto"/>
            <w:vAlign w:val="center"/>
            <w:hideMark/>
          </w:tcPr>
          <w:p w14:paraId="30AF89A0"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Përcaktimi i rregullave dhe procedurave për miratimin e masave mbështetëse në formën e granteve për zhvillimin dhe mbështetjen e startup-eve dhe lehtësuesve.</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593F906C"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Jo.</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76945C24"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Po. Pika 28.</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349FDA46"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 xml:space="preserve">VKM nr. 466, datë 30.7.2021, "Për miratimin e Strategjisë së Zhvillimit të Biznesit dhe Investimeve, 2021-2027 dhe planit të saj të veprimit". </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73857962"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Po (Ekonomike).</w:t>
            </w:r>
          </w:p>
        </w:tc>
      </w:tr>
      <w:tr w:rsidR="000D13FF" w:rsidRPr="000D13FF" w14:paraId="39D1FAE6" w14:textId="77777777" w:rsidTr="000D13FF">
        <w:trPr>
          <w:trHeight w:val="180"/>
        </w:trPr>
        <w:tc>
          <w:tcPr>
            <w:tcW w:w="118" w:type="pct"/>
            <w:tcBorders>
              <w:top w:val="nil"/>
              <w:left w:val="single" w:sz="4" w:space="0" w:color="auto"/>
              <w:bottom w:val="single" w:sz="4" w:space="0" w:color="auto"/>
              <w:right w:val="single" w:sz="4" w:space="0" w:color="auto"/>
            </w:tcBorders>
            <w:shd w:val="clear" w:color="auto" w:fill="auto"/>
            <w:vAlign w:val="center"/>
            <w:hideMark/>
          </w:tcPr>
          <w:p w14:paraId="11309462"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0D13FF">
              <w:rPr>
                <w:rFonts w:ascii="Arial" w:eastAsia="Times New Roman" w:hAnsi="Arial" w:cs="Arial"/>
                <w:b/>
                <w:bCs/>
                <w:color w:val="000000"/>
                <w:sz w:val="12"/>
                <w:szCs w:val="12"/>
                <w:bdr w:val="none" w:sz="0" w:space="0" w:color="auto"/>
              </w:rPr>
              <w:t>2</w:t>
            </w:r>
          </w:p>
        </w:tc>
        <w:tc>
          <w:tcPr>
            <w:tcW w:w="865" w:type="pct"/>
            <w:tcBorders>
              <w:top w:val="nil"/>
              <w:left w:val="nil"/>
              <w:bottom w:val="single" w:sz="4" w:space="0" w:color="auto"/>
              <w:right w:val="single" w:sz="4" w:space="0" w:color="auto"/>
            </w:tcBorders>
            <w:shd w:val="clear" w:color="auto" w:fill="auto"/>
            <w:vAlign w:val="center"/>
            <w:hideMark/>
          </w:tcPr>
          <w:p w14:paraId="0FB926B5"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"Për miratimin e Strategjisë Kombëtare për Zhvillimin e Ekosistemit të Startup-eve, 2024-2027".</w:t>
            </w:r>
          </w:p>
        </w:tc>
        <w:tc>
          <w:tcPr>
            <w:tcW w:w="347" w:type="pct"/>
            <w:tcBorders>
              <w:top w:val="nil"/>
              <w:left w:val="nil"/>
              <w:bottom w:val="single" w:sz="4" w:space="0" w:color="auto"/>
              <w:right w:val="single" w:sz="4" w:space="0" w:color="auto"/>
            </w:tcBorders>
            <w:shd w:val="clear" w:color="auto" w:fill="auto"/>
            <w:vAlign w:val="center"/>
            <w:hideMark/>
          </w:tcPr>
          <w:p w14:paraId="4D0E9C95"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Projektvendim</w:t>
            </w:r>
          </w:p>
        </w:tc>
        <w:tc>
          <w:tcPr>
            <w:tcW w:w="433" w:type="pct"/>
            <w:tcBorders>
              <w:top w:val="nil"/>
              <w:left w:val="nil"/>
              <w:bottom w:val="single" w:sz="4" w:space="0" w:color="auto"/>
              <w:right w:val="single" w:sz="4" w:space="0" w:color="auto"/>
            </w:tcBorders>
            <w:shd w:val="clear" w:color="auto" w:fill="auto"/>
            <w:vAlign w:val="center"/>
            <w:hideMark/>
          </w:tcPr>
          <w:p w14:paraId="4499EE20"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Ministri i Shtetit për Sipërmarrjen dhe Klimën e Biznesit</w:t>
            </w:r>
          </w:p>
        </w:tc>
        <w:tc>
          <w:tcPr>
            <w:tcW w:w="331" w:type="pct"/>
            <w:tcBorders>
              <w:top w:val="nil"/>
              <w:left w:val="nil"/>
              <w:bottom w:val="single" w:sz="4" w:space="0" w:color="auto"/>
              <w:right w:val="single" w:sz="4" w:space="0" w:color="auto"/>
            </w:tcBorders>
            <w:shd w:val="clear" w:color="auto" w:fill="auto"/>
            <w:vAlign w:val="center"/>
            <w:hideMark/>
          </w:tcPr>
          <w:p w14:paraId="60510DFA"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Katërmujori I</w:t>
            </w:r>
          </w:p>
        </w:tc>
        <w:tc>
          <w:tcPr>
            <w:tcW w:w="522" w:type="pct"/>
            <w:tcBorders>
              <w:top w:val="nil"/>
              <w:left w:val="nil"/>
              <w:bottom w:val="single" w:sz="4" w:space="0" w:color="auto"/>
              <w:right w:val="single" w:sz="4" w:space="0" w:color="auto"/>
            </w:tcBorders>
            <w:shd w:val="clear" w:color="auto" w:fill="auto"/>
            <w:vAlign w:val="center"/>
            <w:hideMark/>
          </w:tcPr>
          <w:p w14:paraId="20920D2F"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Për krijimin e modelit të përshtatshëm për ndërtimin e një mjedisi të favorshëm për nxitjen dhe zhvillimin e sipërmarrjes inovative gjatë gjithë ciklit të saj të jetës.</w:t>
            </w:r>
          </w:p>
        </w:tc>
        <w:tc>
          <w:tcPr>
            <w:tcW w:w="743" w:type="pct"/>
            <w:tcBorders>
              <w:top w:val="nil"/>
              <w:left w:val="nil"/>
              <w:bottom w:val="single" w:sz="4" w:space="0" w:color="auto"/>
              <w:right w:val="single" w:sz="4" w:space="0" w:color="auto"/>
            </w:tcBorders>
            <w:shd w:val="clear" w:color="auto" w:fill="auto"/>
            <w:vAlign w:val="center"/>
            <w:hideMark/>
          </w:tcPr>
          <w:p w14:paraId="1E1083FE"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Krijimi i një modeli të përqendruar në edukimin e talenteve, shpërndarjen e burimeve në mënyrë efikase dhe në ndryshimin mënyrës se si ekosistemi i startup-eve ndikon në transformimin e ndërmarrjeve për të gjeneruar vlerë të shtuar për ekonominë shqiptare.</w:t>
            </w:r>
          </w:p>
        </w:tc>
        <w:tc>
          <w:tcPr>
            <w:tcW w:w="306" w:type="pct"/>
            <w:tcBorders>
              <w:top w:val="nil"/>
              <w:left w:val="nil"/>
              <w:bottom w:val="single" w:sz="4" w:space="0" w:color="auto"/>
              <w:right w:val="single" w:sz="4" w:space="0" w:color="auto"/>
            </w:tcBorders>
            <w:shd w:val="clear" w:color="auto" w:fill="auto"/>
            <w:vAlign w:val="center"/>
            <w:hideMark/>
          </w:tcPr>
          <w:p w14:paraId="7AA4586C"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Jo.</w:t>
            </w:r>
          </w:p>
        </w:tc>
        <w:tc>
          <w:tcPr>
            <w:tcW w:w="457" w:type="pct"/>
            <w:tcBorders>
              <w:top w:val="nil"/>
              <w:left w:val="nil"/>
              <w:bottom w:val="single" w:sz="4" w:space="0" w:color="auto"/>
              <w:right w:val="single" w:sz="4" w:space="0" w:color="auto"/>
            </w:tcBorders>
            <w:shd w:val="clear" w:color="auto" w:fill="auto"/>
            <w:vAlign w:val="center"/>
            <w:hideMark/>
          </w:tcPr>
          <w:p w14:paraId="0DE12D6F"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Po. Pika 28.</w:t>
            </w:r>
          </w:p>
        </w:tc>
        <w:tc>
          <w:tcPr>
            <w:tcW w:w="567" w:type="pct"/>
            <w:tcBorders>
              <w:top w:val="nil"/>
              <w:left w:val="nil"/>
              <w:bottom w:val="single" w:sz="4" w:space="0" w:color="auto"/>
              <w:right w:val="single" w:sz="4" w:space="0" w:color="auto"/>
            </w:tcBorders>
            <w:shd w:val="clear" w:color="auto" w:fill="auto"/>
            <w:vAlign w:val="center"/>
            <w:hideMark/>
          </w:tcPr>
          <w:p w14:paraId="1298BB17"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Jo.</w:t>
            </w:r>
          </w:p>
        </w:tc>
        <w:tc>
          <w:tcPr>
            <w:tcW w:w="310" w:type="pct"/>
            <w:tcBorders>
              <w:top w:val="nil"/>
              <w:left w:val="nil"/>
              <w:bottom w:val="single" w:sz="4" w:space="0" w:color="auto"/>
              <w:right w:val="single" w:sz="4" w:space="0" w:color="auto"/>
            </w:tcBorders>
            <w:shd w:val="clear" w:color="auto" w:fill="auto"/>
            <w:vAlign w:val="center"/>
            <w:hideMark/>
          </w:tcPr>
          <w:p w14:paraId="084E2AF0" w14:textId="77777777" w:rsidR="000D13FF" w:rsidRPr="000D13FF" w:rsidRDefault="000D13FF" w:rsidP="000D13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0D13FF">
              <w:rPr>
                <w:rFonts w:ascii="Arial" w:eastAsia="Times New Roman" w:hAnsi="Arial" w:cs="Arial"/>
                <w:color w:val="000000"/>
                <w:sz w:val="12"/>
                <w:szCs w:val="12"/>
                <w:bdr w:val="none" w:sz="0" w:space="0" w:color="auto"/>
              </w:rPr>
              <w:t>Po (Ekonomike).</w:t>
            </w:r>
          </w:p>
        </w:tc>
      </w:tr>
    </w:tbl>
    <w:p w14:paraId="15AA39AB" w14:textId="19B26F0A" w:rsidR="000D13FF" w:rsidRDefault="000D13FF" w:rsidP="009F3407">
      <w:pPr>
        <w:pStyle w:val="BodyA"/>
        <w:jc w:val="center"/>
        <w:rPr>
          <w:sz w:val="28"/>
          <w:szCs w:val="28"/>
          <w:lang w:val="it-IT"/>
        </w:rPr>
      </w:pPr>
    </w:p>
    <w:p w14:paraId="6D5A97DD" w14:textId="4780F331" w:rsidR="00F703E5" w:rsidRDefault="00F703E5" w:rsidP="009F3407">
      <w:pPr>
        <w:pStyle w:val="BodyA"/>
        <w:jc w:val="center"/>
        <w:rPr>
          <w:sz w:val="28"/>
          <w:szCs w:val="28"/>
          <w:lang w:val="it-IT"/>
        </w:rPr>
      </w:pPr>
    </w:p>
    <w:p w14:paraId="38FE8D05" w14:textId="1874DA13" w:rsidR="00F703E5" w:rsidRDefault="00F703E5" w:rsidP="009F3407">
      <w:pPr>
        <w:pStyle w:val="BodyA"/>
        <w:jc w:val="center"/>
        <w:rPr>
          <w:sz w:val="28"/>
          <w:szCs w:val="28"/>
          <w:lang w:val="it-IT"/>
        </w:rPr>
      </w:pPr>
    </w:p>
    <w:p w14:paraId="55DEDBE6" w14:textId="61A6EDF4" w:rsidR="00F703E5" w:rsidRDefault="00F703E5" w:rsidP="009F3407">
      <w:pPr>
        <w:pStyle w:val="BodyA"/>
        <w:jc w:val="center"/>
        <w:rPr>
          <w:sz w:val="28"/>
          <w:szCs w:val="28"/>
          <w:lang w:val="it-IT"/>
        </w:rPr>
      </w:pPr>
    </w:p>
    <w:p w14:paraId="5C039CF4" w14:textId="11A92B63" w:rsidR="00F703E5" w:rsidRDefault="00F703E5" w:rsidP="009F3407">
      <w:pPr>
        <w:pStyle w:val="BodyA"/>
        <w:jc w:val="center"/>
        <w:rPr>
          <w:sz w:val="28"/>
          <w:szCs w:val="28"/>
          <w:lang w:val="it-IT"/>
        </w:rPr>
      </w:pPr>
    </w:p>
    <w:p w14:paraId="21F23A47" w14:textId="64B269F1" w:rsidR="00F703E5" w:rsidRDefault="00F703E5" w:rsidP="009F3407">
      <w:pPr>
        <w:pStyle w:val="BodyA"/>
        <w:jc w:val="center"/>
        <w:rPr>
          <w:sz w:val="28"/>
          <w:szCs w:val="28"/>
          <w:lang w:val="it-IT"/>
        </w:rPr>
      </w:pPr>
    </w:p>
    <w:p w14:paraId="2B972C93" w14:textId="775B215F" w:rsidR="00F703E5" w:rsidRDefault="00F703E5" w:rsidP="009F3407">
      <w:pPr>
        <w:pStyle w:val="BodyA"/>
        <w:jc w:val="center"/>
        <w:rPr>
          <w:sz w:val="28"/>
          <w:szCs w:val="28"/>
          <w:lang w:val="it-IT"/>
        </w:rPr>
      </w:pPr>
    </w:p>
    <w:p w14:paraId="7E1C2F5F" w14:textId="1A524514" w:rsidR="001E3953" w:rsidRDefault="001E3953" w:rsidP="009F3407">
      <w:pPr>
        <w:pStyle w:val="BodyA"/>
        <w:jc w:val="center"/>
        <w:rPr>
          <w:sz w:val="28"/>
          <w:szCs w:val="28"/>
          <w:lang w:val="it-IT"/>
        </w:rPr>
      </w:pPr>
    </w:p>
    <w:p w14:paraId="6130C397" w14:textId="26CC61F5" w:rsidR="001E3953" w:rsidRDefault="001E3953" w:rsidP="009F3407">
      <w:pPr>
        <w:pStyle w:val="BodyA"/>
        <w:jc w:val="center"/>
        <w:rPr>
          <w:sz w:val="28"/>
          <w:szCs w:val="28"/>
          <w:lang w:val="it-IT"/>
        </w:rPr>
      </w:pPr>
    </w:p>
    <w:p w14:paraId="09D6AF47" w14:textId="0C0EDDE9" w:rsidR="001E3953" w:rsidRDefault="001E3953" w:rsidP="009F3407">
      <w:pPr>
        <w:pStyle w:val="BodyA"/>
        <w:jc w:val="center"/>
        <w:rPr>
          <w:sz w:val="28"/>
          <w:szCs w:val="28"/>
          <w:lang w:val="it-IT"/>
        </w:rPr>
      </w:pPr>
    </w:p>
    <w:p w14:paraId="3163E014" w14:textId="5F982E17" w:rsidR="001E3953" w:rsidRDefault="001E3953" w:rsidP="009F3407">
      <w:pPr>
        <w:pStyle w:val="BodyA"/>
        <w:jc w:val="center"/>
        <w:rPr>
          <w:sz w:val="28"/>
          <w:szCs w:val="28"/>
          <w:lang w:val="it-IT"/>
        </w:rPr>
      </w:pPr>
    </w:p>
    <w:p w14:paraId="6C2D057D" w14:textId="16388426" w:rsidR="001E3953" w:rsidRDefault="001E3953" w:rsidP="009F3407">
      <w:pPr>
        <w:pStyle w:val="BodyA"/>
        <w:jc w:val="center"/>
        <w:rPr>
          <w:sz w:val="28"/>
          <w:szCs w:val="28"/>
          <w:lang w:val="it-IT"/>
        </w:rPr>
      </w:pPr>
    </w:p>
    <w:p w14:paraId="11326379" w14:textId="551EDF3D" w:rsidR="001E3953" w:rsidRDefault="001E3953" w:rsidP="009F3407">
      <w:pPr>
        <w:pStyle w:val="BodyA"/>
        <w:jc w:val="center"/>
        <w:rPr>
          <w:sz w:val="28"/>
          <w:szCs w:val="28"/>
          <w:lang w:val="it-IT"/>
        </w:rPr>
      </w:pPr>
    </w:p>
    <w:p w14:paraId="1C670F8A" w14:textId="38CBD595" w:rsidR="001E3953" w:rsidRDefault="001E3953" w:rsidP="009F3407">
      <w:pPr>
        <w:pStyle w:val="BodyA"/>
        <w:jc w:val="center"/>
        <w:rPr>
          <w:sz w:val="28"/>
          <w:szCs w:val="28"/>
          <w:lang w:val="it-IT"/>
        </w:rPr>
      </w:pPr>
    </w:p>
    <w:tbl>
      <w:tblPr>
        <w:tblW w:w="5000" w:type="pct"/>
        <w:tblLook w:val="04A0" w:firstRow="1" w:lastRow="0" w:firstColumn="1" w:lastColumn="0" w:noHBand="0" w:noVBand="1"/>
      </w:tblPr>
      <w:tblGrid>
        <w:gridCol w:w="383"/>
        <w:gridCol w:w="1948"/>
        <w:gridCol w:w="977"/>
        <w:gridCol w:w="2598"/>
        <w:gridCol w:w="963"/>
        <w:gridCol w:w="1472"/>
        <w:gridCol w:w="1630"/>
        <w:gridCol w:w="1030"/>
        <w:gridCol w:w="1130"/>
        <w:gridCol w:w="950"/>
        <w:gridCol w:w="877"/>
      </w:tblGrid>
      <w:tr w:rsidR="001E3953" w:rsidRPr="001E3953" w14:paraId="14C5FC9C" w14:textId="77777777" w:rsidTr="001E3953">
        <w:trPr>
          <w:trHeight w:val="420"/>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4EFB2BA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1E3953">
              <w:rPr>
                <w:rFonts w:ascii="Arial" w:eastAsia="Times New Roman" w:hAnsi="Arial" w:cs="Arial"/>
                <w:b/>
                <w:bCs/>
                <w:color w:val="000000"/>
                <w:sz w:val="12"/>
                <w:szCs w:val="12"/>
                <w:bdr w:val="none" w:sz="0" w:space="0" w:color="auto"/>
              </w:rPr>
              <w:t>Programi i Përgjithshëm Analitik i Projektakteve për vitin 2024</w:t>
            </w:r>
          </w:p>
        </w:tc>
      </w:tr>
      <w:tr w:rsidR="001E3953" w:rsidRPr="001E3953" w14:paraId="534B04F4" w14:textId="77777777" w:rsidTr="001E3953">
        <w:trPr>
          <w:trHeight w:val="390"/>
        </w:trPr>
        <w:tc>
          <w:tcPr>
            <w:tcW w:w="5000" w:type="pct"/>
            <w:gridSpan w:val="11"/>
            <w:tcBorders>
              <w:top w:val="single" w:sz="4" w:space="0" w:color="FFFFFF"/>
              <w:left w:val="nil"/>
              <w:bottom w:val="nil"/>
              <w:right w:val="nil"/>
            </w:tcBorders>
            <w:shd w:val="clear" w:color="000000" w:fill="F2F2F2"/>
            <w:vAlign w:val="center"/>
            <w:hideMark/>
          </w:tcPr>
          <w:p w14:paraId="0A78B1D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1E3953">
              <w:rPr>
                <w:rFonts w:ascii="Arial" w:eastAsia="Times New Roman" w:hAnsi="Arial" w:cs="Arial"/>
                <w:b/>
                <w:bCs/>
                <w:color w:val="000000"/>
                <w:sz w:val="12"/>
                <w:szCs w:val="12"/>
                <w:bdr w:val="none" w:sz="0" w:space="0" w:color="auto"/>
              </w:rPr>
              <w:t>Ministri i Shëndetësisë dhe Mbrojtjes Sociale</w:t>
            </w:r>
          </w:p>
        </w:tc>
      </w:tr>
      <w:tr w:rsidR="001E3953" w:rsidRPr="001E3953" w14:paraId="049ED3E8" w14:textId="77777777" w:rsidTr="001E3953">
        <w:trPr>
          <w:trHeight w:val="3810"/>
        </w:trPr>
        <w:tc>
          <w:tcPr>
            <w:tcW w:w="90" w:type="pct"/>
            <w:tcBorders>
              <w:top w:val="single" w:sz="8" w:space="0" w:color="auto"/>
              <w:left w:val="single" w:sz="8" w:space="0" w:color="auto"/>
              <w:bottom w:val="nil"/>
              <w:right w:val="nil"/>
            </w:tcBorders>
            <w:shd w:val="clear" w:color="000000" w:fill="C00000"/>
            <w:vAlign w:val="center"/>
            <w:hideMark/>
          </w:tcPr>
          <w:p w14:paraId="0009F6E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Nr.</w:t>
            </w:r>
          </w:p>
        </w:tc>
        <w:tc>
          <w:tcPr>
            <w:tcW w:w="895" w:type="pct"/>
            <w:tcBorders>
              <w:top w:val="single" w:sz="8" w:space="0" w:color="auto"/>
              <w:left w:val="single" w:sz="4" w:space="0" w:color="FFFFFF"/>
              <w:bottom w:val="nil"/>
              <w:right w:val="single" w:sz="4" w:space="0" w:color="FFFFFF"/>
            </w:tcBorders>
            <w:shd w:val="clear" w:color="000000" w:fill="C00000"/>
            <w:vAlign w:val="center"/>
            <w:hideMark/>
          </w:tcPr>
          <w:p w14:paraId="1951FC3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Titulli i projektaktit</w:t>
            </w:r>
          </w:p>
        </w:tc>
        <w:tc>
          <w:tcPr>
            <w:tcW w:w="267" w:type="pct"/>
            <w:tcBorders>
              <w:top w:val="single" w:sz="8" w:space="0" w:color="auto"/>
              <w:left w:val="nil"/>
              <w:bottom w:val="nil"/>
              <w:right w:val="single" w:sz="4" w:space="0" w:color="FFFFFF"/>
            </w:tcBorders>
            <w:shd w:val="clear" w:color="000000" w:fill="C00000"/>
            <w:vAlign w:val="center"/>
            <w:hideMark/>
          </w:tcPr>
          <w:p w14:paraId="7944E2C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Lloji i projektaktit</w:t>
            </w:r>
          </w:p>
        </w:tc>
        <w:tc>
          <w:tcPr>
            <w:tcW w:w="759" w:type="pct"/>
            <w:tcBorders>
              <w:top w:val="single" w:sz="8" w:space="0" w:color="auto"/>
              <w:left w:val="nil"/>
              <w:bottom w:val="nil"/>
              <w:right w:val="nil"/>
            </w:tcBorders>
            <w:shd w:val="clear" w:color="000000" w:fill="C00000"/>
            <w:vAlign w:val="center"/>
            <w:hideMark/>
          </w:tcPr>
          <w:p w14:paraId="62BDDBC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Ministri propozues</w:t>
            </w:r>
          </w:p>
        </w:tc>
        <w:tc>
          <w:tcPr>
            <w:tcW w:w="258" w:type="pct"/>
            <w:tcBorders>
              <w:top w:val="single" w:sz="8" w:space="0" w:color="auto"/>
              <w:left w:val="single" w:sz="4" w:space="0" w:color="FFFFFF"/>
              <w:bottom w:val="nil"/>
              <w:right w:val="nil"/>
            </w:tcBorders>
            <w:shd w:val="clear" w:color="000000" w:fill="C00000"/>
            <w:vAlign w:val="center"/>
            <w:hideMark/>
          </w:tcPr>
          <w:p w14:paraId="28A490E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Katër mujori</w:t>
            </w:r>
          </w:p>
        </w:tc>
        <w:tc>
          <w:tcPr>
            <w:tcW w:w="724" w:type="pct"/>
            <w:tcBorders>
              <w:top w:val="single" w:sz="8" w:space="0" w:color="auto"/>
              <w:left w:val="single" w:sz="4" w:space="0" w:color="FFFFFF"/>
              <w:bottom w:val="nil"/>
              <w:right w:val="nil"/>
            </w:tcBorders>
            <w:shd w:val="clear" w:color="000000" w:fill="C00000"/>
            <w:vAlign w:val="center"/>
            <w:hideMark/>
          </w:tcPr>
          <w:p w14:paraId="4C577ED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Arsyet kryesore për propozimin e projektaktit</w:t>
            </w:r>
          </w:p>
        </w:tc>
        <w:tc>
          <w:tcPr>
            <w:tcW w:w="568" w:type="pct"/>
            <w:tcBorders>
              <w:top w:val="single" w:sz="8" w:space="0" w:color="auto"/>
              <w:left w:val="single" w:sz="4" w:space="0" w:color="FFFFFF"/>
              <w:bottom w:val="nil"/>
              <w:right w:val="single" w:sz="4" w:space="0" w:color="FFFFFF"/>
            </w:tcBorders>
            <w:shd w:val="clear" w:color="000000" w:fill="C00000"/>
            <w:vAlign w:val="center"/>
            <w:hideMark/>
          </w:tcPr>
          <w:p w14:paraId="53AA4CF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 xml:space="preserve">Çështjet kryesore që parashikon të rregullojë projektakti </w:t>
            </w:r>
          </w:p>
        </w:tc>
        <w:tc>
          <w:tcPr>
            <w:tcW w:w="256" w:type="pct"/>
            <w:tcBorders>
              <w:top w:val="single" w:sz="8" w:space="0" w:color="auto"/>
              <w:left w:val="nil"/>
              <w:bottom w:val="nil"/>
              <w:right w:val="single" w:sz="4" w:space="0" w:color="FFFFFF"/>
            </w:tcBorders>
            <w:shd w:val="clear" w:color="000000" w:fill="C00000"/>
            <w:vAlign w:val="center"/>
            <w:hideMark/>
          </w:tcPr>
          <w:p w14:paraId="4758269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A është parashikuar projektakti në PKIE?</w:t>
            </w:r>
            <w:r w:rsidRPr="001E3953">
              <w:rPr>
                <w:rFonts w:ascii="Arial" w:eastAsia="Times New Roman" w:hAnsi="Arial" w:cs="Arial"/>
                <w:b/>
                <w:bCs/>
                <w:color w:val="FFFFFF"/>
                <w:sz w:val="12"/>
                <w:szCs w:val="12"/>
                <w:bdr w:val="none" w:sz="0" w:space="0" w:color="auto"/>
              </w:rPr>
              <w:br/>
            </w:r>
            <w:r w:rsidRPr="001E3953">
              <w:rPr>
                <w:rFonts w:ascii="Arial" w:eastAsia="Times New Roman" w:hAnsi="Arial" w:cs="Arial"/>
                <w:b/>
                <w:bCs/>
                <w:color w:val="FFFFFF"/>
                <w:sz w:val="12"/>
                <w:szCs w:val="12"/>
                <w:bdr w:val="none" w:sz="0" w:space="0" w:color="auto"/>
              </w:rPr>
              <w:br/>
              <w:t>Nëse po, të specifikohet kapitulli përkatës</w:t>
            </w:r>
          </w:p>
        </w:tc>
        <w:tc>
          <w:tcPr>
            <w:tcW w:w="351" w:type="pct"/>
            <w:tcBorders>
              <w:top w:val="single" w:sz="8" w:space="0" w:color="auto"/>
              <w:left w:val="nil"/>
              <w:bottom w:val="nil"/>
              <w:right w:val="single" w:sz="4" w:space="0" w:color="FFFFFF"/>
            </w:tcBorders>
            <w:shd w:val="clear" w:color="000000" w:fill="C00000"/>
            <w:vAlign w:val="center"/>
            <w:hideMark/>
          </w:tcPr>
          <w:p w14:paraId="1BCCDD1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Përputhshmëria e projektaktit me programin politik qeverisës 2021-2025</w:t>
            </w:r>
            <w:r w:rsidRPr="001E3953">
              <w:rPr>
                <w:rFonts w:ascii="Arial" w:eastAsia="Times New Roman" w:hAnsi="Arial" w:cs="Arial"/>
                <w:b/>
                <w:bCs/>
                <w:color w:val="FFFFFF"/>
                <w:sz w:val="12"/>
                <w:szCs w:val="12"/>
                <w:bdr w:val="none" w:sz="0" w:space="0" w:color="auto"/>
              </w:rPr>
              <w:br/>
            </w:r>
            <w:r w:rsidRPr="001E3953">
              <w:rPr>
                <w:rFonts w:ascii="Arial" w:eastAsia="Times New Roman" w:hAnsi="Arial" w:cs="Arial"/>
                <w:b/>
                <w:bCs/>
                <w:color w:val="FFFFFF"/>
                <w:sz w:val="12"/>
                <w:szCs w:val="12"/>
                <w:bdr w:val="none" w:sz="0" w:space="0" w:color="auto"/>
              </w:rPr>
              <w:br/>
              <w:t>Nëse përputhet, të jepet  referenca e saktë në progam</w:t>
            </w:r>
          </w:p>
        </w:tc>
        <w:tc>
          <w:tcPr>
            <w:tcW w:w="537" w:type="pct"/>
            <w:tcBorders>
              <w:top w:val="single" w:sz="8" w:space="0" w:color="auto"/>
              <w:left w:val="nil"/>
              <w:bottom w:val="nil"/>
              <w:right w:val="single" w:sz="4" w:space="0" w:color="FFFFFF"/>
            </w:tcBorders>
            <w:shd w:val="clear" w:color="000000" w:fill="C00000"/>
            <w:vAlign w:val="center"/>
            <w:hideMark/>
          </w:tcPr>
          <w:p w14:paraId="1D4AE00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Lidhja e projektaktit me strategjitë kombëtare dhe sektoriale</w:t>
            </w:r>
            <w:r w:rsidRPr="001E3953">
              <w:rPr>
                <w:rFonts w:ascii="Arial" w:eastAsia="Times New Roman" w:hAnsi="Arial" w:cs="Arial"/>
                <w:b/>
                <w:bCs/>
                <w:color w:val="FFFFFF"/>
                <w:sz w:val="12"/>
                <w:szCs w:val="12"/>
                <w:bdr w:val="none" w:sz="0" w:space="0" w:color="auto"/>
              </w:rPr>
              <w:br/>
            </w:r>
            <w:r w:rsidRPr="001E3953">
              <w:rPr>
                <w:rFonts w:ascii="Arial" w:eastAsia="Times New Roman" w:hAnsi="Arial" w:cs="Arial"/>
                <w:b/>
                <w:bCs/>
                <w:color w:val="FFFFFF"/>
                <w:sz w:val="12"/>
                <w:szCs w:val="12"/>
                <w:bdr w:val="none" w:sz="0" w:space="0" w:color="auto"/>
              </w:rPr>
              <w:br/>
              <w:t>Nëse lidhet, të specifikohen strategjitë</w:t>
            </w:r>
          </w:p>
        </w:tc>
        <w:tc>
          <w:tcPr>
            <w:tcW w:w="296" w:type="pct"/>
            <w:tcBorders>
              <w:top w:val="single" w:sz="8" w:space="0" w:color="auto"/>
              <w:left w:val="nil"/>
              <w:bottom w:val="nil"/>
              <w:right w:val="nil"/>
            </w:tcBorders>
            <w:shd w:val="clear" w:color="000000" w:fill="C00000"/>
            <w:vAlign w:val="center"/>
            <w:hideMark/>
          </w:tcPr>
          <w:p w14:paraId="5C820FA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E3953">
              <w:rPr>
                <w:rFonts w:ascii="Arial" w:eastAsia="Times New Roman" w:hAnsi="Arial" w:cs="Arial"/>
                <w:b/>
                <w:bCs/>
                <w:color w:val="FFFFFF"/>
                <w:sz w:val="12"/>
                <w:szCs w:val="12"/>
                <w:bdr w:val="none" w:sz="0" w:space="0" w:color="auto"/>
              </w:rPr>
              <w:t>Ndikimet e mundshme ekonomike, financiare, sociale dhe mjedisore</w:t>
            </w:r>
            <w:r w:rsidRPr="001E3953">
              <w:rPr>
                <w:rFonts w:ascii="Arial" w:eastAsia="Times New Roman" w:hAnsi="Arial" w:cs="Arial"/>
                <w:b/>
                <w:bCs/>
                <w:color w:val="FFFFFF"/>
                <w:sz w:val="12"/>
                <w:szCs w:val="12"/>
                <w:bdr w:val="none" w:sz="0" w:space="0" w:color="auto"/>
              </w:rPr>
              <w:br/>
            </w:r>
            <w:r w:rsidRPr="001E3953">
              <w:rPr>
                <w:rFonts w:ascii="Arial" w:eastAsia="Times New Roman" w:hAnsi="Arial" w:cs="Arial"/>
                <w:b/>
                <w:bCs/>
                <w:color w:val="FFFFFF"/>
                <w:sz w:val="12"/>
                <w:szCs w:val="12"/>
                <w:bdr w:val="none" w:sz="0" w:space="0" w:color="auto"/>
              </w:rPr>
              <w:br/>
              <w:t xml:space="preserve">Përgjigjuni me Po/Jo për ndikimet përkatëse </w:t>
            </w:r>
          </w:p>
        </w:tc>
      </w:tr>
      <w:tr w:rsidR="001E3953" w:rsidRPr="001E3953" w14:paraId="3555A6E3" w14:textId="77777777" w:rsidTr="001E3953">
        <w:trPr>
          <w:trHeight w:val="2520"/>
        </w:trPr>
        <w:tc>
          <w:tcPr>
            <w:tcW w:w="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4302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w:t>
            </w:r>
          </w:p>
        </w:tc>
        <w:tc>
          <w:tcPr>
            <w:tcW w:w="895" w:type="pct"/>
            <w:tcBorders>
              <w:top w:val="single" w:sz="4" w:space="0" w:color="auto"/>
              <w:left w:val="nil"/>
              <w:bottom w:val="single" w:sz="4" w:space="0" w:color="auto"/>
              <w:right w:val="single" w:sz="4" w:space="0" w:color="auto"/>
            </w:tcBorders>
            <w:shd w:val="clear" w:color="auto" w:fill="auto"/>
            <w:vAlign w:val="center"/>
            <w:hideMark/>
          </w:tcPr>
          <w:p w14:paraId="5927AC2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një ndryshim në Vendimin e Këshillit të Ministrave Nr. 489, datë 30.07.2021 “Për miratimin e listës së barnave që rimbursohen nga Fondi i Sigurimit të Detyrueshëm të Kujdesit Shëndetësor dhe masës së mbulimit të çmimit të tyre”, i ndryshuar</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6203E3D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single" w:sz="4" w:space="0" w:color="auto"/>
              <w:left w:val="nil"/>
              <w:bottom w:val="single" w:sz="4" w:space="0" w:color="auto"/>
              <w:right w:val="single" w:sz="4" w:space="0" w:color="auto"/>
            </w:tcBorders>
            <w:shd w:val="clear" w:color="auto" w:fill="auto"/>
            <w:noWrap/>
            <w:vAlign w:val="center"/>
            <w:hideMark/>
          </w:tcPr>
          <w:p w14:paraId="4A48146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4A44A6B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w:t>
            </w:r>
          </w:p>
        </w:tc>
        <w:tc>
          <w:tcPr>
            <w:tcW w:w="724" w:type="pct"/>
            <w:tcBorders>
              <w:top w:val="single" w:sz="4" w:space="0" w:color="auto"/>
              <w:left w:val="nil"/>
              <w:bottom w:val="single" w:sz="4" w:space="0" w:color="auto"/>
              <w:right w:val="single" w:sz="4" w:space="0" w:color="auto"/>
            </w:tcBorders>
            <w:shd w:val="clear" w:color="auto" w:fill="auto"/>
            <w:vAlign w:val="center"/>
            <w:hideMark/>
          </w:tcPr>
          <w:p w14:paraId="46BB88E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Në mbështetje të pikës 3, të nenit 37, të ligjit nr. 105/2014, “Përbarnat dhe shërbimin farmaceutik”, të ndryshuar, dhe të pikave 2, shkronja “b”, e 6, të nenit 10,të ligjit nr. 10383, datë 24.2.2011, “Për sigurimin e detyrueshëm të kujdesit shëndetësor në Republikën e Shqipërisë”, të ndryshuar.</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237FCD07"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Miratimi i listës së barnave</w:t>
            </w:r>
          </w:p>
        </w:tc>
        <w:tc>
          <w:tcPr>
            <w:tcW w:w="256" w:type="pct"/>
            <w:tcBorders>
              <w:top w:val="single" w:sz="4" w:space="0" w:color="auto"/>
              <w:left w:val="nil"/>
              <w:bottom w:val="single" w:sz="4" w:space="0" w:color="auto"/>
              <w:right w:val="single" w:sz="4" w:space="0" w:color="auto"/>
            </w:tcBorders>
            <w:shd w:val="clear" w:color="auto" w:fill="auto"/>
            <w:noWrap/>
            <w:vAlign w:val="center"/>
            <w:hideMark/>
          </w:tcPr>
          <w:p w14:paraId="78E9477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14:paraId="28680D8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nil"/>
              <w:right w:val="nil"/>
            </w:tcBorders>
            <w:shd w:val="clear" w:color="auto" w:fill="auto"/>
            <w:vAlign w:val="center"/>
            <w:hideMark/>
          </w:tcPr>
          <w:p w14:paraId="3ADBD7C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 Strategjisë Kombëtare e Shëndetësisë 2021-2030 e miratuar me Vendimin nr. 210, datë 6.4.2022 “Për miratimin e Strategjisë Kombëtare të Shëndetësisë 2021-2030”.</w:t>
            </w:r>
          </w:p>
        </w:tc>
        <w:tc>
          <w:tcPr>
            <w:tcW w:w="296" w:type="pct"/>
            <w:tcBorders>
              <w:top w:val="single" w:sz="4" w:space="0" w:color="auto"/>
              <w:left w:val="single" w:sz="4" w:space="0" w:color="auto"/>
              <w:bottom w:val="nil"/>
              <w:right w:val="single" w:sz="4" w:space="0" w:color="auto"/>
            </w:tcBorders>
            <w:shd w:val="clear" w:color="auto" w:fill="auto"/>
            <w:vAlign w:val="center"/>
            <w:hideMark/>
          </w:tcPr>
          <w:p w14:paraId="1EF197B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-Po</w:t>
            </w:r>
          </w:p>
        </w:tc>
      </w:tr>
      <w:tr w:rsidR="001E3953" w:rsidRPr="001E3953" w14:paraId="318B78CF" w14:textId="77777777" w:rsidTr="001E3953">
        <w:trPr>
          <w:trHeight w:val="213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31F02BC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2</w:t>
            </w:r>
          </w:p>
        </w:tc>
        <w:tc>
          <w:tcPr>
            <w:tcW w:w="895" w:type="pct"/>
            <w:tcBorders>
              <w:top w:val="nil"/>
              <w:left w:val="nil"/>
              <w:bottom w:val="nil"/>
              <w:right w:val="nil"/>
            </w:tcBorders>
            <w:shd w:val="clear" w:color="auto" w:fill="auto"/>
            <w:vAlign w:val="center"/>
            <w:hideMark/>
          </w:tcPr>
          <w:p w14:paraId="65CC5EE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financimin e shërbimeve shëndetësore spitalore nga skema e detyrueshme e sigurimeve të kujdesit shëndetësor për vitin 2024</w:t>
            </w:r>
          </w:p>
        </w:tc>
        <w:tc>
          <w:tcPr>
            <w:tcW w:w="267" w:type="pct"/>
            <w:tcBorders>
              <w:top w:val="nil"/>
              <w:left w:val="single" w:sz="4" w:space="0" w:color="auto"/>
              <w:bottom w:val="nil"/>
              <w:right w:val="single" w:sz="4" w:space="0" w:color="auto"/>
            </w:tcBorders>
            <w:shd w:val="clear" w:color="auto" w:fill="auto"/>
            <w:noWrap/>
            <w:vAlign w:val="center"/>
            <w:hideMark/>
          </w:tcPr>
          <w:p w14:paraId="6C6206E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nil"/>
              <w:left w:val="nil"/>
              <w:bottom w:val="nil"/>
              <w:right w:val="single" w:sz="4" w:space="0" w:color="auto"/>
            </w:tcBorders>
            <w:shd w:val="clear" w:color="auto" w:fill="auto"/>
            <w:noWrap/>
            <w:vAlign w:val="center"/>
            <w:hideMark/>
          </w:tcPr>
          <w:p w14:paraId="07AED7B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5995F8D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w:t>
            </w:r>
          </w:p>
        </w:tc>
        <w:tc>
          <w:tcPr>
            <w:tcW w:w="724" w:type="pct"/>
            <w:tcBorders>
              <w:top w:val="nil"/>
              <w:left w:val="nil"/>
              <w:bottom w:val="single" w:sz="4" w:space="0" w:color="auto"/>
              <w:right w:val="single" w:sz="4" w:space="0" w:color="auto"/>
            </w:tcBorders>
            <w:shd w:val="clear" w:color="auto" w:fill="auto"/>
            <w:vAlign w:val="center"/>
            <w:hideMark/>
          </w:tcPr>
          <w:p w14:paraId="69794CB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Ligji  nr.  10383,  datë  24.2.2011,  “Për  sigurimin  e  detyrueshëm  të  kujdesit  shëndetësor  në Republikën e Shqipërisë”, të ndryshuar.</w:t>
            </w:r>
          </w:p>
        </w:tc>
        <w:tc>
          <w:tcPr>
            <w:tcW w:w="568" w:type="pct"/>
            <w:tcBorders>
              <w:top w:val="nil"/>
              <w:left w:val="nil"/>
              <w:bottom w:val="single" w:sz="4" w:space="0" w:color="auto"/>
              <w:right w:val="single" w:sz="4" w:space="0" w:color="auto"/>
            </w:tcBorders>
            <w:shd w:val="clear" w:color="auto" w:fill="auto"/>
            <w:vAlign w:val="center"/>
            <w:hideMark/>
          </w:tcPr>
          <w:p w14:paraId="6D81E4A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Financimin   nga   skema   e   detyrueshme   e   sigurimeve  shëndetësore  të  paketës  së  shërbimeve  të   ofruara   në   spitalet   publike.</w:t>
            </w:r>
          </w:p>
        </w:tc>
        <w:tc>
          <w:tcPr>
            <w:tcW w:w="256" w:type="pct"/>
            <w:tcBorders>
              <w:top w:val="nil"/>
              <w:left w:val="nil"/>
              <w:bottom w:val="single" w:sz="4" w:space="0" w:color="auto"/>
              <w:right w:val="single" w:sz="4" w:space="0" w:color="auto"/>
            </w:tcBorders>
            <w:shd w:val="clear" w:color="auto" w:fill="auto"/>
            <w:noWrap/>
            <w:vAlign w:val="center"/>
            <w:hideMark/>
          </w:tcPr>
          <w:p w14:paraId="2B2E778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30AD006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nil"/>
              <w:right w:val="nil"/>
            </w:tcBorders>
            <w:shd w:val="clear" w:color="auto" w:fill="auto"/>
            <w:vAlign w:val="center"/>
            <w:hideMark/>
          </w:tcPr>
          <w:p w14:paraId="77F5B21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 Strategjisë Kombëtare e Shëndetësisë 2021-2030 e miratuar me Vendimin nr. 210, datë 6.4.2022 “Për miratimin e Strategjisë Kombëtare të Shëndetësisë 2021-2030”.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BDA5B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-Po</w:t>
            </w:r>
          </w:p>
        </w:tc>
      </w:tr>
      <w:tr w:rsidR="001E3953" w:rsidRPr="001E3953" w14:paraId="55CB1071" w14:textId="77777777" w:rsidTr="001E3953">
        <w:trPr>
          <w:trHeight w:val="4095"/>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4EA6656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3</w:t>
            </w:r>
          </w:p>
        </w:tc>
        <w:tc>
          <w:tcPr>
            <w:tcW w:w="895" w:type="pct"/>
            <w:tcBorders>
              <w:top w:val="single" w:sz="4" w:space="0" w:color="auto"/>
              <w:left w:val="nil"/>
              <w:bottom w:val="single" w:sz="4" w:space="0" w:color="auto"/>
              <w:right w:val="single" w:sz="4" w:space="0" w:color="auto"/>
            </w:tcBorders>
            <w:shd w:val="clear" w:color="auto" w:fill="auto"/>
            <w:vAlign w:val="center"/>
            <w:hideMark/>
          </w:tcPr>
          <w:p w14:paraId="608E0AB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disa shtesa dhe ndryshime në Vendimit Nr. 150/2019 të Këshillit të Ministrave “Për metodologjinë e përllogaritjes të fondeve për financimin e shërbimeve të kujdesit shoqëror në njësitë e vetëqeverisjes vendore”</w:t>
            </w:r>
          </w:p>
        </w:tc>
        <w:tc>
          <w:tcPr>
            <w:tcW w:w="267" w:type="pct"/>
            <w:tcBorders>
              <w:top w:val="single" w:sz="4" w:space="0" w:color="auto"/>
              <w:left w:val="nil"/>
              <w:bottom w:val="nil"/>
              <w:right w:val="single" w:sz="4" w:space="0" w:color="auto"/>
            </w:tcBorders>
            <w:shd w:val="clear" w:color="auto" w:fill="auto"/>
            <w:noWrap/>
            <w:vAlign w:val="center"/>
            <w:hideMark/>
          </w:tcPr>
          <w:p w14:paraId="443D316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single" w:sz="4" w:space="0" w:color="auto"/>
              <w:left w:val="nil"/>
              <w:bottom w:val="nil"/>
              <w:right w:val="single" w:sz="4" w:space="0" w:color="auto"/>
            </w:tcBorders>
            <w:shd w:val="clear" w:color="auto" w:fill="auto"/>
            <w:noWrap/>
            <w:vAlign w:val="center"/>
            <w:hideMark/>
          </w:tcPr>
          <w:p w14:paraId="7A9DBF2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10BAD027"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Katërmujori I </w:t>
            </w:r>
          </w:p>
        </w:tc>
        <w:tc>
          <w:tcPr>
            <w:tcW w:w="724" w:type="pct"/>
            <w:tcBorders>
              <w:top w:val="nil"/>
              <w:left w:val="nil"/>
              <w:bottom w:val="single" w:sz="4" w:space="0" w:color="auto"/>
              <w:right w:val="single" w:sz="4" w:space="0" w:color="auto"/>
            </w:tcBorders>
            <w:shd w:val="clear" w:color="auto" w:fill="auto"/>
            <w:vAlign w:val="center"/>
            <w:hideMark/>
          </w:tcPr>
          <w:p w14:paraId="69D0163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Përmirësimi i mekanizmit të financimit të FS</w:t>
            </w:r>
          </w:p>
        </w:tc>
        <w:tc>
          <w:tcPr>
            <w:tcW w:w="568" w:type="pct"/>
            <w:tcBorders>
              <w:top w:val="nil"/>
              <w:left w:val="nil"/>
              <w:bottom w:val="single" w:sz="4" w:space="0" w:color="auto"/>
              <w:right w:val="single" w:sz="4" w:space="0" w:color="auto"/>
            </w:tcBorders>
            <w:shd w:val="clear" w:color="auto" w:fill="auto"/>
            <w:vAlign w:val="center"/>
            <w:hideMark/>
          </w:tcPr>
          <w:p w14:paraId="6EF263E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parashikimi i mundësisë së financimit të projekteve të përbashkëta midis 2 apo më shumë bashkive; hartimi i një Udhëzimi të përbashkët me MFE mbi përcaktimin e kritereve të përfitimit nga ky mekanizëm; lidhja e një marrëveshjeje financimi midis SHSSH dhe Bashkive në rast të përfitimit nga Fondi Social; rishikimi i procedurave të auditimit financiar</w:t>
            </w:r>
          </w:p>
        </w:tc>
        <w:tc>
          <w:tcPr>
            <w:tcW w:w="256" w:type="pct"/>
            <w:tcBorders>
              <w:top w:val="nil"/>
              <w:left w:val="nil"/>
              <w:bottom w:val="single" w:sz="4" w:space="0" w:color="auto"/>
              <w:right w:val="single" w:sz="4" w:space="0" w:color="auto"/>
            </w:tcBorders>
            <w:shd w:val="clear" w:color="auto" w:fill="auto"/>
            <w:noWrap/>
            <w:vAlign w:val="center"/>
            <w:hideMark/>
          </w:tcPr>
          <w:p w14:paraId="63F04A4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145F1F4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single" w:sz="4" w:space="0" w:color="auto"/>
              <w:left w:val="nil"/>
              <w:bottom w:val="single" w:sz="4" w:space="0" w:color="auto"/>
              <w:right w:val="single" w:sz="4" w:space="0" w:color="auto"/>
            </w:tcBorders>
            <w:shd w:val="clear" w:color="auto" w:fill="auto"/>
            <w:vAlign w:val="center"/>
            <w:hideMark/>
          </w:tcPr>
          <w:p w14:paraId="204090B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Strategjia Kombëtare e Mbrojtjes Sociale 2020-2023 (është në proces shkrimi i Strategjisë për vitët 2024-2030</w:t>
            </w:r>
          </w:p>
        </w:tc>
        <w:tc>
          <w:tcPr>
            <w:tcW w:w="296" w:type="pct"/>
            <w:tcBorders>
              <w:top w:val="nil"/>
              <w:left w:val="nil"/>
              <w:bottom w:val="single" w:sz="4" w:space="0" w:color="auto"/>
              <w:right w:val="single" w:sz="4" w:space="0" w:color="auto"/>
            </w:tcBorders>
            <w:shd w:val="clear" w:color="auto" w:fill="auto"/>
            <w:vAlign w:val="center"/>
            <w:hideMark/>
          </w:tcPr>
          <w:p w14:paraId="67FC516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Jo Ndikime mjedisore - Jo  Ndikime sociale -Po</w:t>
            </w:r>
          </w:p>
        </w:tc>
      </w:tr>
      <w:tr w:rsidR="001E3953" w:rsidRPr="001E3953" w14:paraId="32D91093" w14:textId="77777777" w:rsidTr="001E3953">
        <w:trPr>
          <w:trHeight w:val="189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6A4291D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4</w:t>
            </w:r>
          </w:p>
        </w:tc>
        <w:tc>
          <w:tcPr>
            <w:tcW w:w="895" w:type="pct"/>
            <w:tcBorders>
              <w:top w:val="nil"/>
              <w:left w:val="nil"/>
              <w:bottom w:val="single" w:sz="4" w:space="0" w:color="auto"/>
              <w:right w:val="single" w:sz="4" w:space="0" w:color="auto"/>
            </w:tcBorders>
            <w:shd w:val="clear" w:color="auto" w:fill="auto"/>
            <w:vAlign w:val="center"/>
            <w:hideMark/>
          </w:tcPr>
          <w:p w14:paraId="16E200A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 xml:space="preserve"> "Për miratimin e Strategjisë Kombëtare të Mbrojtjes Sociale 2024-2026 dhe të planit të veprimit për zbatimin e saj".</w:t>
            </w:r>
          </w:p>
        </w:tc>
        <w:tc>
          <w:tcPr>
            <w:tcW w:w="267" w:type="pct"/>
            <w:tcBorders>
              <w:top w:val="single" w:sz="4" w:space="0" w:color="auto"/>
              <w:left w:val="nil"/>
              <w:bottom w:val="nil"/>
              <w:right w:val="single" w:sz="4" w:space="0" w:color="auto"/>
            </w:tcBorders>
            <w:shd w:val="clear" w:color="auto" w:fill="auto"/>
            <w:noWrap/>
            <w:vAlign w:val="center"/>
            <w:hideMark/>
          </w:tcPr>
          <w:p w14:paraId="77400A2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single" w:sz="4" w:space="0" w:color="auto"/>
              <w:left w:val="nil"/>
              <w:bottom w:val="nil"/>
              <w:right w:val="single" w:sz="4" w:space="0" w:color="auto"/>
            </w:tcBorders>
            <w:shd w:val="clear" w:color="auto" w:fill="auto"/>
            <w:noWrap/>
            <w:vAlign w:val="center"/>
            <w:hideMark/>
          </w:tcPr>
          <w:p w14:paraId="6ED2E4F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2BA7C84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Katërmujori I </w:t>
            </w:r>
          </w:p>
        </w:tc>
        <w:tc>
          <w:tcPr>
            <w:tcW w:w="724" w:type="pct"/>
            <w:tcBorders>
              <w:top w:val="nil"/>
              <w:left w:val="nil"/>
              <w:bottom w:val="single" w:sz="4" w:space="0" w:color="auto"/>
              <w:right w:val="single" w:sz="4" w:space="0" w:color="auto"/>
            </w:tcBorders>
            <w:shd w:val="clear" w:color="auto" w:fill="auto"/>
            <w:vAlign w:val="center"/>
            <w:hideMark/>
          </w:tcPr>
          <w:p w14:paraId="5EBC1EB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Përmiresimi  i sistemit të mbrojtjes sociale, nëpërmjet mbështetjes së  shtresave në nevojë me pagesa dhe shërbime sociale.</w:t>
            </w:r>
          </w:p>
        </w:tc>
        <w:tc>
          <w:tcPr>
            <w:tcW w:w="568" w:type="pct"/>
            <w:tcBorders>
              <w:top w:val="nil"/>
              <w:left w:val="nil"/>
              <w:bottom w:val="single" w:sz="4" w:space="0" w:color="auto"/>
              <w:right w:val="single" w:sz="4" w:space="0" w:color="auto"/>
            </w:tcBorders>
            <w:shd w:val="clear" w:color="auto" w:fill="auto"/>
            <w:vAlign w:val="center"/>
            <w:hideMark/>
          </w:tcPr>
          <w:p w14:paraId="71F25BA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Përmiresimi  i sistemit të mbrojtjes sociale, nëpërmjet mbështetjes së  shtresave në nevojë me pagesa dhe shërbime sociale.</w:t>
            </w:r>
          </w:p>
        </w:tc>
        <w:tc>
          <w:tcPr>
            <w:tcW w:w="256" w:type="pct"/>
            <w:tcBorders>
              <w:top w:val="nil"/>
              <w:left w:val="nil"/>
              <w:bottom w:val="single" w:sz="4" w:space="0" w:color="auto"/>
              <w:right w:val="single" w:sz="4" w:space="0" w:color="auto"/>
            </w:tcBorders>
            <w:shd w:val="clear" w:color="auto" w:fill="auto"/>
            <w:noWrap/>
            <w:vAlign w:val="center"/>
            <w:hideMark/>
          </w:tcPr>
          <w:p w14:paraId="79B29FA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Po, kapitulli 19</w:t>
            </w:r>
          </w:p>
        </w:tc>
        <w:tc>
          <w:tcPr>
            <w:tcW w:w="351" w:type="pct"/>
            <w:tcBorders>
              <w:top w:val="nil"/>
              <w:left w:val="nil"/>
              <w:bottom w:val="nil"/>
              <w:right w:val="nil"/>
            </w:tcBorders>
            <w:shd w:val="clear" w:color="auto" w:fill="auto"/>
            <w:vAlign w:val="center"/>
            <w:hideMark/>
          </w:tcPr>
          <w:p w14:paraId="54A2E9D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Një strategji e re për shëndetin dhe zhvillimin e qëndrueshëm.</w:t>
            </w:r>
          </w:p>
        </w:tc>
        <w:tc>
          <w:tcPr>
            <w:tcW w:w="537" w:type="pct"/>
            <w:tcBorders>
              <w:top w:val="nil"/>
              <w:left w:val="single" w:sz="4" w:space="0" w:color="auto"/>
              <w:bottom w:val="single" w:sz="4" w:space="0" w:color="auto"/>
              <w:right w:val="single" w:sz="4" w:space="0" w:color="auto"/>
            </w:tcBorders>
            <w:shd w:val="clear" w:color="auto" w:fill="auto"/>
            <w:vAlign w:val="center"/>
            <w:hideMark/>
          </w:tcPr>
          <w:p w14:paraId="08F1847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Strategjia Kombetare per Zhvillim dhe Integrim</w:t>
            </w:r>
          </w:p>
        </w:tc>
        <w:tc>
          <w:tcPr>
            <w:tcW w:w="296" w:type="pct"/>
            <w:tcBorders>
              <w:top w:val="nil"/>
              <w:left w:val="nil"/>
              <w:bottom w:val="single" w:sz="4" w:space="0" w:color="auto"/>
              <w:right w:val="single" w:sz="4" w:space="0" w:color="auto"/>
            </w:tcBorders>
            <w:shd w:val="clear" w:color="auto" w:fill="auto"/>
            <w:vAlign w:val="center"/>
            <w:hideMark/>
          </w:tcPr>
          <w:p w14:paraId="3472CAC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-Po</w:t>
            </w:r>
          </w:p>
        </w:tc>
      </w:tr>
      <w:tr w:rsidR="001E3953" w:rsidRPr="001E3953" w14:paraId="7A45A907" w14:textId="77777777" w:rsidTr="001E3953">
        <w:trPr>
          <w:trHeight w:val="2835"/>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4C5DB5A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5</w:t>
            </w:r>
          </w:p>
        </w:tc>
        <w:tc>
          <w:tcPr>
            <w:tcW w:w="895" w:type="pct"/>
            <w:tcBorders>
              <w:top w:val="nil"/>
              <w:left w:val="nil"/>
              <w:bottom w:val="single" w:sz="4" w:space="0" w:color="auto"/>
              <w:right w:val="single" w:sz="4" w:space="0" w:color="auto"/>
            </w:tcBorders>
            <w:shd w:val="clear" w:color="auto" w:fill="auto"/>
            <w:vAlign w:val="center"/>
            <w:hideMark/>
          </w:tcPr>
          <w:p w14:paraId="420F019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"Për disa ndryshime dhe shtesa në vendimin nr. 182, datë 26.2.2020 të Këshillit të Ministrave "Për përcaktimin e masës, të kritereve, procedurave e dokumentacionit për vlerësimin dhe përfitimin e pagesës për personat me aftësi të kufizuara, si dhe të ndihmësit personal".</w:t>
            </w:r>
          </w:p>
        </w:tc>
        <w:tc>
          <w:tcPr>
            <w:tcW w:w="267" w:type="pct"/>
            <w:tcBorders>
              <w:top w:val="single" w:sz="4" w:space="0" w:color="auto"/>
              <w:left w:val="nil"/>
              <w:bottom w:val="nil"/>
              <w:right w:val="single" w:sz="4" w:space="0" w:color="auto"/>
            </w:tcBorders>
            <w:shd w:val="clear" w:color="auto" w:fill="auto"/>
            <w:noWrap/>
            <w:vAlign w:val="center"/>
            <w:hideMark/>
          </w:tcPr>
          <w:p w14:paraId="54BBE41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single" w:sz="4" w:space="0" w:color="auto"/>
              <w:left w:val="nil"/>
              <w:bottom w:val="nil"/>
              <w:right w:val="single" w:sz="4" w:space="0" w:color="auto"/>
            </w:tcBorders>
            <w:shd w:val="clear" w:color="auto" w:fill="auto"/>
            <w:noWrap/>
            <w:vAlign w:val="center"/>
            <w:hideMark/>
          </w:tcPr>
          <w:p w14:paraId="472A9DC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48F3971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Katërmujori I </w:t>
            </w:r>
          </w:p>
        </w:tc>
        <w:tc>
          <w:tcPr>
            <w:tcW w:w="724" w:type="pct"/>
            <w:tcBorders>
              <w:top w:val="nil"/>
              <w:left w:val="nil"/>
              <w:bottom w:val="single" w:sz="4" w:space="0" w:color="auto"/>
              <w:right w:val="single" w:sz="4" w:space="0" w:color="auto"/>
            </w:tcBorders>
            <w:shd w:val="clear" w:color="auto" w:fill="auto"/>
            <w:vAlign w:val="center"/>
            <w:hideMark/>
          </w:tcPr>
          <w:p w14:paraId="43F7FEE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Rishikimi i KMCAP-ve te Sherbimit Social Shteteror</w:t>
            </w:r>
          </w:p>
        </w:tc>
        <w:tc>
          <w:tcPr>
            <w:tcW w:w="568" w:type="pct"/>
            <w:tcBorders>
              <w:top w:val="nil"/>
              <w:left w:val="nil"/>
              <w:bottom w:val="single" w:sz="4" w:space="0" w:color="auto"/>
              <w:right w:val="single" w:sz="4" w:space="0" w:color="auto"/>
            </w:tcBorders>
            <w:shd w:val="clear" w:color="auto" w:fill="auto"/>
            <w:vAlign w:val="center"/>
            <w:hideMark/>
          </w:tcPr>
          <w:p w14:paraId="1BFA006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Shfuqizimi i KMCAP-ve te semundjeve interne, te shendetit mendor, kirurgjise, onkologjise, etj, ne perputhje me shtrirjen e skemes se vleresimit bio-psiko-social. Lenia ne fuqi e KMCAP te nivelit te pare dhe Epror te statusin te para-tetraplegie dhe verberise. </w:t>
            </w:r>
          </w:p>
        </w:tc>
        <w:tc>
          <w:tcPr>
            <w:tcW w:w="256" w:type="pct"/>
            <w:tcBorders>
              <w:top w:val="nil"/>
              <w:left w:val="nil"/>
              <w:bottom w:val="single" w:sz="4" w:space="0" w:color="auto"/>
              <w:right w:val="single" w:sz="4" w:space="0" w:color="auto"/>
            </w:tcBorders>
            <w:shd w:val="clear" w:color="auto" w:fill="auto"/>
            <w:noWrap/>
            <w:vAlign w:val="center"/>
            <w:hideMark/>
          </w:tcPr>
          <w:p w14:paraId="60EEB3F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nil"/>
              <w:right w:val="nil"/>
            </w:tcBorders>
            <w:shd w:val="clear" w:color="auto" w:fill="auto"/>
            <w:vAlign w:val="center"/>
            <w:hideMark/>
          </w:tcPr>
          <w:p w14:paraId="407A827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Një strategji e re për shëndetin dhe zhvillimin e qëndrueshëm.</w:t>
            </w:r>
          </w:p>
        </w:tc>
        <w:tc>
          <w:tcPr>
            <w:tcW w:w="537" w:type="pct"/>
            <w:tcBorders>
              <w:top w:val="nil"/>
              <w:left w:val="single" w:sz="4" w:space="0" w:color="auto"/>
              <w:bottom w:val="single" w:sz="4" w:space="0" w:color="auto"/>
              <w:right w:val="single" w:sz="4" w:space="0" w:color="auto"/>
            </w:tcBorders>
            <w:shd w:val="clear" w:color="auto" w:fill="auto"/>
            <w:vAlign w:val="center"/>
            <w:hideMark/>
          </w:tcPr>
          <w:p w14:paraId="36ECD00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Strategjia Kombëtare e Mbrojtjes Sociale 2020-2023 (është në proces shkrimi i Strategjisë për vitët 2024-2030</w:t>
            </w:r>
          </w:p>
        </w:tc>
        <w:tc>
          <w:tcPr>
            <w:tcW w:w="296" w:type="pct"/>
            <w:tcBorders>
              <w:top w:val="nil"/>
              <w:left w:val="nil"/>
              <w:bottom w:val="single" w:sz="4" w:space="0" w:color="auto"/>
              <w:right w:val="single" w:sz="4" w:space="0" w:color="auto"/>
            </w:tcBorders>
            <w:shd w:val="clear" w:color="auto" w:fill="auto"/>
            <w:vAlign w:val="center"/>
            <w:hideMark/>
          </w:tcPr>
          <w:p w14:paraId="35F45AA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-Po</w:t>
            </w:r>
          </w:p>
        </w:tc>
      </w:tr>
      <w:tr w:rsidR="001E3953" w:rsidRPr="001E3953" w14:paraId="40AE98CE" w14:textId="77777777" w:rsidTr="001E3953">
        <w:trPr>
          <w:trHeight w:val="2835"/>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5D7269E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6</w:t>
            </w:r>
          </w:p>
        </w:tc>
        <w:tc>
          <w:tcPr>
            <w:tcW w:w="895" w:type="pct"/>
            <w:tcBorders>
              <w:top w:val="nil"/>
              <w:left w:val="nil"/>
              <w:bottom w:val="single" w:sz="4" w:space="0" w:color="auto"/>
              <w:right w:val="single" w:sz="4" w:space="0" w:color="auto"/>
            </w:tcBorders>
            <w:shd w:val="clear" w:color="auto" w:fill="auto"/>
            <w:vAlign w:val="center"/>
            <w:hideMark/>
          </w:tcPr>
          <w:p w14:paraId="0954ABC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procedurën dhe mënyrën e përdorimit të të ardhurave të Agjencisë Kombëtare të Kontrollit të Cannabis-it</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104F301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single" w:sz="4" w:space="0" w:color="auto"/>
              <w:left w:val="nil"/>
              <w:bottom w:val="single" w:sz="4" w:space="0" w:color="auto"/>
              <w:right w:val="single" w:sz="4" w:space="0" w:color="auto"/>
            </w:tcBorders>
            <w:shd w:val="clear" w:color="auto" w:fill="auto"/>
            <w:noWrap/>
            <w:vAlign w:val="center"/>
            <w:hideMark/>
          </w:tcPr>
          <w:p w14:paraId="48F39AD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44874F4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II</w:t>
            </w:r>
          </w:p>
        </w:tc>
        <w:tc>
          <w:tcPr>
            <w:tcW w:w="724" w:type="pct"/>
            <w:tcBorders>
              <w:top w:val="nil"/>
              <w:left w:val="nil"/>
              <w:bottom w:val="single" w:sz="4" w:space="0" w:color="auto"/>
              <w:right w:val="single" w:sz="4" w:space="0" w:color="auto"/>
            </w:tcBorders>
            <w:shd w:val="clear" w:color="auto" w:fill="auto"/>
            <w:vAlign w:val="center"/>
            <w:hideMark/>
          </w:tcPr>
          <w:p w14:paraId="15F9C46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Detyrim ligjor i parashikuar nga neni 7, pika 3 i Ligjit nr. 61/2023 "Për kontrollin e kultivimit dhe përpunimit të bimës Cannabis-it dhe prodhimit të nënprodukteve të saj për qëllime mjekësore dhe industriale" </w:t>
            </w:r>
          </w:p>
        </w:tc>
        <w:tc>
          <w:tcPr>
            <w:tcW w:w="568" w:type="pct"/>
            <w:tcBorders>
              <w:top w:val="nil"/>
              <w:left w:val="nil"/>
              <w:bottom w:val="single" w:sz="4" w:space="0" w:color="auto"/>
              <w:right w:val="single" w:sz="4" w:space="0" w:color="auto"/>
            </w:tcBorders>
            <w:shd w:val="clear" w:color="auto" w:fill="auto"/>
            <w:vAlign w:val="center"/>
            <w:hideMark/>
          </w:tcPr>
          <w:p w14:paraId="29F0097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Procedurën dhe mënyrën e përdorimit të të ardhurave të Agjencisë Kombëtare të Kontrollit të Cannabis-it, të ardhurat nga buxheti i shtetit dhe të ardhurat e krijuara</w:t>
            </w:r>
            <w:r w:rsidRPr="001E3953">
              <w:rPr>
                <w:rFonts w:ascii="Arial" w:eastAsia="Times New Roman" w:hAnsi="Arial" w:cs="Arial"/>
                <w:color w:val="000000"/>
                <w:sz w:val="12"/>
                <w:szCs w:val="12"/>
                <w:bdr w:val="none" w:sz="0" w:space="0" w:color="auto"/>
              </w:rPr>
              <w:br/>
              <w:t>nga veprimtaria e saj në bazë dhe për zbatim të ligjit  nr. 61/2023.</w:t>
            </w:r>
          </w:p>
        </w:tc>
        <w:tc>
          <w:tcPr>
            <w:tcW w:w="256" w:type="pct"/>
            <w:tcBorders>
              <w:top w:val="nil"/>
              <w:left w:val="nil"/>
              <w:bottom w:val="single" w:sz="4" w:space="0" w:color="auto"/>
              <w:right w:val="single" w:sz="4" w:space="0" w:color="auto"/>
            </w:tcBorders>
            <w:shd w:val="clear" w:color="auto" w:fill="auto"/>
            <w:noWrap/>
            <w:vAlign w:val="center"/>
            <w:hideMark/>
          </w:tcPr>
          <w:p w14:paraId="78A9067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14:paraId="07698EA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single" w:sz="4" w:space="0" w:color="auto"/>
              <w:right w:val="single" w:sz="4" w:space="0" w:color="auto"/>
            </w:tcBorders>
            <w:shd w:val="clear" w:color="auto" w:fill="auto"/>
            <w:noWrap/>
            <w:vAlign w:val="center"/>
            <w:hideMark/>
          </w:tcPr>
          <w:p w14:paraId="7791349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296" w:type="pct"/>
            <w:tcBorders>
              <w:top w:val="nil"/>
              <w:left w:val="nil"/>
              <w:bottom w:val="single" w:sz="4" w:space="0" w:color="auto"/>
              <w:right w:val="single" w:sz="4" w:space="0" w:color="auto"/>
            </w:tcBorders>
            <w:shd w:val="clear" w:color="auto" w:fill="auto"/>
            <w:vAlign w:val="center"/>
            <w:hideMark/>
          </w:tcPr>
          <w:p w14:paraId="189C567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-Jo</w:t>
            </w:r>
          </w:p>
        </w:tc>
      </w:tr>
      <w:tr w:rsidR="001E3953" w:rsidRPr="001E3953" w14:paraId="731BDBCD" w14:textId="77777777" w:rsidTr="001E3953">
        <w:trPr>
          <w:trHeight w:val="4905"/>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0528F4C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7</w:t>
            </w:r>
          </w:p>
        </w:tc>
        <w:tc>
          <w:tcPr>
            <w:tcW w:w="895" w:type="pct"/>
            <w:tcBorders>
              <w:top w:val="nil"/>
              <w:left w:val="nil"/>
              <w:bottom w:val="single" w:sz="4" w:space="0" w:color="auto"/>
              <w:right w:val="single" w:sz="4" w:space="0" w:color="auto"/>
            </w:tcBorders>
            <w:shd w:val="clear" w:color="auto" w:fill="auto"/>
            <w:vAlign w:val="center"/>
            <w:hideMark/>
          </w:tcPr>
          <w:p w14:paraId="0F44076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përcaktimin në mënyrë të hollësishme të të dhënave parësore dhe dytësore, përcaktimin e bazave konkrete të të dhënave me të cilat ndërvepron Rregjistri Kombëtar i Aktivitetit të Livencuar dhe të Lejuar të Bimës së Cannabis-it, niveli i aksesit të tij nga subjektet e interesuara apo publiku, përcaktimi i të dhënave që do të jenë publike, si dhe mënyra e regjistrimit dhe ruajtjes së të dhënave dhe dokumenteve që përmban regjistri.</w:t>
            </w:r>
          </w:p>
        </w:tc>
        <w:tc>
          <w:tcPr>
            <w:tcW w:w="267" w:type="pct"/>
            <w:tcBorders>
              <w:top w:val="nil"/>
              <w:left w:val="nil"/>
              <w:bottom w:val="single" w:sz="4" w:space="0" w:color="auto"/>
              <w:right w:val="single" w:sz="4" w:space="0" w:color="auto"/>
            </w:tcBorders>
            <w:shd w:val="clear" w:color="auto" w:fill="auto"/>
            <w:noWrap/>
            <w:vAlign w:val="center"/>
            <w:hideMark/>
          </w:tcPr>
          <w:p w14:paraId="3FDCFDB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nil"/>
              <w:left w:val="nil"/>
              <w:bottom w:val="single" w:sz="4" w:space="0" w:color="auto"/>
              <w:right w:val="single" w:sz="4" w:space="0" w:color="auto"/>
            </w:tcBorders>
            <w:shd w:val="clear" w:color="auto" w:fill="auto"/>
            <w:noWrap/>
            <w:vAlign w:val="center"/>
            <w:hideMark/>
          </w:tcPr>
          <w:p w14:paraId="1BFD522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6044AC3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II</w:t>
            </w:r>
          </w:p>
        </w:tc>
        <w:tc>
          <w:tcPr>
            <w:tcW w:w="724" w:type="pct"/>
            <w:tcBorders>
              <w:top w:val="nil"/>
              <w:left w:val="nil"/>
              <w:bottom w:val="single" w:sz="4" w:space="0" w:color="auto"/>
              <w:right w:val="single" w:sz="4" w:space="0" w:color="auto"/>
            </w:tcBorders>
            <w:shd w:val="clear" w:color="auto" w:fill="auto"/>
            <w:vAlign w:val="center"/>
            <w:hideMark/>
          </w:tcPr>
          <w:p w14:paraId="4590310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Detyrim ligjor i parashikuar nga neni 13, pika 6 i Ligjit nr. 61/2023 "Për kontrollin e kultivimit dhe përpunimit të bimës Cannabis-it dhe prodhimit të nënprodukteve të saj për qëllime mjekësore dhe industriale" </w:t>
            </w:r>
          </w:p>
        </w:tc>
        <w:tc>
          <w:tcPr>
            <w:tcW w:w="568" w:type="pct"/>
            <w:tcBorders>
              <w:top w:val="nil"/>
              <w:left w:val="nil"/>
              <w:bottom w:val="single" w:sz="4" w:space="0" w:color="auto"/>
              <w:right w:val="single" w:sz="4" w:space="0" w:color="auto"/>
            </w:tcBorders>
            <w:shd w:val="clear" w:color="auto" w:fill="auto"/>
            <w:vAlign w:val="center"/>
            <w:hideMark/>
          </w:tcPr>
          <w:p w14:paraId="47B561A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përcaktimin në mënyrë të hollësishme të të dhënave parësore dhe dytësore, përcaktimin e bazave konkrete të të dhënave me të cilat ndërvepron Rregjistri Kombëtar i Aktivitetit të Livencuar dhe të Lejuar të Bimës së Cannabis-it, niveli i aksesit të tij nga subjektet e interesuara apo publiku, përcaktimi i të dhënave që do të jenë publike, si dhe mënyra e regjistrimit dhe ruajtjes së të dhënave dhe dokumenteve që përmban regjistri</w:t>
            </w:r>
          </w:p>
        </w:tc>
        <w:tc>
          <w:tcPr>
            <w:tcW w:w="256" w:type="pct"/>
            <w:tcBorders>
              <w:top w:val="nil"/>
              <w:left w:val="nil"/>
              <w:bottom w:val="single" w:sz="4" w:space="0" w:color="auto"/>
              <w:right w:val="single" w:sz="4" w:space="0" w:color="auto"/>
            </w:tcBorders>
            <w:shd w:val="clear" w:color="auto" w:fill="auto"/>
            <w:noWrap/>
            <w:vAlign w:val="center"/>
            <w:hideMark/>
          </w:tcPr>
          <w:p w14:paraId="146F755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12F6781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single" w:sz="4" w:space="0" w:color="auto"/>
              <w:right w:val="single" w:sz="4" w:space="0" w:color="auto"/>
            </w:tcBorders>
            <w:shd w:val="clear" w:color="auto" w:fill="auto"/>
            <w:noWrap/>
            <w:vAlign w:val="center"/>
            <w:hideMark/>
          </w:tcPr>
          <w:p w14:paraId="146A7F4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296" w:type="pct"/>
            <w:tcBorders>
              <w:top w:val="nil"/>
              <w:left w:val="nil"/>
              <w:bottom w:val="single" w:sz="4" w:space="0" w:color="auto"/>
              <w:right w:val="single" w:sz="4" w:space="0" w:color="auto"/>
            </w:tcBorders>
            <w:shd w:val="clear" w:color="auto" w:fill="auto"/>
            <w:vAlign w:val="center"/>
            <w:hideMark/>
          </w:tcPr>
          <w:p w14:paraId="54A2582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Jo Ndikime mjedisore - Jo  Ndikime sociale -Jo</w:t>
            </w:r>
          </w:p>
        </w:tc>
      </w:tr>
      <w:tr w:rsidR="001E3953" w:rsidRPr="001E3953" w14:paraId="47965D3D" w14:textId="77777777" w:rsidTr="001E3953">
        <w:trPr>
          <w:trHeight w:val="288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0ECC444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8</w:t>
            </w:r>
          </w:p>
        </w:tc>
        <w:tc>
          <w:tcPr>
            <w:tcW w:w="895" w:type="pct"/>
            <w:tcBorders>
              <w:top w:val="nil"/>
              <w:left w:val="nil"/>
              <w:bottom w:val="single" w:sz="4" w:space="0" w:color="auto"/>
              <w:right w:val="single" w:sz="4" w:space="0" w:color="auto"/>
            </w:tcBorders>
            <w:shd w:val="clear" w:color="auto" w:fill="auto"/>
            <w:vAlign w:val="center"/>
            <w:hideMark/>
          </w:tcPr>
          <w:p w14:paraId="4D652F7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Për përcaktimin e standardeve të planit të sigurisë për sipërfaqen për kultivimin dhe përpunimin e cannabisit.</w:t>
            </w:r>
          </w:p>
        </w:tc>
        <w:tc>
          <w:tcPr>
            <w:tcW w:w="267" w:type="pct"/>
            <w:tcBorders>
              <w:top w:val="nil"/>
              <w:left w:val="nil"/>
              <w:bottom w:val="single" w:sz="4" w:space="0" w:color="auto"/>
              <w:right w:val="single" w:sz="4" w:space="0" w:color="auto"/>
            </w:tcBorders>
            <w:shd w:val="clear" w:color="auto" w:fill="auto"/>
            <w:noWrap/>
            <w:vAlign w:val="center"/>
            <w:hideMark/>
          </w:tcPr>
          <w:p w14:paraId="3DDBAF5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 xml:space="preserve">Projektvendim </w:t>
            </w:r>
          </w:p>
        </w:tc>
        <w:tc>
          <w:tcPr>
            <w:tcW w:w="759" w:type="pct"/>
            <w:tcBorders>
              <w:top w:val="nil"/>
              <w:left w:val="nil"/>
              <w:bottom w:val="single" w:sz="4" w:space="0" w:color="auto"/>
              <w:right w:val="single" w:sz="4" w:space="0" w:color="auto"/>
            </w:tcBorders>
            <w:shd w:val="clear" w:color="auto" w:fill="auto"/>
            <w:vAlign w:val="center"/>
            <w:hideMark/>
          </w:tcPr>
          <w:p w14:paraId="2FE384A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Ministri i Shëndetësisë dhe Mbrojtjes Sociale Duhet Ministria e brendshme</w:t>
            </w:r>
          </w:p>
        </w:tc>
        <w:tc>
          <w:tcPr>
            <w:tcW w:w="258" w:type="pct"/>
            <w:tcBorders>
              <w:top w:val="nil"/>
              <w:left w:val="nil"/>
              <w:bottom w:val="single" w:sz="4" w:space="0" w:color="auto"/>
              <w:right w:val="single" w:sz="4" w:space="0" w:color="auto"/>
            </w:tcBorders>
            <w:shd w:val="clear" w:color="auto" w:fill="auto"/>
            <w:noWrap/>
            <w:vAlign w:val="center"/>
            <w:hideMark/>
          </w:tcPr>
          <w:p w14:paraId="466432B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Katermujori II</w:t>
            </w:r>
          </w:p>
        </w:tc>
        <w:tc>
          <w:tcPr>
            <w:tcW w:w="724" w:type="pct"/>
            <w:tcBorders>
              <w:top w:val="nil"/>
              <w:left w:val="nil"/>
              <w:bottom w:val="single" w:sz="4" w:space="0" w:color="auto"/>
              <w:right w:val="single" w:sz="4" w:space="0" w:color="auto"/>
            </w:tcBorders>
            <w:shd w:val="clear" w:color="auto" w:fill="auto"/>
            <w:vAlign w:val="center"/>
            <w:hideMark/>
          </w:tcPr>
          <w:p w14:paraId="0CFB481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 xml:space="preserve">Detyrim ligjor i parashikuar nga neni 15, pika 2, shkronja "d" Ligji nr. 61/2023 "Për kontrollin e kultivimit dhe përpunimit të bimës Cannabis-it dhe prodhimit të nënprodukteve të saj për qëllime mjekësore dhe industriale" </w:t>
            </w:r>
          </w:p>
        </w:tc>
        <w:tc>
          <w:tcPr>
            <w:tcW w:w="568" w:type="pct"/>
            <w:tcBorders>
              <w:top w:val="nil"/>
              <w:left w:val="nil"/>
              <w:bottom w:val="single" w:sz="4" w:space="0" w:color="auto"/>
              <w:right w:val="single" w:sz="4" w:space="0" w:color="auto"/>
            </w:tcBorders>
            <w:shd w:val="clear" w:color="auto" w:fill="auto"/>
            <w:vAlign w:val="center"/>
            <w:hideMark/>
          </w:tcPr>
          <w:p w14:paraId="1F0A570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Përcaktimi i standardeve të planit të sigurisë për sipërfaqen për kultivimin dhe përpunimin e cannabisit. Plani i sigurisë është një nga kushtet për pajisjen me licence te personave juridikë,  për prodhimin e cannabis-it për qëllime mjekësore.</w:t>
            </w:r>
          </w:p>
        </w:tc>
        <w:tc>
          <w:tcPr>
            <w:tcW w:w="256" w:type="pct"/>
            <w:tcBorders>
              <w:top w:val="nil"/>
              <w:left w:val="nil"/>
              <w:bottom w:val="single" w:sz="4" w:space="0" w:color="auto"/>
              <w:right w:val="single" w:sz="4" w:space="0" w:color="auto"/>
            </w:tcBorders>
            <w:shd w:val="clear" w:color="auto" w:fill="auto"/>
            <w:noWrap/>
            <w:vAlign w:val="center"/>
            <w:hideMark/>
          </w:tcPr>
          <w:p w14:paraId="6AB88C5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44EDC52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Jo</w:t>
            </w:r>
          </w:p>
        </w:tc>
        <w:tc>
          <w:tcPr>
            <w:tcW w:w="537" w:type="pct"/>
            <w:tcBorders>
              <w:top w:val="nil"/>
              <w:left w:val="nil"/>
              <w:bottom w:val="single" w:sz="4" w:space="0" w:color="auto"/>
              <w:right w:val="single" w:sz="4" w:space="0" w:color="auto"/>
            </w:tcBorders>
            <w:shd w:val="clear" w:color="auto" w:fill="auto"/>
            <w:noWrap/>
            <w:vAlign w:val="center"/>
            <w:hideMark/>
          </w:tcPr>
          <w:p w14:paraId="70B1E65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Jo</w:t>
            </w:r>
          </w:p>
        </w:tc>
        <w:tc>
          <w:tcPr>
            <w:tcW w:w="296" w:type="pct"/>
            <w:tcBorders>
              <w:top w:val="nil"/>
              <w:left w:val="nil"/>
              <w:bottom w:val="single" w:sz="4" w:space="0" w:color="auto"/>
              <w:right w:val="single" w:sz="4" w:space="0" w:color="auto"/>
            </w:tcBorders>
            <w:shd w:val="clear" w:color="auto" w:fill="auto"/>
            <w:vAlign w:val="center"/>
            <w:hideMark/>
          </w:tcPr>
          <w:p w14:paraId="73DEDB77"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E3953">
              <w:rPr>
                <w:rFonts w:ascii="Arial" w:eastAsia="Times New Roman" w:hAnsi="Arial" w:cs="Arial"/>
                <w:sz w:val="12"/>
                <w:szCs w:val="12"/>
                <w:bdr w:val="none" w:sz="0" w:space="0" w:color="auto"/>
              </w:rPr>
              <w:t>Ndikime financiare - Jo Ndikime mjedisore - Po  Ndikime sociale -Jo</w:t>
            </w:r>
          </w:p>
        </w:tc>
      </w:tr>
      <w:tr w:rsidR="001E3953" w:rsidRPr="001E3953" w14:paraId="33CE58FF" w14:textId="77777777" w:rsidTr="001E3953">
        <w:trPr>
          <w:trHeight w:val="210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6E83D47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9</w:t>
            </w:r>
          </w:p>
        </w:tc>
        <w:tc>
          <w:tcPr>
            <w:tcW w:w="895" w:type="pct"/>
            <w:tcBorders>
              <w:top w:val="nil"/>
              <w:left w:val="nil"/>
              <w:bottom w:val="nil"/>
              <w:right w:val="nil"/>
            </w:tcBorders>
            <w:shd w:val="clear" w:color="auto" w:fill="auto"/>
            <w:vAlign w:val="center"/>
            <w:hideMark/>
          </w:tcPr>
          <w:p w14:paraId="527B856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përcaktimin e tarifave dhe procedurës së pagesës së shënjimit dhe gjurmimit të bimës së Cannabis-it mjekësor dhe industrial</w:t>
            </w:r>
          </w:p>
        </w:tc>
        <w:tc>
          <w:tcPr>
            <w:tcW w:w="267" w:type="pct"/>
            <w:tcBorders>
              <w:top w:val="nil"/>
              <w:left w:val="single" w:sz="4" w:space="0" w:color="auto"/>
              <w:bottom w:val="single" w:sz="4" w:space="0" w:color="auto"/>
              <w:right w:val="single" w:sz="4" w:space="0" w:color="auto"/>
            </w:tcBorders>
            <w:shd w:val="clear" w:color="auto" w:fill="auto"/>
            <w:noWrap/>
            <w:vAlign w:val="center"/>
            <w:hideMark/>
          </w:tcPr>
          <w:p w14:paraId="67B94057"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nil"/>
              <w:left w:val="nil"/>
              <w:bottom w:val="single" w:sz="4" w:space="0" w:color="auto"/>
              <w:right w:val="single" w:sz="4" w:space="0" w:color="auto"/>
            </w:tcBorders>
            <w:shd w:val="clear" w:color="auto" w:fill="auto"/>
            <w:noWrap/>
            <w:vAlign w:val="center"/>
            <w:hideMark/>
          </w:tcPr>
          <w:p w14:paraId="48E642D7"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449F07E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II</w:t>
            </w:r>
          </w:p>
        </w:tc>
        <w:tc>
          <w:tcPr>
            <w:tcW w:w="724" w:type="pct"/>
            <w:tcBorders>
              <w:top w:val="nil"/>
              <w:left w:val="nil"/>
              <w:bottom w:val="single" w:sz="4" w:space="0" w:color="auto"/>
              <w:right w:val="single" w:sz="4" w:space="0" w:color="auto"/>
            </w:tcBorders>
            <w:shd w:val="clear" w:color="auto" w:fill="auto"/>
            <w:vAlign w:val="center"/>
            <w:hideMark/>
          </w:tcPr>
          <w:p w14:paraId="23FEDB9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Detyrim ligjor i parashikuar nga neni 34 pika 4 i Ligjit nr. 61/2023 "Për kontrollin e kultivimit dhe përpunimit të bimës Cannabis-it dhe prodhimit të nënprodukteve të saj për qëllime mjekësore dhe industriale" </w:t>
            </w:r>
          </w:p>
        </w:tc>
        <w:tc>
          <w:tcPr>
            <w:tcW w:w="568" w:type="pct"/>
            <w:tcBorders>
              <w:top w:val="nil"/>
              <w:left w:val="nil"/>
              <w:bottom w:val="single" w:sz="4" w:space="0" w:color="auto"/>
              <w:right w:val="single" w:sz="4" w:space="0" w:color="auto"/>
            </w:tcBorders>
            <w:shd w:val="clear" w:color="auto" w:fill="auto"/>
            <w:vAlign w:val="center"/>
            <w:hideMark/>
          </w:tcPr>
          <w:p w14:paraId="033A41C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Përcaktimi i tarifave dhe procedurës së pagesës së shënjimit dhe gjurmimit të bimës së Cannabis-it mjekësor dhe industrial</w:t>
            </w:r>
          </w:p>
        </w:tc>
        <w:tc>
          <w:tcPr>
            <w:tcW w:w="256" w:type="pct"/>
            <w:tcBorders>
              <w:top w:val="nil"/>
              <w:left w:val="nil"/>
              <w:bottom w:val="single" w:sz="4" w:space="0" w:color="auto"/>
              <w:right w:val="single" w:sz="4" w:space="0" w:color="auto"/>
            </w:tcBorders>
            <w:shd w:val="clear" w:color="auto" w:fill="auto"/>
            <w:noWrap/>
            <w:vAlign w:val="center"/>
            <w:hideMark/>
          </w:tcPr>
          <w:p w14:paraId="6CFA9C6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654DFF5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single" w:sz="4" w:space="0" w:color="auto"/>
              <w:right w:val="single" w:sz="4" w:space="0" w:color="auto"/>
            </w:tcBorders>
            <w:shd w:val="clear" w:color="auto" w:fill="auto"/>
            <w:noWrap/>
            <w:vAlign w:val="center"/>
            <w:hideMark/>
          </w:tcPr>
          <w:p w14:paraId="7C49B61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296" w:type="pct"/>
            <w:tcBorders>
              <w:top w:val="nil"/>
              <w:left w:val="nil"/>
              <w:bottom w:val="nil"/>
              <w:right w:val="single" w:sz="4" w:space="0" w:color="auto"/>
            </w:tcBorders>
            <w:shd w:val="clear" w:color="auto" w:fill="auto"/>
            <w:vAlign w:val="center"/>
            <w:hideMark/>
          </w:tcPr>
          <w:p w14:paraId="32DBC2D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-Jo</w:t>
            </w:r>
          </w:p>
        </w:tc>
      </w:tr>
      <w:tr w:rsidR="001E3953" w:rsidRPr="001E3953" w14:paraId="6AD1BFA4" w14:textId="77777777" w:rsidTr="001E3953">
        <w:trPr>
          <w:trHeight w:val="315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0E38EC8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10</w:t>
            </w:r>
          </w:p>
        </w:tc>
        <w:tc>
          <w:tcPr>
            <w:tcW w:w="895" w:type="pct"/>
            <w:tcBorders>
              <w:top w:val="nil"/>
              <w:left w:val="nil"/>
              <w:bottom w:val="nil"/>
              <w:right w:val="nil"/>
            </w:tcBorders>
            <w:shd w:val="clear" w:color="auto" w:fill="auto"/>
            <w:vAlign w:val="center"/>
            <w:hideMark/>
          </w:tcPr>
          <w:p w14:paraId="38D6D23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përcaktimin e kërkesave për gjurmueshmërinë, rregullat për elementet, etiketën apo pullën unike të shenjimit apo forma të tjera të shenjimit, procedura dhe mënyra e shenjimit dhe gjurmimit, si dhe autoritetin apo palën e autorizuar për realizimin e shenjimit dhe gjurmueshmërisë.</w:t>
            </w:r>
          </w:p>
        </w:tc>
        <w:tc>
          <w:tcPr>
            <w:tcW w:w="267" w:type="pct"/>
            <w:tcBorders>
              <w:top w:val="nil"/>
              <w:left w:val="single" w:sz="4" w:space="0" w:color="auto"/>
              <w:bottom w:val="single" w:sz="4" w:space="0" w:color="auto"/>
              <w:right w:val="single" w:sz="4" w:space="0" w:color="auto"/>
            </w:tcBorders>
            <w:shd w:val="clear" w:color="auto" w:fill="auto"/>
            <w:noWrap/>
            <w:vAlign w:val="center"/>
            <w:hideMark/>
          </w:tcPr>
          <w:p w14:paraId="244BFD7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nil"/>
              <w:left w:val="nil"/>
              <w:bottom w:val="single" w:sz="4" w:space="0" w:color="auto"/>
              <w:right w:val="single" w:sz="4" w:space="0" w:color="auto"/>
            </w:tcBorders>
            <w:shd w:val="clear" w:color="auto" w:fill="auto"/>
            <w:noWrap/>
            <w:vAlign w:val="center"/>
            <w:hideMark/>
          </w:tcPr>
          <w:p w14:paraId="1246DA5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433383A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II</w:t>
            </w:r>
          </w:p>
        </w:tc>
        <w:tc>
          <w:tcPr>
            <w:tcW w:w="724" w:type="pct"/>
            <w:tcBorders>
              <w:top w:val="nil"/>
              <w:left w:val="nil"/>
              <w:bottom w:val="single" w:sz="4" w:space="0" w:color="auto"/>
              <w:right w:val="single" w:sz="4" w:space="0" w:color="auto"/>
            </w:tcBorders>
            <w:shd w:val="clear" w:color="auto" w:fill="auto"/>
            <w:vAlign w:val="center"/>
            <w:hideMark/>
          </w:tcPr>
          <w:p w14:paraId="2A4EE9D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Detyrim ligjor i parashikuar nga neni 34 pika 5 i Ligjit nr. 61/2023 "Për kontrollin e kultivimit dhe përpunimit të bimës Cannabis-it dhe prodhimit të nënprodukteve të saj për qëllime mjekësore dhe industriale" </w:t>
            </w:r>
          </w:p>
        </w:tc>
        <w:tc>
          <w:tcPr>
            <w:tcW w:w="568" w:type="pct"/>
            <w:tcBorders>
              <w:top w:val="nil"/>
              <w:left w:val="nil"/>
              <w:bottom w:val="single" w:sz="4" w:space="0" w:color="auto"/>
              <w:right w:val="single" w:sz="4" w:space="0" w:color="auto"/>
            </w:tcBorders>
            <w:shd w:val="clear" w:color="auto" w:fill="auto"/>
            <w:vAlign w:val="center"/>
            <w:hideMark/>
          </w:tcPr>
          <w:p w14:paraId="306E028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Përcaktimi i kërkesave për gjurmueshmërinë, rregullat për elementet, etiketën apo pullën unike të shenjimit apo forma të tjera të shenjimit, procedura dhe mënyra e shenjimit dhe gjurmimit, si dhe autoritetin apo palën e autorizuar për realizimin e shenjimit dhe gjurmueshmërisë.</w:t>
            </w:r>
          </w:p>
        </w:tc>
        <w:tc>
          <w:tcPr>
            <w:tcW w:w="256" w:type="pct"/>
            <w:tcBorders>
              <w:top w:val="nil"/>
              <w:left w:val="nil"/>
              <w:bottom w:val="single" w:sz="4" w:space="0" w:color="auto"/>
              <w:right w:val="single" w:sz="4" w:space="0" w:color="auto"/>
            </w:tcBorders>
            <w:shd w:val="clear" w:color="auto" w:fill="auto"/>
            <w:noWrap/>
            <w:vAlign w:val="center"/>
            <w:hideMark/>
          </w:tcPr>
          <w:p w14:paraId="0764911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381F369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single" w:sz="4" w:space="0" w:color="auto"/>
              <w:right w:val="single" w:sz="4" w:space="0" w:color="auto"/>
            </w:tcBorders>
            <w:shd w:val="clear" w:color="auto" w:fill="auto"/>
            <w:noWrap/>
            <w:vAlign w:val="center"/>
            <w:hideMark/>
          </w:tcPr>
          <w:p w14:paraId="207CFAE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296" w:type="pct"/>
            <w:tcBorders>
              <w:top w:val="single" w:sz="4" w:space="0" w:color="auto"/>
              <w:left w:val="nil"/>
              <w:bottom w:val="nil"/>
              <w:right w:val="single" w:sz="4" w:space="0" w:color="auto"/>
            </w:tcBorders>
            <w:shd w:val="clear" w:color="auto" w:fill="auto"/>
            <w:vAlign w:val="center"/>
            <w:hideMark/>
          </w:tcPr>
          <w:p w14:paraId="75B2E39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Jo Ndikime mjedisore - Jo  Ndikime sociale -Jo</w:t>
            </w:r>
          </w:p>
        </w:tc>
      </w:tr>
      <w:tr w:rsidR="001E3953" w:rsidRPr="001E3953" w14:paraId="22043E6E" w14:textId="77777777" w:rsidTr="001E3953">
        <w:trPr>
          <w:trHeight w:val="189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0BB1E1C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11</w:t>
            </w:r>
          </w:p>
        </w:tc>
        <w:tc>
          <w:tcPr>
            <w:tcW w:w="895" w:type="pct"/>
            <w:tcBorders>
              <w:top w:val="single" w:sz="4" w:space="0" w:color="auto"/>
              <w:left w:val="nil"/>
              <w:bottom w:val="single" w:sz="4" w:space="0" w:color="auto"/>
              <w:right w:val="single" w:sz="4" w:space="0" w:color="auto"/>
            </w:tcBorders>
            <w:shd w:val="clear" w:color="auto" w:fill="auto"/>
            <w:vAlign w:val="center"/>
            <w:hideMark/>
          </w:tcPr>
          <w:p w14:paraId="42304C9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Për përcaktimin e rregullave të hollësishme për mbikqyrjen e zbatimit të parashikimeve të Ligjit nr. 61/2023 "Për kontrollin e kultivimit dhe përpunimit të bimës Cannabis-it dhe prodhimit të nënprodukteve të saj për qëllime mjekësore dhe industriale" </w:t>
            </w:r>
          </w:p>
        </w:tc>
        <w:tc>
          <w:tcPr>
            <w:tcW w:w="267" w:type="pct"/>
            <w:tcBorders>
              <w:top w:val="nil"/>
              <w:left w:val="nil"/>
              <w:bottom w:val="single" w:sz="4" w:space="0" w:color="auto"/>
              <w:right w:val="single" w:sz="4" w:space="0" w:color="auto"/>
            </w:tcBorders>
            <w:shd w:val="clear" w:color="auto" w:fill="auto"/>
            <w:noWrap/>
            <w:vAlign w:val="center"/>
            <w:hideMark/>
          </w:tcPr>
          <w:p w14:paraId="51F8066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nil"/>
              <w:left w:val="nil"/>
              <w:bottom w:val="single" w:sz="4" w:space="0" w:color="auto"/>
              <w:right w:val="single" w:sz="4" w:space="0" w:color="auto"/>
            </w:tcBorders>
            <w:shd w:val="clear" w:color="auto" w:fill="auto"/>
            <w:noWrap/>
            <w:vAlign w:val="center"/>
            <w:hideMark/>
          </w:tcPr>
          <w:p w14:paraId="3319FEA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074A00D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II</w:t>
            </w:r>
          </w:p>
        </w:tc>
        <w:tc>
          <w:tcPr>
            <w:tcW w:w="724" w:type="pct"/>
            <w:tcBorders>
              <w:top w:val="nil"/>
              <w:left w:val="nil"/>
              <w:bottom w:val="single" w:sz="4" w:space="0" w:color="auto"/>
              <w:right w:val="single" w:sz="4" w:space="0" w:color="auto"/>
            </w:tcBorders>
            <w:shd w:val="clear" w:color="auto" w:fill="auto"/>
            <w:vAlign w:val="center"/>
            <w:hideMark/>
          </w:tcPr>
          <w:p w14:paraId="3D0FF5B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Detyrim ligjor i parashikuar nga neni 36 pika 5 i Ligjit nr. 61/2023 "Për kontrollin e kultivimit dhe përpunimit të bimës Cannabis-it dhe prodhimit të nënprodukteve të saj për qëllime mjekësore dhe industriale" </w:t>
            </w:r>
          </w:p>
        </w:tc>
        <w:tc>
          <w:tcPr>
            <w:tcW w:w="568" w:type="pct"/>
            <w:tcBorders>
              <w:top w:val="nil"/>
              <w:left w:val="nil"/>
              <w:bottom w:val="single" w:sz="4" w:space="0" w:color="auto"/>
              <w:right w:val="single" w:sz="4" w:space="0" w:color="auto"/>
            </w:tcBorders>
            <w:shd w:val="clear" w:color="auto" w:fill="auto"/>
            <w:vAlign w:val="center"/>
            <w:hideMark/>
          </w:tcPr>
          <w:p w14:paraId="2852B97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Përcaktimi i rregullave të hollësishme për mbikqyrjen e zbatimit të parashikimeve të Ligjit nr. 61/2023 </w:t>
            </w:r>
          </w:p>
        </w:tc>
        <w:tc>
          <w:tcPr>
            <w:tcW w:w="256" w:type="pct"/>
            <w:tcBorders>
              <w:top w:val="nil"/>
              <w:left w:val="nil"/>
              <w:bottom w:val="single" w:sz="4" w:space="0" w:color="auto"/>
              <w:right w:val="single" w:sz="4" w:space="0" w:color="auto"/>
            </w:tcBorders>
            <w:shd w:val="clear" w:color="auto" w:fill="auto"/>
            <w:noWrap/>
            <w:vAlign w:val="center"/>
            <w:hideMark/>
          </w:tcPr>
          <w:p w14:paraId="08A0C18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1A2C0DB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single" w:sz="4" w:space="0" w:color="auto"/>
              <w:right w:val="single" w:sz="4" w:space="0" w:color="auto"/>
            </w:tcBorders>
            <w:shd w:val="clear" w:color="auto" w:fill="auto"/>
            <w:noWrap/>
            <w:vAlign w:val="center"/>
            <w:hideMark/>
          </w:tcPr>
          <w:p w14:paraId="2717D50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296" w:type="pct"/>
            <w:tcBorders>
              <w:top w:val="single" w:sz="4" w:space="0" w:color="auto"/>
              <w:left w:val="nil"/>
              <w:bottom w:val="nil"/>
              <w:right w:val="single" w:sz="4" w:space="0" w:color="auto"/>
            </w:tcBorders>
            <w:shd w:val="clear" w:color="auto" w:fill="auto"/>
            <w:vAlign w:val="center"/>
            <w:hideMark/>
          </w:tcPr>
          <w:p w14:paraId="5853CD9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Jo Ndikime mjedisore - Jo  Ndikime sociale -Jo</w:t>
            </w:r>
          </w:p>
        </w:tc>
      </w:tr>
      <w:tr w:rsidR="001E3953" w:rsidRPr="001E3953" w14:paraId="3C70DED7" w14:textId="77777777" w:rsidTr="001E3953">
        <w:trPr>
          <w:trHeight w:val="189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17DBCA7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12</w:t>
            </w:r>
          </w:p>
        </w:tc>
        <w:tc>
          <w:tcPr>
            <w:tcW w:w="895" w:type="pct"/>
            <w:tcBorders>
              <w:top w:val="nil"/>
              <w:left w:val="nil"/>
              <w:bottom w:val="single" w:sz="4" w:space="0" w:color="auto"/>
              <w:right w:val="single" w:sz="4" w:space="0" w:color="auto"/>
            </w:tcBorders>
            <w:shd w:val="clear" w:color="auto" w:fill="auto"/>
            <w:vAlign w:val="center"/>
            <w:hideMark/>
          </w:tcPr>
          <w:p w14:paraId="65F4170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disa ndryshime dhe shtesa në VKM Nr. 61, datë 3.2.2017,  “Për miratimin  e  paketave  të  pajisjeve  mjekësore  të  rimbursueshme”, e ndryshuar.</w:t>
            </w:r>
          </w:p>
        </w:tc>
        <w:tc>
          <w:tcPr>
            <w:tcW w:w="267" w:type="pct"/>
            <w:tcBorders>
              <w:top w:val="nil"/>
              <w:left w:val="nil"/>
              <w:bottom w:val="single" w:sz="4" w:space="0" w:color="auto"/>
              <w:right w:val="single" w:sz="4" w:space="0" w:color="auto"/>
            </w:tcBorders>
            <w:shd w:val="clear" w:color="auto" w:fill="auto"/>
            <w:noWrap/>
            <w:vAlign w:val="center"/>
            <w:hideMark/>
          </w:tcPr>
          <w:p w14:paraId="6023ED1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nil"/>
              <w:left w:val="nil"/>
              <w:bottom w:val="single" w:sz="4" w:space="0" w:color="auto"/>
              <w:right w:val="single" w:sz="4" w:space="0" w:color="auto"/>
            </w:tcBorders>
            <w:shd w:val="clear" w:color="auto" w:fill="auto"/>
            <w:noWrap/>
            <w:vAlign w:val="center"/>
            <w:hideMark/>
          </w:tcPr>
          <w:p w14:paraId="5D4B4FC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2D3FE5D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II</w:t>
            </w:r>
          </w:p>
        </w:tc>
        <w:tc>
          <w:tcPr>
            <w:tcW w:w="724" w:type="pct"/>
            <w:tcBorders>
              <w:top w:val="nil"/>
              <w:left w:val="nil"/>
              <w:bottom w:val="single" w:sz="4" w:space="0" w:color="auto"/>
              <w:right w:val="single" w:sz="4" w:space="0" w:color="auto"/>
            </w:tcBorders>
            <w:shd w:val="clear" w:color="auto" w:fill="auto"/>
            <w:vAlign w:val="center"/>
            <w:hideMark/>
          </w:tcPr>
          <w:p w14:paraId="07609E6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Në mbështetje të pikës 6, të nenit 10, të ligjit nr. 10383, datë24.2.2011, “Për sigurimin e detyrueshëm të kujdesit shëndetësor në Republikën e Shqipërisë”, tëndryshuar.</w:t>
            </w:r>
          </w:p>
        </w:tc>
        <w:tc>
          <w:tcPr>
            <w:tcW w:w="568" w:type="pct"/>
            <w:tcBorders>
              <w:top w:val="nil"/>
              <w:left w:val="nil"/>
              <w:bottom w:val="single" w:sz="4" w:space="0" w:color="auto"/>
              <w:right w:val="single" w:sz="4" w:space="0" w:color="auto"/>
            </w:tcBorders>
            <w:shd w:val="clear" w:color="auto" w:fill="auto"/>
            <w:vAlign w:val="center"/>
            <w:hideMark/>
          </w:tcPr>
          <w:p w14:paraId="20A9AB96"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Ndryshimi i shtojcave bashkelidhur vendimit.</w:t>
            </w:r>
          </w:p>
        </w:tc>
        <w:tc>
          <w:tcPr>
            <w:tcW w:w="256" w:type="pct"/>
            <w:tcBorders>
              <w:top w:val="nil"/>
              <w:left w:val="nil"/>
              <w:bottom w:val="single" w:sz="4" w:space="0" w:color="auto"/>
              <w:right w:val="single" w:sz="4" w:space="0" w:color="auto"/>
            </w:tcBorders>
            <w:shd w:val="clear" w:color="auto" w:fill="auto"/>
            <w:noWrap/>
            <w:vAlign w:val="center"/>
            <w:hideMark/>
          </w:tcPr>
          <w:p w14:paraId="28286EF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32369D0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single" w:sz="4" w:space="0" w:color="auto"/>
              <w:right w:val="nil"/>
            </w:tcBorders>
            <w:shd w:val="clear" w:color="auto" w:fill="auto"/>
            <w:vAlign w:val="center"/>
            <w:hideMark/>
          </w:tcPr>
          <w:p w14:paraId="7433DDF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 Strategjisë Kombëtare e Shëndetësisë 2021-2030 e miratuar me Vendimin nr. 210, datë 6.4.2022 “Për miratimin e Strategjisë Kombëtare të Shëndetësisë 2021-2030”.</w:t>
            </w:r>
          </w:p>
        </w:tc>
        <w:tc>
          <w:tcPr>
            <w:tcW w:w="296" w:type="pct"/>
            <w:tcBorders>
              <w:top w:val="single" w:sz="4" w:space="0" w:color="auto"/>
              <w:left w:val="single" w:sz="4" w:space="0" w:color="auto"/>
              <w:bottom w:val="nil"/>
              <w:right w:val="single" w:sz="4" w:space="0" w:color="auto"/>
            </w:tcBorders>
            <w:shd w:val="clear" w:color="auto" w:fill="auto"/>
            <w:vAlign w:val="center"/>
            <w:hideMark/>
          </w:tcPr>
          <w:p w14:paraId="04D6B881"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-Po</w:t>
            </w:r>
          </w:p>
        </w:tc>
      </w:tr>
      <w:tr w:rsidR="001E3953" w:rsidRPr="001E3953" w14:paraId="6435C450" w14:textId="77777777" w:rsidTr="001E3953">
        <w:trPr>
          <w:trHeight w:val="189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5121BDD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13</w:t>
            </w:r>
          </w:p>
        </w:tc>
        <w:tc>
          <w:tcPr>
            <w:tcW w:w="895" w:type="pct"/>
            <w:tcBorders>
              <w:top w:val="nil"/>
              <w:left w:val="nil"/>
              <w:bottom w:val="nil"/>
              <w:right w:val="single" w:sz="4" w:space="0" w:color="auto"/>
            </w:tcBorders>
            <w:shd w:val="clear" w:color="auto" w:fill="auto"/>
            <w:vAlign w:val="center"/>
            <w:hideMark/>
          </w:tcPr>
          <w:p w14:paraId="167DA65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një ndryshim në Vendimin nr. 308, datë 21.5.2014, të Këshillit të Ministrave, “Për miratimin e paketave të shërbimeve shëndetësore që do të financohen nga Fondi i Sigurimit të Detyrueshëm të Kujdesit Shëndetësor në shërbimin spitalor”, të ndryshuar.</w:t>
            </w:r>
          </w:p>
        </w:tc>
        <w:tc>
          <w:tcPr>
            <w:tcW w:w="267" w:type="pct"/>
            <w:tcBorders>
              <w:top w:val="nil"/>
              <w:left w:val="nil"/>
              <w:bottom w:val="nil"/>
              <w:right w:val="single" w:sz="4" w:space="0" w:color="auto"/>
            </w:tcBorders>
            <w:shd w:val="clear" w:color="auto" w:fill="auto"/>
            <w:noWrap/>
            <w:vAlign w:val="center"/>
            <w:hideMark/>
          </w:tcPr>
          <w:p w14:paraId="6D64513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nil"/>
              <w:left w:val="nil"/>
              <w:bottom w:val="nil"/>
              <w:right w:val="single" w:sz="4" w:space="0" w:color="auto"/>
            </w:tcBorders>
            <w:shd w:val="clear" w:color="auto" w:fill="auto"/>
            <w:noWrap/>
            <w:vAlign w:val="center"/>
            <w:hideMark/>
          </w:tcPr>
          <w:p w14:paraId="3C8DA35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nil"/>
              <w:right w:val="single" w:sz="4" w:space="0" w:color="auto"/>
            </w:tcBorders>
            <w:shd w:val="clear" w:color="auto" w:fill="auto"/>
            <w:noWrap/>
            <w:vAlign w:val="center"/>
            <w:hideMark/>
          </w:tcPr>
          <w:p w14:paraId="20C04F7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Katermujori II</w:t>
            </w:r>
          </w:p>
        </w:tc>
        <w:tc>
          <w:tcPr>
            <w:tcW w:w="724" w:type="pct"/>
            <w:tcBorders>
              <w:top w:val="nil"/>
              <w:left w:val="nil"/>
              <w:bottom w:val="nil"/>
              <w:right w:val="single" w:sz="4" w:space="0" w:color="auto"/>
            </w:tcBorders>
            <w:shd w:val="clear" w:color="auto" w:fill="auto"/>
            <w:vAlign w:val="center"/>
            <w:hideMark/>
          </w:tcPr>
          <w:p w14:paraId="0CB67D87"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Në mbështetje të pikës 6, të nenit 10, të ligjit nr. 10383, datë 24.2.2011, “Për  sigurimin  e  detyrueshëm  të  kujdesit  shëndetësor  në  Republikën  e  Shqipërisë”,  të  ndryshuar. </w:t>
            </w:r>
          </w:p>
        </w:tc>
        <w:tc>
          <w:tcPr>
            <w:tcW w:w="568" w:type="pct"/>
            <w:tcBorders>
              <w:top w:val="nil"/>
              <w:left w:val="nil"/>
              <w:bottom w:val="nil"/>
              <w:right w:val="single" w:sz="4" w:space="0" w:color="auto"/>
            </w:tcBorders>
            <w:shd w:val="clear" w:color="auto" w:fill="auto"/>
            <w:vAlign w:val="center"/>
            <w:hideMark/>
          </w:tcPr>
          <w:p w14:paraId="4FFA54F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miratimin e paketave të shërbimeve shëndetësore që do të financohen nga Fondi i Sigurimit të Detyrueshëm të Kujdesit Shëndetësor në shërbimin spitalor</w:t>
            </w:r>
          </w:p>
        </w:tc>
        <w:tc>
          <w:tcPr>
            <w:tcW w:w="256" w:type="pct"/>
            <w:tcBorders>
              <w:top w:val="nil"/>
              <w:left w:val="nil"/>
              <w:bottom w:val="nil"/>
              <w:right w:val="single" w:sz="4" w:space="0" w:color="auto"/>
            </w:tcBorders>
            <w:shd w:val="clear" w:color="auto" w:fill="auto"/>
            <w:noWrap/>
            <w:vAlign w:val="center"/>
            <w:hideMark/>
          </w:tcPr>
          <w:p w14:paraId="519A9F6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single" w:sz="4" w:space="0" w:color="auto"/>
              <w:right w:val="single" w:sz="4" w:space="0" w:color="auto"/>
            </w:tcBorders>
            <w:shd w:val="clear" w:color="auto" w:fill="auto"/>
            <w:noWrap/>
            <w:vAlign w:val="center"/>
            <w:hideMark/>
          </w:tcPr>
          <w:p w14:paraId="33E1650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single" w:sz="4" w:space="0" w:color="auto"/>
              <w:left w:val="nil"/>
              <w:bottom w:val="single" w:sz="4" w:space="0" w:color="auto"/>
              <w:right w:val="nil"/>
            </w:tcBorders>
            <w:shd w:val="clear" w:color="auto" w:fill="auto"/>
            <w:vAlign w:val="center"/>
            <w:hideMark/>
          </w:tcPr>
          <w:p w14:paraId="68ED324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 Strategjisë Kombëtare e Shëndetësisë 2021-2030 e miratuar me Vendimin nr. 210, datë 6.4.2022 “Për miratimin e Strategjisë Kombëtare të Shëndetësisë 2021-2030”.</w:t>
            </w:r>
          </w:p>
        </w:tc>
        <w:tc>
          <w:tcPr>
            <w:tcW w:w="296" w:type="pct"/>
            <w:tcBorders>
              <w:top w:val="single" w:sz="4" w:space="0" w:color="auto"/>
              <w:left w:val="single" w:sz="4" w:space="0" w:color="auto"/>
              <w:bottom w:val="nil"/>
              <w:right w:val="single" w:sz="4" w:space="0" w:color="auto"/>
            </w:tcBorders>
            <w:shd w:val="clear" w:color="auto" w:fill="auto"/>
            <w:vAlign w:val="center"/>
            <w:hideMark/>
          </w:tcPr>
          <w:p w14:paraId="6EAFAAB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-Po</w:t>
            </w:r>
          </w:p>
        </w:tc>
      </w:tr>
      <w:tr w:rsidR="001E3953" w:rsidRPr="001E3953" w14:paraId="7B3C761E" w14:textId="77777777" w:rsidTr="001E3953">
        <w:trPr>
          <w:trHeight w:val="4725"/>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7DB91EF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14</w:t>
            </w:r>
          </w:p>
        </w:tc>
        <w:tc>
          <w:tcPr>
            <w:tcW w:w="895" w:type="pct"/>
            <w:tcBorders>
              <w:top w:val="single" w:sz="4" w:space="0" w:color="auto"/>
              <w:left w:val="nil"/>
              <w:bottom w:val="single" w:sz="4" w:space="0" w:color="auto"/>
              <w:right w:val="single" w:sz="4" w:space="0" w:color="auto"/>
            </w:tcBorders>
            <w:shd w:val="clear" w:color="auto" w:fill="auto"/>
            <w:vAlign w:val="center"/>
            <w:hideMark/>
          </w:tcPr>
          <w:p w14:paraId="41E66EEE"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Për disa shtesa dhe ndryshime në 'Ligjin Nr. 95/2015 “Për Shërbimet dhe Produktet Biocide në Shëndetin Publik” </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14:paraId="403A821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Projektligj </w:t>
            </w:r>
          </w:p>
        </w:tc>
        <w:tc>
          <w:tcPr>
            <w:tcW w:w="759" w:type="pct"/>
            <w:tcBorders>
              <w:top w:val="single" w:sz="4" w:space="0" w:color="auto"/>
              <w:left w:val="nil"/>
              <w:bottom w:val="nil"/>
              <w:right w:val="single" w:sz="4" w:space="0" w:color="auto"/>
            </w:tcBorders>
            <w:shd w:val="clear" w:color="auto" w:fill="auto"/>
            <w:noWrap/>
            <w:vAlign w:val="center"/>
            <w:hideMark/>
          </w:tcPr>
          <w:p w14:paraId="1F9DA03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single" w:sz="4" w:space="0" w:color="auto"/>
              <w:left w:val="nil"/>
              <w:bottom w:val="single" w:sz="4" w:space="0" w:color="auto"/>
              <w:right w:val="single" w:sz="4" w:space="0" w:color="auto"/>
            </w:tcBorders>
            <w:shd w:val="clear" w:color="auto" w:fill="auto"/>
            <w:noWrap/>
            <w:vAlign w:val="center"/>
            <w:hideMark/>
          </w:tcPr>
          <w:p w14:paraId="7D1770F5"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Katërmujori III</w:t>
            </w:r>
          </w:p>
        </w:tc>
        <w:tc>
          <w:tcPr>
            <w:tcW w:w="724" w:type="pct"/>
            <w:tcBorders>
              <w:top w:val="single" w:sz="4" w:space="0" w:color="auto"/>
              <w:left w:val="nil"/>
              <w:bottom w:val="single" w:sz="4" w:space="0" w:color="auto"/>
              <w:right w:val="single" w:sz="4" w:space="0" w:color="auto"/>
            </w:tcBorders>
            <w:shd w:val="clear" w:color="auto" w:fill="auto"/>
            <w:vAlign w:val="center"/>
            <w:hideMark/>
          </w:tcPr>
          <w:p w14:paraId="07555C3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Angazhimi për përafrim me  legjislacionin Europian.</w:t>
            </w:r>
          </w:p>
        </w:tc>
        <w:tc>
          <w:tcPr>
            <w:tcW w:w="568" w:type="pct"/>
            <w:tcBorders>
              <w:top w:val="single" w:sz="4" w:space="0" w:color="auto"/>
              <w:left w:val="nil"/>
              <w:bottom w:val="single" w:sz="4" w:space="0" w:color="auto"/>
              <w:right w:val="single" w:sz="4" w:space="0" w:color="auto"/>
            </w:tcBorders>
            <w:shd w:val="clear" w:color="auto" w:fill="auto"/>
            <w:vAlign w:val="center"/>
            <w:hideMark/>
          </w:tcPr>
          <w:p w14:paraId="70BEA0E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Përafrimi me rregulloren europiane në vijim të angazhimit në kuadër të integrimit European;</w:t>
            </w:r>
            <w:r w:rsidRPr="001E3953">
              <w:rPr>
                <w:rFonts w:ascii="Arial" w:eastAsia="Times New Roman" w:hAnsi="Arial" w:cs="Arial"/>
                <w:color w:val="000000"/>
                <w:sz w:val="12"/>
                <w:szCs w:val="12"/>
                <w:bdr w:val="none" w:sz="0" w:space="0" w:color="auto"/>
              </w:rPr>
              <w:br/>
              <w:t>Ngritja e strukturës se dedikuar dhe kapaciteteve për vlerësimin e produkteve biocide;</w:t>
            </w:r>
            <w:r w:rsidRPr="001E3953">
              <w:rPr>
                <w:rFonts w:ascii="Arial" w:eastAsia="Times New Roman" w:hAnsi="Arial" w:cs="Arial"/>
                <w:color w:val="000000"/>
                <w:sz w:val="12"/>
                <w:szCs w:val="12"/>
                <w:bdr w:val="none" w:sz="0" w:space="0" w:color="auto"/>
              </w:rPr>
              <w:br/>
              <w:t xml:space="preserve">Zgjerimi i listës së tipeve të produkteve biocide dhe përfshirja e 22 tipeve; </w:t>
            </w:r>
            <w:r w:rsidRPr="001E3953">
              <w:rPr>
                <w:rFonts w:ascii="Arial" w:eastAsia="Times New Roman" w:hAnsi="Arial" w:cs="Arial"/>
                <w:color w:val="000000"/>
                <w:sz w:val="12"/>
                <w:szCs w:val="12"/>
                <w:bdr w:val="none" w:sz="0" w:space="0" w:color="auto"/>
              </w:rPr>
              <w:br/>
              <w:t xml:space="preserve">Autorizimi i një game më të gjerë të produkteve biocide të cilat janë autorizuar në BE, përfshirë dhe ato që janë në program rishikimi. </w:t>
            </w:r>
          </w:p>
        </w:tc>
        <w:tc>
          <w:tcPr>
            <w:tcW w:w="256" w:type="pct"/>
            <w:tcBorders>
              <w:top w:val="single" w:sz="4" w:space="0" w:color="auto"/>
              <w:left w:val="nil"/>
              <w:bottom w:val="single" w:sz="4" w:space="0" w:color="auto"/>
              <w:right w:val="single" w:sz="4" w:space="0" w:color="auto"/>
            </w:tcBorders>
            <w:shd w:val="clear" w:color="auto" w:fill="auto"/>
            <w:noWrap/>
            <w:vAlign w:val="center"/>
            <w:hideMark/>
          </w:tcPr>
          <w:p w14:paraId="5C30E88F"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351" w:type="pct"/>
            <w:tcBorders>
              <w:top w:val="nil"/>
              <w:left w:val="nil"/>
              <w:bottom w:val="nil"/>
              <w:right w:val="single" w:sz="4" w:space="0" w:color="auto"/>
            </w:tcBorders>
            <w:shd w:val="clear" w:color="auto" w:fill="auto"/>
            <w:vAlign w:val="center"/>
            <w:hideMark/>
          </w:tcPr>
          <w:p w14:paraId="5B5699F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single" w:sz="4" w:space="0" w:color="auto"/>
              <w:left w:val="single" w:sz="4" w:space="0" w:color="auto"/>
              <w:bottom w:val="single" w:sz="4" w:space="0" w:color="auto"/>
              <w:right w:val="nil"/>
            </w:tcBorders>
            <w:shd w:val="clear" w:color="auto" w:fill="auto"/>
            <w:vAlign w:val="center"/>
            <w:hideMark/>
          </w:tcPr>
          <w:p w14:paraId="245DF87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 Strategjisë Kombëtare e Shëndetësisë 2021-2030 e miratuar me Vendimin nr. 210, datë 6.4.2022 “Për miratimin e Strategjisë Kombëtare të Shëndetësisë 2021-2030”.</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11D59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Jo Ndikime mjedisore - Po  Ndikime sociale -Jo</w:t>
            </w:r>
          </w:p>
        </w:tc>
      </w:tr>
      <w:tr w:rsidR="001E3953" w:rsidRPr="001E3953" w14:paraId="62B38BBE" w14:textId="77777777" w:rsidTr="001E3953">
        <w:trPr>
          <w:trHeight w:val="819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598C62C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15</w:t>
            </w:r>
          </w:p>
        </w:tc>
        <w:tc>
          <w:tcPr>
            <w:tcW w:w="895" w:type="pct"/>
            <w:tcBorders>
              <w:top w:val="nil"/>
              <w:left w:val="nil"/>
              <w:bottom w:val="nil"/>
              <w:right w:val="nil"/>
            </w:tcBorders>
            <w:shd w:val="clear" w:color="auto" w:fill="auto"/>
            <w:vAlign w:val="center"/>
            <w:hideMark/>
          </w:tcPr>
          <w:p w14:paraId="79B6F65C"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disa shtesa dhe ndryshime në ligjin nr. 89/2014 “Për pajisjet mjekësore”</w:t>
            </w:r>
          </w:p>
        </w:tc>
        <w:tc>
          <w:tcPr>
            <w:tcW w:w="267" w:type="pct"/>
            <w:tcBorders>
              <w:top w:val="nil"/>
              <w:left w:val="single" w:sz="4" w:space="0" w:color="auto"/>
              <w:bottom w:val="single" w:sz="4" w:space="0" w:color="auto"/>
              <w:right w:val="single" w:sz="4" w:space="0" w:color="auto"/>
            </w:tcBorders>
            <w:shd w:val="clear" w:color="auto" w:fill="auto"/>
            <w:noWrap/>
            <w:vAlign w:val="center"/>
            <w:hideMark/>
          </w:tcPr>
          <w:p w14:paraId="7B1627D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Projektligj</w:t>
            </w:r>
          </w:p>
        </w:tc>
        <w:tc>
          <w:tcPr>
            <w:tcW w:w="759" w:type="pct"/>
            <w:tcBorders>
              <w:top w:val="single" w:sz="4" w:space="0" w:color="auto"/>
              <w:left w:val="nil"/>
              <w:bottom w:val="nil"/>
              <w:right w:val="single" w:sz="4" w:space="0" w:color="auto"/>
            </w:tcBorders>
            <w:shd w:val="clear" w:color="auto" w:fill="auto"/>
            <w:noWrap/>
            <w:vAlign w:val="center"/>
            <w:hideMark/>
          </w:tcPr>
          <w:p w14:paraId="1C03969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50B3C6F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Katërmujori III</w:t>
            </w:r>
          </w:p>
        </w:tc>
        <w:tc>
          <w:tcPr>
            <w:tcW w:w="724" w:type="pct"/>
            <w:tcBorders>
              <w:top w:val="nil"/>
              <w:left w:val="nil"/>
              <w:bottom w:val="single" w:sz="4" w:space="0" w:color="auto"/>
              <w:right w:val="single" w:sz="4" w:space="0" w:color="auto"/>
            </w:tcBorders>
            <w:shd w:val="clear" w:color="auto" w:fill="auto"/>
            <w:vAlign w:val="center"/>
            <w:hideMark/>
          </w:tcPr>
          <w:p w14:paraId="1BE5A5F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Angazhimi për përafrimin e plotë të legjislacionit Europian</w:t>
            </w:r>
          </w:p>
        </w:tc>
        <w:tc>
          <w:tcPr>
            <w:tcW w:w="568" w:type="pct"/>
            <w:tcBorders>
              <w:top w:val="nil"/>
              <w:left w:val="nil"/>
              <w:bottom w:val="single" w:sz="4" w:space="0" w:color="auto"/>
              <w:right w:val="single" w:sz="4" w:space="0" w:color="auto"/>
            </w:tcBorders>
            <w:shd w:val="clear" w:color="auto" w:fill="auto"/>
            <w:vAlign w:val="center"/>
            <w:hideMark/>
          </w:tcPr>
          <w:p w14:paraId="541D98B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Klasifikimi, vendosja në treg dhe vënia në shërbim e pajisjeve mjekësore, detyrimet e përgjithshme të importuesve, detyrimet e përgjithshme të distributorëve, lëvizja e lirë, vlerësimi i konformitetit, vlerësimi klinik dhe hetimet klinike, kërkesat në lidhje me projektimin dhe prodhimin, kërkesat në lidhje me informacionin e dhënë, deklarata e konformitetit të BE-së, markimi CE e Konformitetit, përfaqësuesi i autorizuar, Informacioni që duhet dorëzuar pas regjistrimi i Pajisjeve, identifikimi dhe gjurmueshmëria e pajisjeve brenda zinxhirit të furnizimit, procedurat e vlerësimit të konformitetit nga organet e autorizuara </w:t>
            </w:r>
            <w:r w:rsidRPr="001E3953">
              <w:rPr>
                <w:rFonts w:ascii="Arial" w:eastAsia="Times New Roman" w:hAnsi="Arial" w:cs="Arial"/>
                <w:color w:val="000000"/>
                <w:sz w:val="12"/>
                <w:szCs w:val="12"/>
                <w:bdr w:val="none" w:sz="0" w:space="0" w:color="auto"/>
              </w:rPr>
              <w:br/>
              <w:t>Sistemi i mbikqyrjes pas tregtimit të prodhuesit, plani i mbikqyrjes pas tregtimit,</w:t>
            </w:r>
            <w:r w:rsidRPr="001E3953">
              <w:rPr>
                <w:rFonts w:ascii="Arial" w:eastAsia="Times New Roman" w:hAnsi="Arial" w:cs="Arial"/>
                <w:color w:val="000000"/>
                <w:sz w:val="12"/>
                <w:szCs w:val="12"/>
                <w:bdr w:val="none" w:sz="0" w:space="0" w:color="auto"/>
              </w:rPr>
              <w:br/>
              <w:t xml:space="preserve">raporti i mbikqyrjes pas tregtimit, </w:t>
            </w:r>
            <w:r w:rsidRPr="001E3953">
              <w:rPr>
                <w:rFonts w:ascii="Arial" w:eastAsia="Times New Roman" w:hAnsi="Arial" w:cs="Arial"/>
                <w:color w:val="000000"/>
                <w:sz w:val="12"/>
                <w:szCs w:val="12"/>
                <w:bdr w:val="none" w:sz="0" w:space="0" w:color="auto"/>
              </w:rPr>
              <w:br/>
              <w:t>bashkëpunimi ndërmjet shteteve anëtare</w:t>
            </w:r>
          </w:p>
        </w:tc>
        <w:tc>
          <w:tcPr>
            <w:tcW w:w="256" w:type="pct"/>
            <w:tcBorders>
              <w:top w:val="nil"/>
              <w:left w:val="nil"/>
              <w:bottom w:val="single" w:sz="4" w:space="0" w:color="auto"/>
              <w:right w:val="single" w:sz="4" w:space="0" w:color="auto"/>
            </w:tcBorders>
            <w:shd w:val="clear" w:color="auto" w:fill="auto"/>
            <w:noWrap/>
            <w:vAlign w:val="center"/>
            <w:hideMark/>
          </w:tcPr>
          <w:p w14:paraId="0E78EBC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Po, kapitulli 28.</w:t>
            </w:r>
          </w:p>
        </w:tc>
        <w:tc>
          <w:tcPr>
            <w:tcW w:w="351" w:type="pct"/>
            <w:tcBorders>
              <w:top w:val="nil"/>
              <w:left w:val="nil"/>
              <w:bottom w:val="nil"/>
              <w:right w:val="nil"/>
            </w:tcBorders>
            <w:shd w:val="clear" w:color="auto" w:fill="auto"/>
            <w:vAlign w:val="center"/>
            <w:hideMark/>
          </w:tcPr>
          <w:p w14:paraId="4FFA848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Një strategji e re për shëndetin dhe zhvillimin e qëndrueshëm.</w:t>
            </w:r>
          </w:p>
        </w:tc>
        <w:tc>
          <w:tcPr>
            <w:tcW w:w="537" w:type="pct"/>
            <w:tcBorders>
              <w:top w:val="single" w:sz="4" w:space="0" w:color="auto"/>
              <w:left w:val="nil"/>
              <w:bottom w:val="nil"/>
              <w:right w:val="nil"/>
            </w:tcBorders>
            <w:shd w:val="clear" w:color="auto" w:fill="auto"/>
            <w:vAlign w:val="center"/>
            <w:hideMark/>
          </w:tcPr>
          <w:p w14:paraId="58BA9784"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 Strategjisë Kombëtare e Shëndetësisë 2021-2030 e miratuar me Vendimin nr. 210, datë 6.4.2022 “Për miratimin e Strategjisë Kombëtare të Shëndetësisë 2021-2030”.</w:t>
            </w:r>
          </w:p>
        </w:tc>
        <w:tc>
          <w:tcPr>
            <w:tcW w:w="296" w:type="pct"/>
            <w:tcBorders>
              <w:top w:val="nil"/>
              <w:left w:val="single" w:sz="4" w:space="0" w:color="auto"/>
              <w:bottom w:val="single" w:sz="4" w:space="0" w:color="auto"/>
              <w:right w:val="single" w:sz="4" w:space="0" w:color="auto"/>
            </w:tcBorders>
            <w:shd w:val="clear" w:color="auto" w:fill="auto"/>
            <w:vAlign w:val="center"/>
            <w:hideMark/>
          </w:tcPr>
          <w:p w14:paraId="09537B7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Jo Ndikime mjedisore - Jo  Ndikime sociale -Jo</w:t>
            </w:r>
          </w:p>
        </w:tc>
      </w:tr>
      <w:tr w:rsidR="001E3953" w:rsidRPr="001E3953" w14:paraId="57E79589" w14:textId="77777777" w:rsidTr="001E3953">
        <w:trPr>
          <w:trHeight w:val="5700"/>
        </w:trPr>
        <w:tc>
          <w:tcPr>
            <w:tcW w:w="90" w:type="pct"/>
            <w:tcBorders>
              <w:top w:val="nil"/>
              <w:left w:val="single" w:sz="4" w:space="0" w:color="auto"/>
              <w:bottom w:val="single" w:sz="4" w:space="0" w:color="auto"/>
              <w:right w:val="single" w:sz="4" w:space="0" w:color="auto"/>
            </w:tcBorders>
            <w:shd w:val="clear" w:color="auto" w:fill="auto"/>
            <w:noWrap/>
            <w:vAlign w:val="center"/>
            <w:hideMark/>
          </w:tcPr>
          <w:p w14:paraId="1D04F53B"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16</w:t>
            </w:r>
          </w:p>
        </w:tc>
        <w:tc>
          <w:tcPr>
            <w:tcW w:w="895" w:type="pct"/>
            <w:tcBorders>
              <w:top w:val="single" w:sz="4" w:space="0" w:color="auto"/>
              <w:left w:val="nil"/>
              <w:bottom w:val="single" w:sz="4" w:space="0" w:color="auto"/>
              <w:right w:val="single" w:sz="4" w:space="0" w:color="auto"/>
            </w:tcBorders>
            <w:shd w:val="clear" w:color="auto" w:fill="auto"/>
            <w:vAlign w:val="center"/>
            <w:hideMark/>
          </w:tcPr>
          <w:p w14:paraId="62409FE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Për  miratimin e Rregullores “Nivelet e lejuara të radiobërthamave në ujin për konsum njerëzor, për mbrojtjen e publikut".</w:t>
            </w:r>
          </w:p>
        </w:tc>
        <w:tc>
          <w:tcPr>
            <w:tcW w:w="267" w:type="pct"/>
            <w:tcBorders>
              <w:top w:val="nil"/>
              <w:left w:val="nil"/>
              <w:bottom w:val="single" w:sz="4" w:space="0" w:color="auto"/>
              <w:right w:val="single" w:sz="4" w:space="0" w:color="auto"/>
            </w:tcBorders>
            <w:shd w:val="clear" w:color="auto" w:fill="auto"/>
            <w:noWrap/>
            <w:vAlign w:val="center"/>
            <w:hideMark/>
          </w:tcPr>
          <w:p w14:paraId="6443B8C9"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 </w:t>
            </w:r>
          </w:p>
        </w:tc>
        <w:tc>
          <w:tcPr>
            <w:tcW w:w="759" w:type="pct"/>
            <w:tcBorders>
              <w:top w:val="single" w:sz="4" w:space="0" w:color="auto"/>
              <w:left w:val="nil"/>
              <w:bottom w:val="single" w:sz="4" w:space="0" w:color="auto"/>
              <w:right w:val="single" w:sz="4" w:space="0" w:color="auto"/>
            </w:tcBorders>
            <w:shd w:val="clear" w:color="auto" w:fill="auto"/>
            <w:noWrap/>
            <w:vAlign w:val="center"/>
            <w:hideMark/>
          </w:tcPr>
          <w:p w14:paraId="1514DCA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Ministri i Shëndetësisë dhe Mbrojtjes Sociale </w:t>
            </w:r>
          </w:p>
        </w:tc>
        <w:tc>
          <w:tcPr>
            <w:tcW w:w="258" w:type="pct"/>
            <w:tcBorders>
              <w:top w:val="nil"/>
              <w:left w:val="nil"/>
              <w:bottom w:val="single" w:sz="4" w:space="0" w:color="auto"/>
              <w:right w:val="single" w:sz="4" w:space="0" w:color="auto"/>
            </w:tcBorders>
            <w:shd w:val="clear" w:color="auto" w:fill="auto"/>
            <w:noWrap/>
            <w:vAlign w:val="center"/>
            <w:hideMark/>
          </w:tcPr>
          <w:p w14:paraId="5C60A54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Katërmujori III</w:t>
            </w:r>
          </w:p>
        </w:tc>
        <w:tc>
          <w:tcPr>
            <w:tcW w:w="724" w:type="pct"/>
            <w:tcBorders>
              <w:top w:val="nil"/>
              <w:left w:val="nil"/>
              <w:bottom w:val="single" w:sz="4" w:space="0" w:color="auto"/>
              <w:right w:val="single" w:sz="4" w:space="0" w:color="auto"/>
            </w:tcBorders>
            <w:shd w:val="clear" w:color="auto" w:fill="auto"/>
            <w:vAlign w:val="center"/>
            <w:hideMark/>
          </w:tcPr>
          <w:p w14:paraId="02B1E672"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Në mbështetje të pikës  1,  të  nenit  9,  të  ligjit  nr.  8025,  datë 9.11.1995,  “Për  mbrojtjen  nga  rrezatimet  jonizuese”,  të  ndryshuar.</w:t>
            </w:r>
          </w:p>
        </w:tc>
        <w:tc>
          <w:tcPr>
            <w:tcW w:w="568" w:type="pct"/>
            <w:tcBorders>
              <w:top w:val="nil"/>
              <w:left w:val="nil"/>
              <w:bottom w:val="single" w:sz="4" w:space="0" w:color="auto"/>
              <w:right w:val="single" w:sz="4" w:space="0" w:color="auto"/>
            </w:tcBorders>
            <w:shd w:val="clear" w:color="auto" w:fill="auto"/>
            <w:vAlign w:val="center"/>
            <w:hideMark/>
          </w:tcPr>
          <w:p w14:paraId="7DE25FBA"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Projektvendimi rregullon përqëndrimin e radiobërthamave  për konsum njerëzor. Ky projektvendim përfshin ujin për konsum mjekësor, qoftë në gjendjen e tij origjinale ose pas trajtimit, i cili është i destinuar për të pirë, gatim, përgatitje ushqimi apo qëllime të tjera shtëpiake, pavarësisht se nga vjen dhe nëse furnizohet nëpërmjet një rrjeti, cisternë, shishe apo kontejnerë. Projektvendimi nuk zbatohet për ujërat minerale natyrale ose për ujin që konsiderohet si produkt medicinal. Në përmbajtje të projektvendimit përcaktohen vlerat dhe parametrat, frekuencat dhe mënyrën për monitorimin e radiobërthamave. Projektvendimi parashikon dhe rastet kur identifikohet një rrezik i mundshëm për shëndetin. </w:t>
            </w:r>
          </w:p>
        </w:tc>
        <w:tc>
          <w:tcPr>
            <w:tcW w:w="256" w:type="pct"/>
            <w:tcBorders>
              <w:top w:val="nil"/>
              <w:left w:val="nil"/>
              <w:bottom w:val="single" w:sz="4" w:space="0" w:color="auto"/>
              <w:right w:val="single" w:sz="4" w:space="0" w:color="auto"/>
            </w:tcBorders>
            <w:shd w:val="clear" w:color="auto" w:fill="auto"/>
            <w:vAlign w:val="center"/>
            <w:hideMark/>
          </w:tcPr>
          <w:p w14:paraId="707F6B3D"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Projektvendimi është parashikuar në PKIE 2024, synon përafrim të legjislacionit shqiptar me acquis të Bashkimit Evropian, direktivën 2013/51 Euroatom. Kapitulli 15 Energjia</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14:paraId="63420010"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Jo</w:t>
            </w:r>
          </w:p>
        </w:tc>
        <w:tc>
          <w:tcPr>
            <w:tcW w:w="537" w:type="pct"/>
            <w:tcBorders>
              <w:top w:val="nil"/>
              <w:left w:val="nil"/>
              <w:bottom w:val="single" w:sz="4" w:space="0" w:color="auto"/>
              <w:right w:val="nil"/>
            </w:tcBorders>
            <w:shd w:val="clear" w:color="auto" w:fill="auto"/>
            <w:vAlign w:val="center"/>
            <w:hideMark/>
          </w:tcPr>
          <w:p w14:paraId="76095E38"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 xml:space="preserve"> Strategjisë Kombëtare e Shëndetësisë 2021-2030 e miratuar me Vendimin nr. 210, datë 6.4.2022 “Për miratimin e Strategjisë Kombëtare të Shëndetësisë 2021-2030”.</w:t>
            </w:r>
          </w:p>
        </w:tc>
        <w:tc>
          <w:tcPr>
            <w:tcW w:w="296" w:type="pct"/>
            <w:tcBorders>
              <w:top w:val="nil"/>
              <w:left w:val="single" w:sz="4" w:space="0" w:color="auto"/>
              <w:bottom w:val="single" w:sz="4" w:space="0" w:color="auto"/>
              <w:right w:val="single" w:sz="4" w:space="0" w:color="auto"/>
            </w:tcBorders>
            <w:shd w:val="clear" w:color="auto" w:fill="auto"/>
            <w:vAlign w:val="center"/>
            <w:hideMark/>
          </w:tcPr>
          <w:p w14:paraId="60708693" w14:textId="77777777" w:rsidR="001E3953" w:rsidRPr="001E3953" w:rsidRDefault="001E3953" w:rsidP="001E395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E3953">
              <w:rPr>
                <w:rFonts w:ascii="Arial" w:eastAsia="Times New Roman" w:hAnsi="Arial" w:cs="Arial"/>
                <w:color w:val="000000"/>
                <w:sz w:val="12"/>
                <w:szCs w:val="12"/>
                <w:bdr w:val="none" w:sz="0" w:space="0" w:color="auto"/>
              </w:rPr>
              <w:t>Ndikime financiare - Po Ndikime mjedisore - Jo  Ndikime sociale -Po</w:t>
            </w:r>
          </w:p>
        </w:tc>
      </w:tr>
    </w:tbl>
    <w:p w14:paraId="7ECD94A9" w14:textId="723517C0" w:rsidR="001E3953" w:rsidRDefault="001E3953" w:rsidP="009F3407">
      <w:pPr>
        <w:pStyle w:val="BodyA"/>
        <w:jc w:val="center"/>
        <w:rPr>
          <w:sz w:val="28"/>
          <w:szCs w:val="28"/>
          <w:lang w:val="it-IT"/>
        </w:rPr>
      </w:pPr>
    </w:p>
    <w:p w14:paraId="79DD1077" w14:textId="30CD9ED7" w:rsidR="003B3070" w:rsidRDefault="003B3070" w:rsidP="009F3407">
      <w:pPr>
        <w:pStyle w:val="BodyA"/>
        <w:jc w:val="center"/>
        <w:rPr>
          <w:sz w:val="28"/>
          <w:szCs w:val="28"/>
          <w:lang w:val="it-IT"/>
        </w:rPr>
      </w:pPr>
    </w:p>
    <w:p w14:paraId="5B537073" w14:textId="2B0DDD85" w:rsidR="003B3070" w:rsidRDefault="003B3070" w:rsidP="009F3407">
      <w:pPr>
        <w:pStyle w:val="BodyA"/>
        <w:jc w:val="center"/>
        <w:rPr>
          <w:sz w:val="28"/>
          <w:szCs w:val="28"/>
          <w:lang w:val="it-IT"/>
        </w:rPr>
      </w:pPr>
    </w:p>
    <w:p w14:paraId="4DF806D1" w14:textId="3F2A4F0D" w:rsidR="003B3070" w:rsidRDefault="003B3070" w:rsidP="009F3407">
      <w:pPr>
        <w:pStyle w:val="BodyA"/>
        <w:jc w:val="center"/>
        <w:rPr>
          <w:sz w:val="28"/>
          <w:szCs w:val="28"/>
          <w:lang w:val="it-IT"/>
        </w:rPr>
      </w:pPr>
    </w:p>
    <w:p w14:paraId="5527785E" w14:textId="66419566" w:rsidR="003B3070" w:rsidRDefault="003B3070" w:rsidP="009F3407">
      <w:pPr>
        <w:pStyle w:val="BodyA"/>
        <w:jc w:val="center"/>
        <w:rPr>
          <w:sz w:val="28"/>
          <w:szCs w:val="28"/>
          <w:lang w:val="it-IT"/>
        </w:rPr>
      </w:pPr>
    </w:p>
    <w:p w14:paraId="7D0D4F6E" w14:textId="02AD25F3" w:rsidR="003B3070" w:rsidRDefault="003B3070" w:rsidP="009F3407">
      <w:pPr>
        <w:pStyle w:val="BodyA"/>
        <w:jc w:val="center"/>
        <w:rPr>
          <w:sz w:val="28"/>
          <w:szCs w:val="28"/>
          <w:lang w:val="it-IT"/>
        </w:rPr>
      </w:pPr>
    </w:p>
    <w:p w14:paraId="47959FD6" w14:textId="6F6F7E77" w:rsidR="003B3070" w:rsidRDefault="003B3070" w:rsidP="009F3407">
      <w:pPr>
        <w:pStyle w:val="BodyA"/>
        <w:jc w:val="center"/>
        <w:rPr>
          <w:sz w:val="28"/>
          <w:szCs w:val="28"/>
          <w:lang w:val="it-IT"/>
        </w:rPr>
      </w:pPr>
    </w:p>
    <w:p w14:paraId="23539C7C" w14:textId="59A70142" w:rsidR="001C342D" w:rsidRDefault="001C342D" w:rsidP="009F3407">
      <w:pPr>
        <w:pStyle w:val="BodyA"/>
        <w:jc w:val="center"/>
        <w:rPr>
          <w:sz w:val="28"/>
          <w:szCs w:val="28"/>
          <w:lang w:val="it-IT"/>
        </w:rPr>
      </w:pPr>
    </w:p>
    <w:p w14:paraId="76E8345D" w14:textId="452DC97F" w:rsidR="001C342D" w:rsidRDefault="001C342D" w:rsidP="009F3407">
      <w:pPr>
        <w:pStyle w:val="BodyA"/>
        <w:jc w:val="center"/>
        <w:rPr>
          <w:sz w:val="28"/>
          <w:szCs w:val="28"/>
          <w:lang w:val="it-IT"/>
        </w:rPr>
      </w:pPr>
    </w:p>
    <w:p w14:paraId="0897F4C4" w14:textId="4895BEB2" w:rsidR="001C342D" w:rsidRDefault="001C342D" w:rsidP="009F3407">
      <w:pPr>
        <w:pStyle w:val="BodyA"/>
        <w:jc w:val="center"/>
        <w:rPr>
          <w:sz w:val="28"/>
          <w:szCs w:val="28"/>
          <w:lang w:val="it-IT"/>
        </w:rPr>
      </w:pPr>
    </w:p>
    <w:tbl>
      <w:tblPr>
        <w:tblW w:w="5000" w:type="pct"/>
        <w:jc w:val="center"/>
        <w:tblLook w:val="04A0" w:firstRow="1" w:lastRow="0" w:firstColumn="1" w:lastColumn="0" w:noHBand="0" w:noVBand="1"/>
      </w:tblPr>
      <w:tblGrid>
        <w:gridCol w:w="383"/>
        <w:gridCol w:w="1924"/>
        <w:gridCol w:w="977"/>
        <w:gridCol w:w="932"/>
        <w:gridCol w:w="861"/>
        <w:gridCol w:w="2120"/>
        <w:gridCol w:w="2343"/>
        <w:gridCol w:w="917"/>
        <w:gridCol w:w="1130"/>
        <w:gridCol w:w="1244"/>
        <w:gridCol w:w="1127"/>
      </w:tblGrid>
      <w:tr w:rsidR="001C342D" w:rsidRPr="001C342D" w14:paraId="3E5A0B51" w14:textId="77777777" w:rsidTr="001C342D">
        <w:trPr>
          <w:trHeight w:val="180"/>
          <w:jc w:val="center"/>
        </w:trPr>
        <w:tc>
          <w:tcPr>
            <w:tcW w:w="5000" w:type="pct"/>
            <w:gridSpan w:val="11"/>
            <w:tcBorders>
              <w:top w:val="single" w:sz="4" w:space="0" w:color="FFFFFF"/>
              <w:left w:val="nil"/>
              <w:bottom w:val="single" w:sz="4" w:space="0" w:color="FFFFFF"/>
              <w:right w:val="nil"/>
            </w:tcBorders>
            <w:shd w:val="clear" w:color="000000" w:fill="F2F2F2"/>
            <w:vAlign w:val="center"/>
            <w:hideMark/>
          </w:tcPr>
          <w:p w14:paraId="19E341A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bookmarkStart w:id="4" w:name="RANGE!A1:K22"/>
            <w:r w:rsidRPr="001C342D">
              <w:rPr>
                <w:rFonts w:ascii="Arial" w:eastAsia="Times New Roman" w:hAnsi="Arial" w:cs="Arial"/>
                <w:b/>
                <w:bCs/>
                <w:color w:val="000000"/>
                <w:sz w:val="12"/>
                <w:szCs w:val="12"/>
                <w:bdr w:val="none" w:sz="0" w:space="0" w:color="auto"/>
              </w:rPr>
              <w:t>Programi i Përgjithshëm Analitik i Projektakteve për vitin 2024</w:t>
            </w:r>
            <w:bookmarkEnd w:id="4"/>
          </w:p>
        </w:tc>
      </w:tr>
      <w:tr w:rsidR="001C342D" w:rsidRPr="001C342D" w14:paraId="4C59B093" w14:textId="77777777" w:rsidTr="001C342D">
        <w:trPr>
          <w:trHeight w:val="180"/>
          <w:jc w:val="center"/>
        </w:trPr>
        <w:tc>
          <w:tcPr>
            <w:tcW w:w="5000" w:type="pct"/>
            <w:gridSpan w:val="11"/>
            <w:tcBorders>
              <w:top w:val="single" w:sz="4" w:space="0" w:color="FFFFFF"/>
              <w:left w:val="nil"/>
              <w:bottom w:val="nil"/>
              <w:right w:val="nil"/>
            </w:tcBorders>
            <w:shd w:val="clear" w:color="000000" w:fill="F2F2F2"/>
            <w:vAlign w:val="center"/>
            <w:hideMark/>
          </w:tcPr>
          <w:p w14:paraId="1F70FAF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000000"/>
                <w:sz w:val="12"/>
                <w:szCs w:val="12"/>
                <w:bdr w:val="none" w:sz="0" w:space="0" w:color="auto"/>
              </w:rPr>
            </w:pPr>
            <w:r w:rsidRPr="001C342D">
              <w:rPr>
                <w:rFonts w:ascii="Arial" w:eastAsia="Times New Roman" w:hAnsi="Arial" w:cs="Arial"/>
                <w:b/>
                <w:bCs/>
                <w:color w:val="000000"/>
                <w:sz w:val="12"/>
                <w:szCs w:val="12"/>
                <w:bdr w:val="none" w:sz="0" w:space="0" w:color="auto"/>
              </w:rPr>
              <w:t>Ministri i Turizmit dhe Mjedisit</w:t>
            </w:r>
          </w:p>
        </w:tc>
      </w:tr>
      <w:tr w:rsidR="001C342D" w:rsidRPr="001C342D" w14:paraId="0402DE2D" w14:textId="77777777" w:rsidTr="001C342D">
        <w:trPr>
          <w:trHeight w:val="180"/>
          <w:jc w:val="center"/>
        </w:trPr>
        <w:tc>
          <w:tcPr>
            <w:tcW w:w="97" w:type="pct"/>
            <w:tcBorders>
              <w:top w:val="single" w:sz="4" w:space="0" w:color="auto"/>
              <w:left w:val="single" w:sz="4" w:space="0" w:color="auto"/>
              <w:bottom w:val="single" w:sz="4" w:space="0" w:color="auto"/>
              <w:right w:val="single" w:sz="4" w:space="0" w:color="auto"/>
            </w:tcBorders>
            <w:shd w:val="clear" w:color="000000" w:fill="C00000"/>
            <w:vAlign w:val="center"/>
            <w:hideMark/>
          </w:tcPr>
          <w:p w14:paraId="27D7CA2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Nr.</w:t>
            </w:r>
          </w:p>
        </w:tc>
        <w:tc>
          <w:tcPr>
            <w:tcW w:w="708" w:type="pct"/>
            <w:tcBorders>
              <w:top w:val="single" w:sz="4" w:space="0" w:color="auto"/>
              <w:left w:val="nil"/>
              <w:bottom w:val="single" w:sz="4" w:space="0" w:color="auto"/>
              <w:right w:val="single" w:sz="4" w:space="0" w:color="auto"/>
            </w:tcBorders>
            <w:shd w:val="clear" w:color="000000" w:fill="C00000"/>
            <w:vAlign w:val="center"/>
            <w:hideMark/>
          </w:tcPr>
          <w:p w14:paraId="1C71F57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Titulli i projektaktit</w:t>
            </w:r>
          </w:p>
        </w:tc>
        <w:tc>
          <w:tcPr>
            <w:tcW w:w="367" w:type="pct"/>
            <w:tcBorders>
              <w:top w:val="single" w:sz="4" w:space="0" w:color="auto"/>
              <w:left w:val="nil"/>
              <w:bottom w:val="single" w:sz="4" w:space="0" w:color="auto"/>
              <w:right w:val="single" w:sz="4" w:space="0" w:color="auto"/>
            </w:tcBorders>
            <w:shd w:val="clear" w:color="000000" w:fill="C00000"/>
            <w:vAlign w:val="center"/>
            <w:hideMark/>
          </w:tcPr>
          <w:p w14:paraId="5AE350F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Lloji i projektaktit</w:t>
            </w:r>
          </w:p>
        </w:tc>
        <w:tc>
          <w:tcPr>
            <w:tcW w:w="354" w:type="pct"/>
            <w:tcBorders>
              <w:top w:val="single" w:sz="4" w:space="0" w:color="auto"/>
              <w:left w:val="nil"/>
              <w:bottom w:val="single" w:sz="4" w:space="0" w:color="auto"/>
              <w:right w:val="single" w:sz="4" w:space="0" w:color="auto"/>
            </w:tcBorders>
            <w:shd w:val="clear" w:color="000000" w:fill="C00000"/>
            <w:vAlign w:val="center"/>
            <w:hideMark/>
          </w:tcPr>
          <w:p w14:paraId="5DA4FE8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Ministri propozues</w:t>
            </w:r>
          </w:p>
        </w:tc>
        <w:tc>
          <w:tcPr>
            <w:tcW w:w="327" w:type="pct"/>
            <w:tcBorders>
              <w:top w:val="single" w:sz="4" w:space="0" w:color="auto"/>
              <w:left w:val="nil"/>
              <w:bottom w:val="single" w:sz="4" w:space="0" w:color="auto"/>
              <w:right w:val="single" w:sz="4" w:space="0" w:color="auto"/>
            </w:tcBorders>
            <w:shd w:val="clear" w:color="000000" w:fill="C00000"/>
            <w:vAlign w:val="center"/>
            <w:hideMark/>
          </w:tcPr>
          <w:p w14:paraId="1DC6284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Katër mujori</w:t>
            </w:r>
          </w:p>
        </w:tc>
        <w:tc>
          <w:tcPr>
            <w:tcW w:w="778" w:type="pct"/>
            <w:tcBorders>
              <w:top w:val="single" w:sz="4" w:space="0" w:color="auto"/>
              <w:left w:val="nil"/>
              <w:bottom w:val="single" w:sz="4" w:space="0" w:color="auto"/>
              <w:right w:val="single" w:sz="4" w:space="0" w:color="auto"/>
            </w:tcBorders>
            <w:shd w:val="clear" w:color="000000" w:fill="C00000"/>
            <w:vAlign w:val="center"/>
            <w:hideMark/>
          </w:tcPr>
          <w:p w14:paraId="56035F4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Arsyet kryesore për propozimin e projektaktit</w:t>
            </w:r>
          </w:p>
        </w:tc>
        <w:tc>
          <w:tcPr>
            <w:tcW w:w="858" w:type="pct"/>
            <w:tcBorders>
              <w:top w:val="single" w:sz="4" w:space="0" w:color="auto"/>
              <w:left w:val="nil"/>
              <w:bottom w:val="single" w:sz="4" w:space="0" w:color="auto"/>
              <w:right w:val="single" w:sz="4" w:space="0" w:color="auto"/>
            </w:tcBorders>
            <w:shd w:val="clear" w:color="000000" w:fill="C00000"/>
            <w:vAlign w:val="center"/>
            <w:hideMark/>
          </w:tcPr>
          <w:p w14:paraId="5A6B88A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 xml:space="preserve">Çështjet kryesore që parashikon të rregullojë projektakti </w:t>
            </w:r>
          </w:p>
        </w:tc>
        <w:tc>
          <w:tcPr>
            <w:tcW w:w="251" w:type="pct"/>
            <w:tcBorders>
              <w:top w:val="single" w:sz="4" w:space="0" w:color="auto"/>
              <w:left w:val="nil"/>
              <w:bottom w:val="single" w:sz="4" w:space="0" w:color="auto"/>
              <w:right w:val="single" w:sz="4" w:space="0" w:color="auto"/>
            </w:tcBorders>
            <w:shd w:val="clear" w:color="000000" w:fill="C00000"/>
            <w:vAlign w:val="center"/>
            <w:hideMark/>
          </w:tcPr>
          <w:p w14:paraId="6A654DC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A është parashikuar projektakti në PKIE?</w:t>
            </w:r>
            <w:r w:rsidRPr="001C342D">
              <w:rPr>
                <w:rFonts w:ascii="Arial" w:eastAsia="Times New Roman" w:hAnsi="Arial" w:cs="Arial"/>
                <w:b/>
                <w:bCs/>
                <w:color w:val="FFFFFF"/>
                <w:sz w:val="12"/>
                <w:szCs w:val="12"/>
                <w:bdr w:val="none" w:sz="0" w:space="0" w:color="auto"/>
              </w:rPr>
              <w:br/>
            </w:r>
            <w:r w:rsidRPr="001C342D">
              <w:rPr>
                <w:rFonts w:ascii="Arial" w:eastAsia="Times New Roman" w:hAnsi="Arial" w:cs="Arial"/>
                <w:b/>
                <w:bCs/>
                <w:color w:val="FFFFFF"/>
                <w:sz w:val="12"/>
                <w:szCs w:val="12"/>
                <w:bdr w:val="none" w:sz="0" w:space="0" w:color="auto"/>
              </w:rPr>
              <w:br/>
              <w:t>Nëse po, të specifikohet kapitulli përkatës</w:t>
            </w:r>
          </w:p>
        </w:tc>
        <w:tc>
          <w:tcPr>
            <w:tcW w:w="374" w:type="pct"/>
            <w:tcBorders>
              <w:top w:val="single" w:sz="4" w:space="0" w:color="auto"/>
              <w:left w:val="nil"/>
              <w:bottom w:val="single" w:sz="4" w:space="0" w:color="auto"/>
              <w:right w:val="single" w:sz="4" w:space="0" w:color="auto"/>
            </w:tcBorders>
            <w:shd w:val="clear" w:color="000000" w:fill="C00000"/>
            <w:vAlign w:val="center"/>
            <w:hideMark/>
          </w:tcPr>
          <w:p w14:paraId="4B66659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Përputhshmëria e projektaktit me programin politik qeverisës 2021-2025</w:t>
            </w:r>
            <w:r w:rsidRPr="001C342D">
              <w:rPr>
                <w:rFonts w:ascii="Arial" w:eastAsia="Times New Roman" w:hAnsi="Arial" w:cs="Arial"/>
                <w:b/>
                <w:bCs/>
                <w:color w:val="FFFFFF"/>
                <w:sz w:val="12"/>
                <w:szCs w:val="12"/>
                <w:bdr w:val="none" w:sz="0" w:space="0" w:color="auto"/>
              </w:rPr>
              <w:br/>
            </w:r>
            <w:r w:rsidRPr="001C342D">
              <w:rPr>
                <w:rFonts w:ascii="Arial" w:eastAsia="Times New Roman" w:hAnsi="Arial" w:cs="Arial"/>
                <w:b/>
                <w:bCs/>
                <w:color w:val="FFFFFF"/>
                <w:sz w:val="12"/>
                <w:szCs w:val="12"/>
                <w:bdr w:val="none" w:sz="0" w:space="0" w:color="auto"/>
              </w:rPr>
              <w:br/>
              <w:t>Nëse përputhet, të jepet  referenca e saktë në progam</w:t>
            </w:r>
          </w:p>
        </w:tc>
        <w:tc>
          <w:tcPr>
            <w:tcW w:w="464" w:type="pct"/>
            <w:tcBorders>
              <w:top w:val="single" w:sz="4" w:space="0" w:color="auto"/>
              <w:left w:val="nil"/>
              <w:bottom w:val="single" w:sz="4" w:space="0" w:color="auto"/>
              <w:right w:val="single" w:sz="4" w:space="0" w:color="auto"/>
            </w:tcBorders>
            <w:shd w:val="clear" w:color="000000" w:fill="C00000"/>
            <w:vAlign w:val="center"/>
            <w:hideMark/>
          </w:tcPr>
          <w:p w14:paraId="32556EC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Lidhja e projektaktit me strategjitë kombëtare dhe sektoriale</w:t>
            </w:r>
            <w:r w:rsidRPr="001C342D">
              <w:rPr>
                <w:rFonts w:ascii="Arial" w:eastAsia="Times New Roman" w:hAnsi="Arial" w:cs="Arial"/>
                <w:b/>
                <w:bCs/>
                <w:color w:val="FFFFFF"/>
                <w:sz w:val="12"/>
                <w:szCs w:val="12"/>
                <w:bdr w:val="none" w:sz="0" w:space="0" w:color="auto"/>
              </w:rPr>
              <w:br/>
            </w:r>
            <w:r w:rsidRPr="001C342D">
              <w:rPr>
                <w:rFonts w:ascii="Arial" w:eastAsia="Times New Roman" w:hAnsi="Arial" w:cs="Arial"/>
                <w:b/>
                <w:bCs/>
                <w:color w:val="FFFFFF"/>
                <w:sz w:val="12"/>
                <w:szCs w:val="12"/>
                <w:bdr w:val="none" w:sz="0" w:space="0" w:color="auto"/>
              </w:rPr>
              <w:br/>
              <w:t>Nëse lidhet, të specifikohen strategjitë</w:t>
            </w:r>
          </w:p>
        </w:tc>
        <w:tc>
          <w:tcPr>
            <w:tcW w:w="421" w:type="pct"/>
            <w:tcBorders>
              <w:top w:val="single" w:sz="4" w:space="0" w:color="auto"/>
              <w:left w:val="nil"/>
              <w:bottom w:val="single" w:sz="4" w:space="0" w:color="auto"/>
              <w:right w:val="single" w:sz="4" w:space="0" w:color="auto"/>
            </w:tcBorders>
            <w:shd w:val="clear" w:color="000000" w:fill="C00000"/>
            <w:vAlign w:val="center"/>
            <w:hideMark/>
          </w:tcPr>
          <w:p w14:paraId="1287EFB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color w:val="FFFFFF"/>
                <w:sz w:val="12"/>
                <w:szCs w:val="12"/>
                <w:bdr w:val="none" w:sz="0" w:space="0" w:color="auto"/>
              </w:rPr>
            </w:pPr>
            <w:r w:rsidRPr="001C342D">
              <w:rPr>
                <w:rFonts w:ascii="Arial" w:eastAsia="Times New Roman" w:hAnsi="Arial" w:cs="Arial"/>
                <w:b/>
                <w:bCs/>
                <w:color w:val="FFFFFF"/>
                <w:sz w:val="12"/>
                <w:szCs w:val="12"/>
                <w:bdr w:val="none" w:sz="0" w:space="0" w:color="auto"/>
              </w:rPr>
              <w:t>Ndikimet e mundshme ekonomike, financiare, sociale dhe mjedisore</w:t>
            </w:r>
            <w:r w:rsidRPr="001C342D">
              <w:rPr>
                <w:rFonts w:ascii="Arial" w:eastAsia="Times New Roman" w:hAnsi="Arial" w:cs="Arial"/>
                <w:b/>
                <w:bCs/>
                <w:color w:val="FFFFFF"/>
                <w:sz w:val="12"/>
                <w:szCs w:val="12"/>
                <w:bdr w:val="none" w:sz="0" w:space="0" w:color="auto"/>
              </w:rPr>
              <w:br/>
            </w:r>
            <w:r w:rsidRPr="001C342D">
              <w:rPr>
                <w:rFonts w:ascii="Arial" w:eastAsia="Times New Roman" w:hAnsi="Arial" w:cs="Arial"/>
                <w:b/>
                <w:bCs/>
                <w:color w:val="FFFFFF"/>
                <w:sz w:val="12"/>
                <w:szCs w:val="12"/>
                <w:bdr w:val="none" w:sz="0" w:space="0" w:color="auto"/>
              </w:rPr>
              <w:br/>
              <w:t xml:space="preserve">Përgjigjuni me Po/Jo për ndikimet përkatëse </w:t>
            </w:r>
          </w:p>
        </w:tc>
      </w:tr>
      <w:tr w:rsidR="001C342D" w:rsidRPr="001C342D" w14:paraId="264257EA"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7D12106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w:t>
            </w:r>
          </w:p>
        </w:tc>
        <w:tc>
          <w:tcPr>
            <w:tcW w:w="708" w:type="pct"/>
            <w:tcBorders>
              <w:top w:val="nil"/>
              <w:left w:val="nil"/>
              <w:bottom w:val="single" w:sz="4" w:space="0" w:color="auto"/>
              <w:right w:val="single" w:sz="4" w:space="0" w:color="auto"/>
            </w:tcBorders>
            <w:shd w:val="clear" w:color="auto" w:fill="auto"/>
            <w:vAlign w:val="center"/>
            <w:hideMark/>
          </w:tcPr>
          <w:p w14:paraId="390C382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disa shtesa dhe ndryshime në Ligjin nr. 10463, date 22.9.2011 "Për menaxhimin e integruar të mbetjeve", të ndryshuar</w:t>
            </w:r>
          </w:p>
        </w:tc>
        <w:tc>
          <w:tcPr>
            <w:tcW w:w="367" w:type="pct"/>
            <w:tcBorders>
              <w:top w:val="nil"/>
              <w:left w:val="nil"/>
              <w:bottom w:val="single" w:sz="4" w:space="0" w:color="auto"/>
              <w:right w:val="single" w:sz="4" w:space="0" w:color="auto"/>
            </w:tcBorders>
            <w:shd w:val="clear" w:color="auto" w:fill="auto"/>
            <w:noWrap/>
            <w:vAlign w:val="center"/>
            <w:hideMark/>
          </w:tcPr>
          <w:p w14:paraId="24D2157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auto" w:fill="auto"/>
            <w:vAlign w:val="center"/>
            <w:hideMark/>
          </w:tcPr>
          <w:p w14:paraId="2A8D668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0DA2C75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auto" w:fill="auto"/>
            <w:vAlign w:val="center"/>
            <w:hideMark/>
          </w:tcPr>
          <w:p w14:paraId="38C567C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Përmirësimi i menaxhimit të mbetjeve</w:t>
            </w:r>
          </w:p>
        </w:tc>
        <w:tc>
          <w:tcPr>
            <w:tcW w:w="858" w:type="pct"/>
            <w:tcBorders>
              <w:top w:val="nil"/>
              <w:left w:val="nil"/>
              <w:bottom w:val="single" w:sz="4" w:space="0" w:color="auto"/>
              <w:right w:val="single" w:sz="4" w:space="0" w:color="auto"/>
            </w:tcBorders>
            <w:shd w:val="clear" w:color="auto" w:fill="auto"/>
            <w:vAlign w:val="center"/>
            <w:hideMark/>
          </w:tcPr>
          <w:p w14:paraId="082C53E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Ndryshimi i masës së gjobave dhe subjektve qe ngarkohen për zbatimin e masës, me qëllim përmirësimin e menaxhimit të mbetjeve</w:t>
            </w:r>
          </w:p>
        </w:tc>
        <w:tc>
          <w:tcPr>
            <w:tcW w:w="251" w:type="pct"/>
            <w:tcBorders>
              <w:top w:val="nil"/>
              <w:left w:val="nil"/>
              <w:bottom w:val="single" w:sz="4" w:space="0" w:color="auto"/>
              <w:right w:val="single" w:sz="4" w:space="0" w:color="auto"/>
            </w:tcBorders>
            <w:shd w:val="clear" w:color="auto" w:fill="auto"/>
            <w:vAlign w:val="center"/>
            <w:hideMark/>
          </w:tcPr>
          <w:p w14:paraId="279CA23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nil"/>
              <w:right w:val="nil"/>
            </w:tcBorders>
            <w:shd w:val="clear" w:color="auto" w:fill="auto"/>
            <w:vAlign w:val="center"/>
            <w:hideMark/>
          </w:tcPr>
          <w:p w14:paraId="3F08AA4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                        Menaxhim i integruar i mbetjeve në tërësinë e territorit sipas Masterplanit</w:t>
            </w:r>
          </w:p>
        </w:tc>
        <w:tc>
          <w:tcPr>
            <w:tcW w:w="464" w:type="pct"/>
            <w:tcBorders>
              <w:top w:val="nil"/>
              <w:left w:val="single" w:sz="4" w:space="0" w:color="auto"/>
              <w:bottom w:val="single" w:sz="4" w:space="0" w:color="auto"/>
              <w:right w:val="single" w:sz="4" w:space="0" w:color="auto"/>
            </w:tcBorders>
            <w:shd w:val="clear" w:color="auto" w:fill="auto"/>
            <w:vAlign w:val="center"/>
            <w:hideMark/>
          </w:tcPr>
          <w:p w14:paraId="4A79D88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VKM nr. 418,, date 27.5.2020 "Per miratimin e Dokumentit te Politikave Strategjike dhe te Planit Kombetar per menaxhimin e integruar te mbetjeve"</w:t>
            </w:r>
          </w:p>
        </w:tc>
        <w:tc>
          <w:tcPr>
            <w:tcW w:w="421" w:type="pct"/>
            <w:tcBorders>
              <w:top w:val="nil"/>
              <w:left w:val="nil"/>
              <w:bottom w:val="single" w:sz="4" w:space="0" w:color="auto"/>
              <w:right w:val="single" w:sz="4" w:space="0" w:color="auto"/>
            </w:tcBorders>
            <w:shd w:val="clear" w:color="auto" w:fill="auto"/>
            <w:vAlign w:val="center"/>
            <w:hideMark/>
          </w:tcPr>
          <w:p w14:paraId="3F75D39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Rritja e të ardhurave nga gjobat, përmirësimi i menaxhimit të mbetjeve, përmirësimi i cilësisë së jetesës </w:t>
            </w:r>
          </w:p>
        </w:tc>
      </w:tr>
      <w:tr w:rsidR="001C342D" w:rsidRPr="001C342D" w14:paraId="540E3647"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5A33779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2</w:t>
            </w:r>
          </w:p>
        </w:tc>
        <w:tc>
          <w:tcPr>
            <w:tcW w:w="708" w:type="pct"/>
            <w:tcBorders>
              <w:top w:val="nil"/>
              <w:left w:val="nil"/>
              <w:bottom w:val="single" w:sz="4" w:space="0" w:color="auto"/>
              <w:right w:val="single" w:sz="4" w:space="0" w:color="auto"/>
            </w:tcBorders>
            <w:shd w:val="clear" w:color="000000" w:fill="FFFFFF"/>
            <w:vAlign w:val="center"/>
            <w:hideMark/>
          </w:tcPr>
          <w:p w14:paraId="0380801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një ndryshim në ligjin nr.162/2014 "Për cilësinë e ajrit në mjedis", i ndryshuar</w:t>
            </w:r>
          </w:p>
        </w:tc>
        <w:tc>
          <w:tcPr>
            <w:tcW w:w="367" w:type="pct"/>
            <w:tcBorders>
              <w:top w:val="nil"/>
              <w:left w:val="nil"/>
              <w:bottom w:val="single" w:sz="4" w:space="0" w:color="auto"/>
              <w:right w:val="single" w:sz="4" w:space="0" w:color="auto"/>
            </w:tcBorders>
            <w:shd w:val="clear" w:color="auto" w:fill="auto"/>
            <w:noWrap/>
            <w:vAlign w:val="center"/>
            <w:hideMark/>
          </w:tcPr>
          <w:p w14:paraId="73BE420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000000" w:fill="FFFFFF"/>
            <w:vAlign w:val="center"/>
            <w:hideMark/>
          </w:tcPr>
          <w:p w14:paraId="64F7DA5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137F0BE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000000" w:fill="FFFFFF"/>
            <w:vAlign w:val="center"/>
            <w:hideMark/>
          </w:tcPr>
          <w:p w14:paraId="0BF8526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Të përmirësojë shëndetin publik dhe të sigurojë një nivel të lartë të mbrojtjes</w:t>
            </w:r>
            <w:r w:rsidRPr="001C342D">
              <w:rPr>
                <w:rFonts w:ascii="Arial" w:eastAsia="Times New Roman" w:hAnsi="Arial" w:cs="Arial"/>
                <w:color w:val="000000"/>
                <w:sz w:val="12"/>
                <w:szCs w:val="12"/>
                <w:bdr w:val="none" w:sz="0" w:space="0" w:color="auto"/>
              </w:rPr>
              <w:br/>
              <w:t>së mjedisit;</w:t>
            </w:r>
          </w:p>
        </w:tc>
        <w:tc>
          <w:tcPr>
            <w:tcW w:w="858" w:type="pct"/>
            <w:tcBorders>
              <w:top w:val="nil"/>
              <w:left w:val="nil"/>
              <w:bottom w:val="single" w:sz="4" w:space="0" w:color="auto"/>
              <w:right w:val="single" w:sz="4" w:space="0" w:color="auto"/>
            </w:tcBorders>
            <w:shd w:val="clear" w:color="000000" w:fill="FFFFFF"/>
            <w:vAlign w:val="center"/>
            <w:hideMark/>
          </w:tcPr>
          <w:p w14:paraId="507EA0D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Ndryshimi i masës së gjobave kundrejt subjekteve (operatorët e instalimeve, nga aktivitete apo përdorimi i lëndëve djegëse jo në përputhje me kriteret ligjore) në mosrespektim të kërkesave, parimeve dhe kushteve të shkarkimeve në ajër;                                                        Rishikimi i insitucioneve përgjegjëse për kontrollin e zbatueshmërisë të kërkesave ligjore, në përputhje me fushën e përgjegjësisë dhe aktet nënligjore që kanë dalë zbatim të këtij Ligji (institucione varësie të MTM, MIE apo të tjera);  </w:t>
            </w:r>
          </w:p>
        </w:tc>
        <w:tc>
          <w:tcPr>
            <w:tcW w:w="251" w:type="pct"/>
            <w:tcBorders>
              <w:top w:val="nil"/>
              <w:left w:val="nil"/>
              <w:bottom w:val="single" w:sz="4" w:space="0" w:color="auto"/>
              <w:right w:val="single" w:sz="4" w:space="0" w:color="auto"/>
            </w:tcBorders>
            <w:shd w:val="clear" w:color="000000" w:fill="FFFFFF"/>
            <w:vAlign w:val="center"/>
            <w:hideMark/>
          </w:tcPr>
          <w:p w14:paraId="24EE683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single" w:sz="4" w:space="0" w:color="auto"/>
              <w:left w:val="nil"/>
              <w:bottom w:val="single" w:sz="4" w:space="0" w:color="auto"/>
              <w:right w:val="single" w:sz="4" w:space="0" w:color="auto"/>
            </w:tcBorders>
            <w:shd w:val="clear" w:color="auto" w:fill="auto"/>
            <w:vAlign w:val="center"/>
            <w:hideMark/>
          </w:tcPr>
          <w:p w14:paraId="69212B0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N/A</w:t>
            </w:r>
          </w:p>
        </w:tc>
        <w:tc>
          <w:tcPr>
            <w:tcW w:w="464" w:type="pct"/>
            <w:tcBorders>
              <w:top w:val="nil"/>
              <w:left w:val="nil"/>
              <w:bottom w:val="single" w:sz="4" w:space="0" w:color="auto"/>
              <w:right w:val="single" w:sz="4" w:space="0" w:color="auto"/>
            </w:tcBorders>
            <w:shd w:val="clear" w:color="000000" w:fill="FFFFFF"/>
            <w:vAlign w:val="center"/>
            <w:hideMark/>
          </w:tcPr>
          <w:p w14:paraId="387D4B1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VENDIM</w:t>
            </w:r>
            <w:r w:rsidRPr="001C342D">
              <w:rPr>
                <w:rFonts w:ascii="Arial" w:eastAsia="Times New Roman" w:hAnsi="Arial" w:cs="Arial"/>
                <w:color w:val="000000"/>
                <w:sz w:val="12"/>
                <w:szCs w:val="12"/>
                <w:bdr w:val="none" w:sz="0" w:space="0" w:color="auto"/>
              </w:rPr>
              <w:br/>
              <w:t>Nr. 594, datë 10.9.2014</w:t>
            </w:r>
            <w:r w:rsidRPr="001C342D">
              <w:rPr>
                <w:rFonts w:ascii="Arial" w:eastAsia="Times New Roman" w:hAnsi="Arial" w:cs="Arial"/>
                <w:color w:val="000000"/>
                <w:sz w:val="12"/>
                <w:szCs w:val="12"/>
                <w:bdr w:val="none" w:sz="0" w:space="0" w:color="auto"/>
              </w:rPr>
              <w:br/>
              <w:t>PËR MIRATIMIN E STRATEGJISË KOMBËTARE PËR CILËSINË E AJRIT TË MJEDISIT</w:t>
            </w:r>
          </w:p>
        </w:tc>
        <w:tc>
          <w:tcPr>
            <w:tcW w:w="421" w:type="pct"/>
            <w:tcBorders>
              <w:top w:val="nil"/>
              <w:left w:val="nil"/>
              <w:bottom w:val="single" w:sz="4" w:space="0" w:color="auto"/>
              <w:right w:val="single" w:sz="4" w:space="0" w:color="auto"/>
            </w:tcBorders>
            <w:shd w:val="clear" w:color="000000" w:fill="FFFFFF"/>
            <w:vAlign w:val="center"/>
            <w:hideMark/>
          </w:tcPr>
          <w:p w14:paraId="39B79CF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Rritja e të ardhurave nga masat administrative, përmirësimi i cilësisë së ajrit, përmirësimi i cilësisë së jetës së qyetatarëve dhe mjedisit;   </w:t>
            </w:r>
          </w:p>
        </w:tc>
      </w:tr>
      <w:tr w:rsidR="001C342D" w:rsidRPr="001C342D" w14:paraId="6B26F3E8"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40452D9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3</w:t>
            </w:r>
          </w:p>
        </w:tc>
        <w:tc>
          <w:tcPr>
            <w:tcW w:w="708" w:type="pct"/>
            <w:tcBorders>
              <w:top w:val="nil"/>
              <w:left w:val="nil"/>
              <w:bottom w:val="single" w:sz="4" w:space="0" w:color="auto"/>
              <w:right w:val="single" w:sz="4" w:space="0" w:color="auto"/>
            </w:tcBorders>
            <w:shd w:val="clear" w:color="auto" w:fill="auto"/>
            <w:vAlign w:val="center"/>
            <w:hideMark/>
          </w:tcPr>
          <w:p w14:paraId="38F3C87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një ndryshim në ligjin nr. 10 431, datë 9.6.2011, “Për mbrojtjen e mjedisit”, të ndryshuar</w:t>
            </w:r>
          </w:p>
        </w:tc>
        <w:tc>
          <w:tcPr>
            <w:tcW w:w="367" w:type="pct"/>
            <w:tcBorders>
              <w:top w:val="nil"/>
              <w:left w:val="nil"/>
              <w:bottom w:val="single" w:sz="4" w:space="0" w:color="auto"/>
              <w:right w:val="single" w:sz="4" w:space="0" w:color="auto"/>
            </w:tcBorders>
            <w:shd w:val="clear" w:color="auto" w:fill="auto"/>
            <w:noWrap/>
            <w:vAlign w:val="center"/>
            <w:hideMark/>
          </w:tcPr>
          <w:p w14:paraId="7B5F1ED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auto" w:fill="auto"/>
            <w:vAlign w:val="center"/>
            <w:hideMark/>
          </w:tcPr>
          <w:p w14:paraId="0B2E866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12E7F48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auto" w:fill="auto"/>
            <w:vAlign w:val="center"/>
            <w:hideMark/>
          </w:tcPr>
          <w:p w14:paraId="679C3B8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Adresimi i konkluzioneve te Keshillimit Kombetar</w:t>
            </w:r>
          </w:p>
        </w:tc>
        <w:tc>
          <w:tcPr>
            <w:tcW w:w="858" w:type="pct"/>
            <w:tcBorders>
              <w:top w:val="nil"/>
              <w:left w:val="nil"/>
              <w:bottom w:val="single" w:sz="4" w:space="0" w:color="auto"/>
              <w:right w:val="single" w:sz="4" w:space="0" w:color="auto"/>
            </w:tcBorders>
            <w:shd w:val="clear" w:color="auto" w:fill="auto"/>
            <w:vAlign w:val="center"/>
            <w:hideMark/>
          </w:tcPr>
          <w:p w14:paraId="6FA4802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Ndyshimet do të konsistojnë në  ashpërsimin e kundravajtve administrative</w:t>
            </w:r>
          </w:p>
        </w:tc>
        <w:tc>
          <w:tcPr>
            <w:tcW w:w="251" w:type="pct"/>
            <w:tcBorders>
              <w:top w:val="nil"/>
              <w:left w:val="nil"/>
              <w:bottom w:val="single" w:sz="4" w:space="0" w:color="auto"/>
              <w:right w:val="single" w:sz="4" w:space="0" w:color="auto"/>
            </w:tcBorders>
            <w:shd w:val="clear" w:color="auto" w:fill="auto"/>
            <w:vAlign w:val="center"/>
            <w:hideMark/>
          </w:tcPr>
          <w:p w14:paraId="14D48D3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393B44C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464" w:type="pct"/>
            <w:tcBorders>
              <w:top w:val="nil"/>
              <w:left w:val="nil"/>
              <w:bottom w:val="single" w:sz="4" w:space="0" w:color="auto"/>
              <w:right w:val="single" w:sz="4" w:space="0" w:color="auto"/>
            </w:tcBorders>
            <w:shd w:val="clear" w:color="auto" w:fill="auto"/>
            <w:vAlign w:val="center"/>
            <w:hideMark/>
          </w:tcPr>
          <w:p w14:paraId="31CAB4E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N/A</w:t>
            </w:r>
          </w:p>
        </w:tc>
        <w:tc>
          <w:tcPr>
            <w:tcW w:w="421" w:type="pct"/>
            <w:tcBorders>
              <w:top w:val="nil"/>
              <w:left w:val="nil"/>
              <w:bottom w:val="single" w:sz="4" w:space="0" w:color="auto"/>
              <w:right w:val="single" w:sz="4" w:space="0" w:color="auto"/>
            </w:tcBorders>
            <w:shd w:val="clear" w:color="auto" w:fill="auto"/>
            <w:vAlign w:val="center"/>
            <w:hideMark/>
          </w:tcPr>
          <w:p w14:paraId="4889D7C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Projektakti do të ketë ndikim social, mjedisor dhe ekonomik.</w:t>
            </w:r>
          </w:p>
        </w:tc>
      </w:tr>
      <w:tr w:rsidR="001C342D" w:rsidRPr="001C342D" w14:paraId="7FD35B65"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5068019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4</w:t>
            </w:r>
          </w:p>
        </w:tc>
        <w:tc>
          <w:tcPr>
            <w:tcW w:w="708" w:type="pct"/>
            <w:tcBorders>
              <w:top w:val="nil"/>
              <w:left w:val="nil"/>
              <w:bottom w:val="single" w:sz="4" w:space="0" w:color="auto"/>
              <w:right w:val="single" w:sz="4" w:space="0" w:color="auto"/>
            </w:tcBorders>
            <w:shd w:val="clear" w:color="auto" w:fill="auto"/>
            <w:vAlign w:val="center"/>
            <w:hideMark/>
          </w:tcPr>
          <w:p w14:paraId="4111F6D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disa shtesa dhe ndryshime në ligjin nr. 10448 "Për lejet e mjedisit".</w:t>
            </w:r>
          </w:p>
        </w:tc>
        <w:tc>
          <w:tcPr>
            <w:tcW w:w="367" w:type="pct"/>
            <w:tcBorders>
              <w:top w:val="nil"/>
              <w:left w:val="nil"/>
              <w:bottom w:val="single" w:sz="4" w:space="0" w:color="auto"/>
              <w:right w:val="single" w:sz="4" w:space="0" w:color="auto"/>
            </w:tcBorders>
            <w:shd w:val="clear" w:color="auto" w:fill="auto"/>
            <w:noWrap/>
            <w:vAlign w:val="center"/>
            <w:hideMark/>
          </w:tcPr>
          <w:p w14:paraId="6938638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auto" w:fill="auto"/>
            <w:vAlign w:val="center"/>
            <w:hideMark/>
          </w:tcPr>
          <w:p w14:paraId="334F642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07C1D66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auto" w:fill="auto"/>
            <w:vAlign w:val="center"/>
            <w:hideMark/>
          </w:tcPr>
          <w:p w14:paraId="324BFE8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 Përmirësimi i proceseve dhe procedurave të konstatuara gjatë zbatimit të ligjit aktual</w:t>
            </w:r>
          </w:p>
        </w:tc>
        <w:tc>
          <w:tcPr>
            <w:tcW w:w="858" w:type="pct"/>
            <w:tcBorders>
              <w:top w:val="nil"/>
              <w:left w:val="nil"/>
              <w:bottom w:val="single" w:sz="4" w:space="0" w:color="auto"/>
              <w:right w:val="single" w:sz="4" w:space="0" w:color="auto"/>
            </w:tcBorders>
            <w:shd w:val="clear" w:color="auto" w:fill="auto"/>
            <w:vAlign w:val="center"/>
            <w:hideMark/>
          </w:tcPr>
          <w:p w14:paraId="287015E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Ndyshimet do të konsistojnë në zgjidhjen e problematikave të hasura me lejet dhe ashpërsimin e kundravajtve administrative</w:t>
            </w:r>
          </w:p>
        </w:tc>
        <w:tc>
          <w:tcPr>
            <w:tcW w:w="251" w:type="pct"/>
            <w:tcBorders>
              <w:top w:val="nil"/>
              <w:left w:val="nil"/>
              <w:bottom w:val="single" w:sz="4" w:space="0" w:color="auto"/>
              <w:right w:val="single" w:sz="4" w:space="0" w:color="auto"/>
            </w:tcBorders>
            <w:shd w:val="clear" w:color="auto" w:fill="auto"/>
            <w:vAlign w:val="center"/>
            <w:hideMark/>
          </w:tcPr>
          <w:p w14:paraId="6F03F8E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r w:rsidRPr="001C342D">
              <w:rPr>
                <w:rFonts w:ascii="Arial" w:eastAsia="Times New Roman" w:hAnsi="Arial" w:cs="Arial"/>
                <w:color w:val="000000"/>
                <w:sz w:val="12"/>
                <w:szCs w:val="12"/>
                <w:bdr w:val="none" w:sz="0" w:space="0" w:color="auto"/>
              </w:rPr>
              <w:br/>
            </w:r>
            <w:r w:rsidRPr="001C342D">
              <w:rPr>
                <w:rFonts w:ascii="Arial" w:eastAsia="Times New Roman" w:hAnsi="Arial" w:cs="Arial"/>
                <w:color w:val="FF0000"/>
                <w:sz w:val="12"/>
                <w:szCs w:val="12"/>
                <w:bdr w:val="none" w:sz="0" w:space="0" w:color="auto"/>
              </w:rPr>
              <w:t xml:space="preserve"> </w:t>
            </w:r>
          </w:p>
        </w:tc>
        <w:tc>
          <w:tcPr>
            <w:tcW w:w="374" w:type="pct"/>
            <w:tcBorders>
              <w:top w:val="nil"/>
              <w:left w:val="nil"/>
              <w:bottom w:val="single" w:sz="4" w:space="0" w:color="auto"/>
              <w:right w:val="single" w:sz="4" w:space="0" w:color="auto"/>
            </w:tcBorders>
            <w:shd w:val="clear" w:color="auto" w:fill="auto"/>
            <w:vAlign w:val="center"/>
            <w:hideMark/>
          </w:tcPr>
          <w:p w14:paraId="066FCD0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464" w:type="pct"/>
            <w:tcBorders>
              <w:top w:val="nil"/>
              <w:left w:val="nil"/>
              <w:bottom w:val="single" w:sz="4" w:space="0" w:color="auto"/>
              <w:right w:val="single" w:sz="4" w:space="0" w:color="auto"/>
            </w:tcBorders>
            <w:shd w:val="clear" w:color="auto" w:fill="auto"/>
            <w:vAlign w:val="center"/>
            <w:hideMark/>
          </w:tcPr>
          <w:p w14:paraId="0A19074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N/A</w:t>
            </w:r>
          </w:p>
        </w:tc>
        <w:tc>
          <w:tcPr>
            <w:tcW w:w="421" w:type="pct"/>
            <w:tcBorders>
              <w:top w:val="nil"/>
              <w:left w:val="nil"/>
              <w:bottom w:val="single" w:sz="4" w:space="0" w:color="auto"/>
              <w:right w:val="single" w:sz="4" w:space="0" w:color="auto"/>
            </w:tcBorders>
            <w:shd w:val="clear" w:color="auto" w:fill="auto"/>
            <w:vAlign w:val="center"/>
            <w:hideMark/>
          </w:tcPr>
          <w:p w14:paraId="7D389C5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Projektakti do të ketë ndikim social dhe mjedisor.</w:t>
            </w:r>
          </w:p>
        </w:tc>
      </w:tr>
      <w:tr w:rsidR="001C342D" w:rsidRPr="001C342D" w14:paraId="06A3E29D"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6A663A2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5</w:t>
            </w:r>
          </w:p>
        </w:tc>
        <w:tc>
          <w:tcPr>
            <w:tcW w:w="708" w:type="pct"/>
            <w:tcBorders>
              <w:top w:val="nil"/>
              <w:left w:val="nil"/>
              <w:bottom w:val="single" w:sz="4" w:space="0" w:color="auto"/>
              <w:right w:val="single" w:sz="4" w:space="0" w:color="auto"/>
            </w:tcBorders>
            <w:shd w:val="clear" w:color="auto" w:fill="auto"/>
            <w:vAlign w:val="center"/>
            <w:hideMark/>
          </w:tcPr>
          <w:p w14:paraId="6ED121B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disa shtesa dhe ndryshime ne ligjin nr. 10 440 /2011 "Per vleresimin e ndikimit ne mjedis" i ndryshuar</w:t>
            </w:r>
          </w:p>
        </w:tc>
        <w:tc>
          <w:tcPr>
            <w:tcW w:w="367" w:type="pct"/>
            <w:tcBorders>
              <w:top w:val="nil"/>
              <w:left w:val="nil"/>
              <w:bottom w:val="single" w:sz="4" w:space="0" w:color="auto"/>
              <w:right w:val="single" w:sz="4" w:space="0" w:color="auto"/>
            </w:tcBorders>
            <w:shd w:val="clear" w:color="auto" w:fill="auto"/>
            <w:vAlign w:val="center"/>
            <w:hideMark/>
          </w:tcPr>
          <w:p w14:paraId="68072A8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auto" w:fill="auto"/>
            <w:vAlign w:val="center"/>
            <w:hideMark/>
          </w:tcPr>
          <w:p w14:paraId="75F6FD4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1F5F087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auto" w:fill="auto"/>
            <w:vAlign w:val="center"/>
            <w:hideMark/>
          </w:tcPr>
          <w:p w14:paraId="1BD3E93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Adresimi i konkluzioneve te Keshillimit Kombetar</w:t>
            </w:r>
          </w:p>
        </w:tc>
        <w:tc>
          <w:tcPr>
            <w:tcW w:w="858" w:type="pct"/>
            <w:tcBorders>
              <w:top w:val="nil"/>
              <w:left w:val="nil"/>
              <w:bottom w:val="single" w:sz="4" w:space="0" w:color="auto"/>
              <w:right w:val="single" w:sz="4" w:space="0" w:color="auto"/>
            </w:tcBorders>
            <w:shd w:val="clear" w:color="auto" w:fill="auto"/>
            <w:vAlign w:val="center"/>
            <w:hideMark/>
          </w:tcPr>
          <w:p w14:paraId="2BA78B4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Ndyshimet do të konsistojnë në  ashpërsimin e kundravajtve administrative</w:t>
            </w:r>
          </w:p>
        </w:tc>
        <w:tc>
          <w:tcPr>
            <w:tcW w:w="251" w:type="pct"/>
            <w:tcBorders>
              <w:top w:val="nil"/>
              <w:left w:val="nil"/>
              <w:bottom w:val="single" w:sz="4" w:space="0" w:color="auto"/>
              <w:right w:val="single" w:sz="4" w:space="0" w:color="auto"/>
            </w:tcBorders>
            <w:shd w:val="clear" w:color="auto" w:fill="auto"/>
            <w:vAlign w:val="center"/>
            <w:hideMark/>
          </w:tcPr>
          <w:p w14:paraId="5595D1A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6F99688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464" w:type="pct"/>
            <w:tcBorders>
              <w:top w:val="nil"/>
              <w:left w:val="nil"/>
              <w:bottom w:val="single" w:sz="4" w:space="0" w:color="auto"/>
              <w:right w:val="single" w:sz="4" w:space="0" w:color="auto"/>
            </w:tcBorders>
            <w:shd w:val="clear" w:color="auto" w:fill="auto"/>
            <w:vAlign w:val="center"/>
            <w:hideMark/>
          </w:tcPr>
          <w:p w14:paraId="6B4C1A5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N/A</w:t>
            </w:r>
          </w:p>
        </w:tc>
        <w:tc>
          <w:tcPr>
            <w:tcW w:w="421" w:type="pct"/>
            <w:tcBorders>
              <w:top w:val="nil"/>
              <w:left w:val="nil"/>
              <w:bottom w:val="single" w:sz="4" w:space="0" w:color="auto"/>
              <w:right w:val="single" w:sz="4" w:space="0" w:color="auto"/>
            </w:tcBorders>
            <w:shd w:val="clear" w:color="auto" w:fill="auto"/>
            <w:vAlign w:val="center"/>
            <w:hideMark/>
          </w:tcPr>
          <w:p w14:paraId="619AB1C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Projektakti do të ketë ndikim social dhe mjedisor.</w:t>
            </w:r>
          </w:p>
        </w:tc>
      </w:tr>
      <w:tr w:rsidR="001C342D" w:rsidRPr="001C342D" w14:paraId="630A6E6E"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58394C0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6</w:t>
            </w:r>
          </w:p>
        </w:tc>
        <w:tc>
          <w:tcPr>
            <w:tcW w:w="708" w:type="pct"/>
            <w:tcBorders>
              <w:top w:val="nil"/>
              <w:left w:val="nil"/>
              <w:bottom w:val="single" w:sz="4" w:space="0" w:color="auto"/>
              <w:right w:val="single" w:sz="4" w:space="0" w:color="auto"/>
            </w:tcBorders>
            <w:shd w:val="clear" w:color="auto" w:fill="auto"/>
            <w:vAlign w:val="center"/>
            <w:hideMark/>
          </w:tcPr>
          <w:p w14:paraId="292725E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disa shtesa dhe ndryshime në ligjin nr. 9587/2006 "Për mbrojtjen e Biodiversitetit" i ndryshuar.</w:t>
            </w:r>
          </w:p>
        </w:tc>
        <w:tc>
          <w:tcPr>
            <w:tcW w:w="367" w:type="pct"/>
            <w:tcBorders>
              <w:top w:val="nil"/>
              <w:left w:val="nil"/>
              <w:bottom w:val="single" w:sz="4" w:space="0" w:color="auto"/>
              <w:right w:val="single" w:sz="4" w:space="0" w:color="auto"/>
            </w:tcBorders>
            <w:shd w:val="clear" w:color="auto" w:fill="auto"/>
            <w:noWrap/>
            <w:vAlign w:val="center"/>
            <w:hideMark/>
          </w:tcPr>
          <w:p w14:paraId="5DE4E11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auto" w:fill="auto"/>
            <w:vAlign w:val="center"/>
            <w:hideMark/>
          </w:tcPr>
          <w:p w14:paraId="309BD33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6503F1F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auto" w:fill="auto"/>
            <w:vAlign w:val="center"/>
            <w:hideMark/>
          </w:tcPr>
          <w:p w14:paraId="6365DDD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Ashpërsimi i kundravajteve administrative në funksion të parandalimit të shkeljeve në florë dhe faunë</w:t>
            </w:r>
          </w:p>
        </w:tc>
        <w:tc>
          <w:tcPr>
            <w:tcW w:w="858" w:type="pct"/>
            <w:tcBorders>
              <w:top w:val="nil"/>
              <w:left w:val="nil"/>
              <w:bottom w:val="single" w:sz="4" w:space="0" w:color="auto"/>
              <w:right w:val="single" w:sz="4" w:space="0" w:color="auto"/>
            </w:tcBorders>
            <w:shd w:val="clear" w:color="auto" w:fill="auto"/>
            <w:vAlign w:val="center"/>
            <w:hideMark/>
          </w:tcPr>
          <w:p w14:paraId="55FCE79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Parashikimi në legjislacionin e mbrojtjes së biodiversitetit të dënimit me gjobë si titull ekzekutiv do të sjellë efektivitet në ekzekutimin e sanksioneve që vendosen nga organet administative,duke sjelle:</w:t>
            </w:r>
            <w:r w:rsidRPr="001C342D">
              <w:rPr>
                <w:rFonts w:ascii="Arial" w:eastAsia="Times New Roman" w:hAnsi="Arial" w:cs="Arial"/>
                <w:color w:val="000000"/>
                <w:sz w:val="12"/>
                <w:szCs w:val="12"/>
                <w:bdr w:val="none" w:sz="0" w:space="0" w:color="auto"/>
              </w:rPr>
              <w:br/>
              <w:t>• Zvogëlimin dhe parandalimin e dëmtimit të biodiversitetit ndaj ndotjes së mjedisit</w:t>
            </w:r>
            <w:r w:rsidRPr="001C342D">
              <w:rPr>
                <w:rFonts w:ascii="Arial" w:eastAsia="Times New Roman" w:hAnsi="Arial" w:cs="Arial"/>
                <w:color w:val="000000"/>
                <w:sz w:val="12"/>
                <w:szCs w:val="12"/>
                <w:bdr w:val="none" w:sz="0" w:space="0" w:color="auto"/>
              </w:rPr>
              <w:br/>
              <w:t>• Mbrojtja dhe ruajtja e diversitetit biologjik;</w:t>
            </w:r>
            <w:r w:rsidRPr="001C342D">
              <w:rPr>
                <w:rFonts w:ascii="Arial" w:eastAsia="Times New Roman" w:hAnsi="Arial" w:cs="Arial"/>
                <w:color w:val="000000"/>
                <w:sz w:val="12"/>
                <w:szCs w:val="12"/>
                <w:bdr w:val="none" w:sz="0" w:space="0" w:color="auto"/>
              </w:rPr>
              <w:br/>
              <w:t>• Minimizimi i ndikimeve negative të përgjithshme nga përdorimi i burimeve gjenetike;</w:t>
            </w:r>
            <w:r w:rsidRPr="001C342D">
              <w:rPr>
                <w:rFonts w:ascii="Arial" w:eastAsia="Times New Roman" w:hAnsi="Arial" w:cs="Arial"/>
                <w:color w:val="000000"/>
                <w:sz w:val="12"/>
                <w:szCs w:val="12"/>
                <w:bdr w:val="none" w:sz="0" w:space="0" w:color="auto"/>
              </w:rPr>
              <w:br/>
              <w:t xml:space="preserve">• Ndërgjegjësimi i qytetareve dhe bizneseve per moskryerjen e veprimeve në dem të mjedisit nëpermjet organizimit të fushatave sensibilizuese; </w:t>
            </w:r>
            <w:r w:rsidRPr="001C342D">
              <w:rPr>
                <w:rFonts w:ascii="Arial" w:eastAsia="Times New Roman" w:hAnsi="Arial" w:cs="Arial"/>
                <w:color w:val="000000"/>
                <w:sz w:val="12"/>
                <w:szCs w:val="12"/>
                <w:bdr w:val="none" w:sz="0" w:space="0" w:color="auto"/>
              </w:rPr>
              <w:br/>
              <w:t>• Garantimi i respektimit te legjislacionit ne fuqi për mbrojtjen e mjedisit. ritja e efikasitetit të institucioneve përgjegjesë për zbatimin e rregullave të aplikueshme për mbrojtjen e mjedisit nëpërmjet riorganizimit të proceseve inspektuese.</w:t>
            </w:r>
          </w:p>
        </w:tc>
        <w:tc>
          <w:tcPr>
            <w:tcW w:w="251" w:type="pct"/>
            <w:tcBorders>
              <w:top w:val="nil"/>
              <w:left w:val="nil"/>
              <w:bottom w:val="single" w:sz="4" w:space="0" w:color="auto"/>
              <w:right w:val="single" w:sz="4" w:space="0" w:color="auto"/>
            </w:tcBorders>
            <w:shd w:val="clear" w:color="auto" w:fill="auto"/>
            <w:vAlign w:val="center"/>
            <w:hideMark/>
          </w:tcPr>
          <w:p w14:paraId="624D34D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46F103A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w:t>
            </w:r>
          </w:p>
        </w:tc>
        <w:tc>
          <w:tcPr>
            <w:tcW w:w="464" w:type="pct"/>
            <w:tcBorders>
              <w:top w:val="nil"/>
              <w:left w:val="nil"/>
              <w:bottom w:val="single" w:sz="4" w:space="0" w:color="auto"/>
              <w:right w:val="single" w:sz="4" w:space="0" w:color="auto"/>
            </w:tcBorders>
            <w:shd w:val="clear" w:color="auto" w:fill="auto"/>
            <w:vAlign w:val="center"/>
            <w:hideMark/>
          </w:tcPr>
          <w:p w14:paraId="27261EE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SKZHI</w:t>
            </w:r>
          </w:p>
        </w:tc>
        <w:tc>
          <w:tcPr>
            <w:tcW w:w="421" w:type="pct"/>
            <w:tcBorders>
              <w:top w:val="nil"/>
              <w:left w:val="nil"/>
              <w:bottom w:val="single" w:sz="4" w:space="0" w:color="auto"/>
              <w:right w:val="single" w:sz="4" w:space="0" w:color="auto"/>
            </w:tcBorders>
            <w:shd w:val="clear" w:color="auto" w:fill="auto"/>
            <w:vAlign w:val="center"/>
            <w:hideMark/>
          </w:tcPr>
          <w:p w14:paraId="7C7D03D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Projektakti do të ketë ndikim social dhe mjedisor.</w:t>
            </w:r>
          </w:p>
        </w:tc>
      </w:tr>
      <w:tr w:rsidR="001C342D" w:rsidRPr="001C342D" w14:paraId="43FDE2ED"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223B6BD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7</w:t>
            </w:r>
          </w:p>
        </w:tc>
        <w:tc>
          <w:tcPr>
            <w:tcW w:w="708" w:type="pct"/>
            <w:tcBorders>
              <w:top w:val="nil"/>
              <w:left w:val="nil"/>
              <w:bottom w:val="single" w:sz="4" w:space="0" w:color="auto"/>
              <w:right w:val="single" w:sz="4" w:space="0" w:color="auto"/>
            </w:tcBorders>
            <w:shd w:val="clear" w:color="auto" w:fill="auto"/>
            <w:vAlign w:val="center"/>
            <w:hideMark/>
          </w:tcPr>
          <w:p w14:paraId="5CA611C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disa ndryshime në VKM nr. 641/2014 "Për miratimin e rregullave për eksportin e mbetjeve dhe kalimin transit të mbetjeve jo të rrezikshme e të mbetjeve inerte", të ndryshuar</w:t>
            </w:r>
          </w:p>
        </w:tc>
        <w:tc>
          <w:tcPr>
            <w:tcW w:w="367" w:type="pct"/>
            <w:tcBorders>
              <w:top w:val="nil"/>
              <w:left w:val="nil"/>
              <w:bottom w:val="single" w:sz="4" w:space="0" w:color="auto"/>
              <w:right w:val="single" w:sz="4" w:space="0" w:color="auto"/>
            </w:tcBorders>
            <w:shd w:val="clear" w:color="auto" w:fill="auto"/>
            <w:noWrap/>
            <w:vAlign w:val="center"/>
            <w:hideMark/>
          </w:tcPr>
          <w:p w14:paraId="6A05730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6E1AF56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1B44BDF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auto" w:fill="auto"/>
            <w:vAlign w:val="center"/>
            <w:hideMark/>
          </w:tcPr>
          <w:p w14:paraId="373989D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Kalimi online i shërbimit përmes sistemit e-Albania dhe lehtësimin e subjekteve për autorizimin e eksportit të mbetjeve dhe kalimin tranzit.</w:t>
            </w:r>
          </w:p>
        </w:tc>
        <w:tc>
          <w:tcPr>
            <w:tcW w:w="858" w:type="pct"/>
            <w:tcBorders>
              <w:top w:val="nil"/>
              <w:left w:val="nil"/>
              <w:bottom w:val="single" w:sz="4" w:space="0" w:color="auto"/>
              <w:right w:val="single" w:sz="4" w:space="0" w:color="auto"/>
            </w:tcBorders>
            <w:shd w:val="clear" w:color="auto" w:fill="auto"/>
            <w:vAlign w:val="center"/>
            <w:hideMark/>
          </w:tcPr>
          <w:p w14:paraId="3569213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Kalim on-line i procesit të aplikimit nga personat fizikë e juridikë dhe shqyrtimi e miratimi i autorizimit për eskport mbetjesh dhe tranzit mbetjesh jo të rrezikshme plotësisht on-line</w:t>
            </w:r>
          </w:p>
        </w:tc>
        <w:tc>
          <w:tcPr>
            <w:tcW w:w="251" w:type="pct"/>
            <w:tcBorders>
              <w:top w:val="nil"/>
              <w:left w:val="nil"/>
              <w:bottom w:val="single" w:sz="4" w:space="0" w:color="auto"/>
              <w:right w:val="single" w:sz="4" w:space="0" w:color="auto"/>
            </w:tcBorders>
            <w:shd w:val="clear" w:color="auto" w:fill="auto"/>
            <w:vAlign w:val="center"/>
            <w:hideMark/>
          </w:tcPr>
          <w:p w14:paraId="1D2D2D3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692BEA0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 Jo</w:t>
            </w:r>
          </w:p>
        </w:tc>
        <w:tc>
          <w:tcPr>
            <w:tcW w:w="464" w:type="pct"/>
            <w:tcBorders>
              <w:top w:val="nil"/>
              <w:left w:val="nil"/>
              <w:bottom w:val="single" w:sz="4" w:space="0" w:color="auto"/>
              <w:right w:val="single" w:sz="4" w:space="0" w:color="auto"/>
            </w:tcBorders>
            <w:shd w:val="clear" w:color="auto" w:fill="auto"/>
            <w:vAlign w:val="center"/>
            <w:hideMark/>
          </w:tcPr>
          <w:p w14:paraId="54BDC29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Dokumenti i Politikave Strategjike dhe Plani Kombëtar i Menaxhimit të Integruar të Mbetjeve 2020-2035</w:t>
            </w:r>
          </w:p>
        </w:tc>
        <w:tc>
          <w:tcPr>
            <w:tcW w:w="421" w:type="pct"/>
            <w:tcBorders>
              <w:top w:val="nil"/>
              <w:left w:val="nil"/>
              <w:bottom w:val="single" w:sz="4" w:space="0" w:color="auto"/>
              <w:right w:val="single" w:sz="4" w:space="0" w:color="auto"/>
            </w:tcBorders>
            <w:shd w:val="clear" w:color="auto" w:fill="auto"/>
            <w:vAlign w:val="center"/>
            <w:hideMark/>
          </w:tcPr>
          <w:p w14:paraId="0EE00A7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Përshpejton dhe lehtëson subjektet për pajisjen me Autorizimin e kalimit tranzit dhe eksportin e mbetjeve.</w:t>
            </w:r>
          </w:p>
        </w:tc>
      </w:tr>
      <w:tr w:rsidR="001C342D" w:rsidRPr="001C342D" w14:paraId="0BDA7E08"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7DF76F5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8</w:t>
            </w:r>
          </w:p>
        </w:tc>
        <w:tc>
          <w:tcPr>
            <w:tcW w:w="708" w:type="pct"/>
            <w:tcBorders>
              <w:top w:val="nil"/>
              <w:left w:val="nil"/>
              <w:bottom w:val="single" w:sz="4" w:space="0" w:color="auto"/>
              <w:right w:val="single" w:sz="4" w:space="0" w:color="auto"/>
            </w:tcBorders>
            <w:shd w:val="clear" w:color="auto" w:fill="auto"/>
            <w:vAlign w:val="center"/>
            <w:hideMark/>
          </w:tcPr>
          <w:p w14:paraId="187672B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miratimin e rregullave të detajuara për regjistrimin e kimikateve nga prodhuesit dhe importuesit, detyrimet për të raportuar në regjistrin elektronik të kimikateve, si dhe mirëmbajtjen e regjistrit të kimikateve"</w:t>
            </w:r>
          </w:p>
        </w:tc>
        <w:tc>
          <w:tcPr>
            <w:tcW w:w="367" w:type="pct"/>
            <w:tcBorders>
              <w:top w:val="nil"/>
              <w:left w:val="nil"/>
              <w:bottom w:val="single" w:sz="4" w:space="0" w:color="auto"/>
              <w:right w:val="single" w:sz="4" w:space="0" w:color="auto"/>
            </w:tcBorders>
            <w:shd w:val="clear" w:color="auto" w:fill="auto"/>
            <w:noWrap/>
            <w:vAlign w:val="center"/>
            <w:hideMark/>
          </w:tcPr>
          <w:p w14:paraId="131C56F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4140EBD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72A4741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w:t>
            </w:r>
          </w:p>
        </w:tc>
        <w:tc>
          <w:tcPr>
            <w:tcW w:w="778" w:type="pct"/>
            <w:tcBorders>
              <w:top w:val="nil"/>
              <w:left w:val="nil"/>
              <w:bottom w:val="single" w:sz="4" w:space="0" w:color="auto"/>
              <w:right w:val="single" w:sz="4" w:space="0" w:color="auto"/>
            </w:tcBorders>
            <w:shd w:val="clear" w:color="auto" w:fill="auto"/>
            <w:vAlign w:val="center"/>
            <w:hideMark/>
          </w:tcPr>
          <w:p w14:paraId="2A06802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Ky projektvendim del ne zbatim te pikës 4, neni 27 "Rregjistri i Kimikateve", të Ligjit 27/2016 "Për menaxhimin e kimikateve".</w:t>
            </w:r>
          </w:p>
        </w:tc>
        <w:tc>
          <w:tcPr>
            <w:tcW w:w="858" w:type="pct"/>
            <w:tcBorders>
              <w:top w:val="nil"/>
              <w:left w:val="nil"/>
              <w:bottom w:val="single" w:sz="4" w:space="0" w:color="auto"/>
              <w:right w:val="single" w:sz="4" w:space="0" w:color="auto"/>
            </w:tcBorders>
            <w:shd w:val="clear" w:color="auto" w:fill="auto"/>
            <w:vAlign w:val="center"/>
            <w:hideMark/>
          </w:tcPr>
          <w:p w14:paraId="566F444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Ngritja dhe funksionimi për herë të parë i rregjistrit kombëtar të kimikateve, nje databazë me të dhëna mbi subjektet të cilat operojnë në treg duke përfshire rregjistrimin e kimikateve. </w:t>
            </w:r>
          </w:p>
        </w:tc>
        <w:tc>
          <w:tcPr>
            <w:tcW w:w="251" w:type="pct"/>
            <w:tcBorders>
              <w:top w:val="nil"/>
              <w:left w:val="nil"/>
              <w:bottom w:val="single" w:sz="4" w:space="0" w:color="auto"/>
              <w:right w:val="single" w:sz="4" w:space="0" w:color="auto"/>
            </w:tcBorders>
            <w:shd w:val="clear" w:color="auto" w:fill="auto"/>
            <w:vAlign w:val="center"/>
            <w:hideMark/>
          </w:tcPr>
          <w:p w14:paraId="059BA8D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3FA937C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N/a</w:t>
            </w:r>
          </w:p>
        </w:tc>
        <w:tc>
          <w:tcPr>
            <w:tcW w:w="464" w:type="pct"/>
            <w:tcBorders>
              <w:top w:val="nil"/>
              <w:left w:val="nil"/>
              <w:bottom w:val="single" w:sz="4" w:space="0" w:color="auto"/>
              <w:right w:val="single" w:sz="4" w:space="0" w:color="auto"/>
            </w:tcBorders>
            <w:shd w:val="clear" w:color="auto" w:fill="auto"/>
            <w:vAlign w:val="center"/>
            <w:hideMark/>
          </w:tcPr>
          <w:p w14:paraId="59CD371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Projektvendimi është në një linjë me Strategjinë Ndërsektoriale për mbrojtjen e konsumatorëve dhe mbikëqyrjen e tregut  2023-2030, si dhe me Planin Kombëtar për menaxhimin e sigurtë të kimikateve. </w:t>
            </w:r>
          </w:p>
        </w:tc>
        <w:tc>
          <w:tcPr>
            <w:tcW w:w="421" w:type="pct"/>
            <w:tcBorders>
              <w:top w:val="nil"/>
              <w:left w:val="nil"/>
              <w:bottom w:val="single" w:sz="4" w:space="0" w:color="auto"/>
              <w:right w:val="single" w:sz="4" w:space="0" w:color="auto"/>
            </w:tcBorders>
            <w:shd w:val="clear" w:color="auto" w:fill="auto"/>
            <w:vAlign w:val="center"/>
            <w:hideMark/>
          </w:tcPr>
          <w:p w14:paraId="30C8365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Projektvendimi do të ketë ndikim ekonomik dhe mjedisor.</w:t>
            </w:r>
          </w:p>
        </w:tc>
      </w:tr>
      <w:tr w:rsidR="001C342D" w:rsidRPr="001C342D" w14:paraId="42E79F39"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5821B02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9</w:t>
            </w:r>
          </w:p>
        </w:tc>
        <w:tc>
          <w:tcPr>
            <w:tcW w:w="708" w:type="pct"/>
            <w:tcBorders>
              <w:top w:val="nil"/>
              <w:left w:val="nil"/>
              <w:bottom w:val="single" w:sz="4" w:space="0" w:color="auto"/>
              <w:right w:val="single" w:sz="4" w:space="0" w:color="auto"/>
            </w:tcBorders>
            <w:shd w:val="clear" w:color="auto" w:fill="auto"/>
            <w:vAlign w:val="center"/>
            <w:hideMark/>
          </w:tcPr>
          <w:p w14:paraId="1F6EB6C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përcaktimin e skemave te certifikimit dhe kërkesave për procesin e certifikimit të personit</w:t>
            </w:r>
          </w:p>
        </w:tc>
        <w:tc>
          <w:tcPr>
            <w:tcW w:w="367" w:type="pct"/>
            <w:tcBorders>
              <w:top w:val="nil"/>
              <w:left w:val="nil"/>
              <w:bottom w:val="single" w:sz="4" w:space="0" w:color="auto"/>
              <w:right w:val="single" w:sz="4" w:space="0" w:color="auto"/>
            </w:tcBorders>
            <w:shd w:val="clear" w:color="auto" w:fill="auto"/>
            <w:noWrap/>
            <w:vAlign w:val="center"/>
            <w:hideMark/>
          </w:tcPr>
          <w:p w14:paraId="7567EE5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2F2FD3A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58D7894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auto" w:fill="auto"/>
            <w:vAlign w:val="center"/>
            <w:hideMark/>
          </w:tcPr>
          <w:p w14:paraId="5FBB54C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Detyrat si mëposhtë duhet të certifikohen nga një organ i akredituar për certifikim personi: </w:t>
            </w:r>
            <w:r w:rsidRPr="001C342D">
              <w:rPr>
                <w:rFonts w:ascii="Arial" w:eastAsia="Times New Roman" w:hAnsi="Arial" w:cs="Arial"/>
                <w:color w:val="000000"/>
                <w:sz w:val="12"/>
                <w:szCs w:val="12"/>
                <w:bdr w:val="none" w:sz="0" w:space="0" w:color="auto"/>
              </w:rPr>
              <w:br/>
              <w:t xml:space="preserve">a)Instalim, servis, mirëmbajtje, riparim ose cmontim të pajisjeve të listuara, në pikat "a" deri në "dh", të nenit 5; </w:t>
            </w:r>
            <w:r w:rsidRPr="001C342D">
              <w:rPr>
                <w:rFonts w:ascii="Arial" w:eastAsia="Times New Roman" w:hAnsi="Arial" w:cs="Arial"/>
                <w:color w:val="000000"/>
                <w:sz w:val="12"/>
                <w:szCs w:val="12"/>
                <w:bdr w:val="none" w:sz="0" w:space="0" w:color="auto"/>
              </w:rPr>
              <w:br/>
              <w:t xml:space="preserve">b) kontrollet e rrjedhjeve të pajisjeve të përmendura në pikat "a" deri në "d", të nenit 5; </w:t>
            </w:r>
            <w:r w:rsidRPr="001C342D">
              <w:rPr>
                <w:rFonts w:ascii="Arial" w:eastAsia="Times New Roman" w:hAnsi="Arial" w:cs="Arial"/>
                <w:color w:val="000000"/>
                <w:sz w:val="12"/>
                <w:szCs w:val="12"/>
                <w:bdr w:val="none" w:sz="0" w:space="0" w:color="auto"/>
              </w:rPr>
              <w:br/>
              <w:t>c) rikuperimin e gazeve serrë të flouorinuara, sic parashikohet në nenin 8.</w:t>
            </w:r>
          </w:p>
        </w:tc>
        <w:tc>
          <w:tcPr>
            <w:tcW w:w="858" w:type="pct"/>
            <w:tcBorders>
              <w:top w:val="nil"/>
              <w:left w:val="nil"/>
              <w:bottom w:val="single" w:sz="4" w:space="0" w:color="auto"/>
              <w:right w:val="single" w:sz="4" w:space="0" w:color="auto"/>
            </w:tcBorders>
            <w:shd w:val="clear" w:color="auto" w:fill="auto"/>
            <w:vAlign w:val="center"/>
            <w:hideMark/>
          </w:tcPr>
          <w:p w14:paraId="30B0D95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Përcaktimi i skemave të certifikimit të personave që meren me gazet serrë të fluorura </w:t>
            </w:r>
          </w:p>
        </w:tc>
        <w:tc>
          <w:tcPr>
            <w:tcW w:w="251" w:type="pct"/>
            <w:tcBorders>
              <w:top w:val="nil"/>
              <w:left w:val="nil"/>
              <w:bottom w:val="single" w:sz="4" w:space="0" w:color="auto"/>
              <w:right w:val="single" w:sz="4" w:space="0" w:color="auto"/>
            </w:tcBorders>
            <w:shd w:val="clear" w:color="auto" w:fill="auto"/>
            <w:vAlign w:val="center"/>
            <w:hideMark/>
          </w:tcPr>
          <w:p w14:paraId="0B8DF60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 Kapitulli 27</w:t>
            </w:r>
          </w:p>
        </w:tc>
        <w:tc>
          <w:tcPr>
            <w:tcW w:w="374" w:type="pct"/>
            <w:tcBorders>
              <w:top w:val="nil"/>
              <w:left w:val="nil"/>
              <w:bottom w:val="single" w:sz="4" w:space="0" w:color="auto"/>
              <w:right w:val="single" w:sz="4" w:space="0" w:color="auto"/>
            </w:tcBorders>
            <w:shd w:val="clear" w:color="auto" w:fill="auto"/>
            <w:vAlign w:val="center"/>
            <w:hideMark/>
          </w:tcPr>
          <w:p w14:paraId="60236EA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N/a</w:t>
            </w:r>
          </w:p>
        </w:tc>
        <w:tc>
          <w:tcPr>
            <w:tcW w:w="464" w:type="pct"/>
            <w:tcBorders>
              <w:top w:val="nil"/>
              <w:left w:val="nil"/>
              <w:bottom w:val="single" w:sz="4" w:space="0" w:color="auto"/>
              <w:right w:val="single" w:sz="4" w:space="0" w:color="auto"/>
            </w:tcBorders>
            <w:shd w:val="clear" w:color="auto" w:fill="auto"/>
            <w:vAlign w:val="center"/>
            <w:hideMark/>
          </w:tcPr>
          <w:p w14:paraId="4A5A261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421" w:type="pct"/>
            <w:tcBorders>
              <w:top w:val="nil"/>
              <w:left w:val="nil"/>
              <w:bottom w:val="single" w:sz="4" w:space="0" w:color="auto"/>
              <w:right w:val="single" w:sz="4" w:space="0" w:color="auto"/>
            </w:tcBorders>
            <w:shd w:val="clear" w:color="auto" w:fill="auto"/>
            <w:vAlign w:val="center"/>
            <w:hideMark/>
          </w:tcPr>
          <w:p w14:paraId="7F74E7A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Projektvendimi do të ketë ndikim ekonomik dhe mjedisor.</w:t>
            </w:r>
          </w:p>
        </w:tc>
      </w:tr>
      <w:tr w:rsidR="001C342D" w:rsidRPr="001C342D" w14:paraId="55D255A7"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4AD4385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10</w:t>
            </w:r>
          </w:p>
        </w:tc>
        <w:tc>
          <w:tcPr>
            <w:tcW w:w="708" w:type="pct"/>
            <w:tcBorders>
              <w:top w:val="nil"/>
              <w:left w:val="nil"/>
              <w:bottom w:val="single" w:sz="4" w:space="0" w:color="auto"/>
              <w:right w:val="single" w:sz="4" w:space="0" w:color="auto"/>
            </w:tcBorders>
            <w:shd w:val="clear" w:color="auto" w:fill="auto"/>
            <w:vAlign w:val="center"/>
            <w:hideMark/>
          </w:tcPr>
          <w:p w14:paraId="4A81DA9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zbatimin e përgjegjësive të zgjeruara të prodhuesit</w:t>
            </w:r>
          </w:p>
        </w:tc>
        <w:tc>
          <w:tcPr>
            <w:tcW w:w="367" w:type="pct"/>
            <w:tcBorders>
              <w:top w:val="nil"/>
              <w:left w:val="nil"/>
              <w:bottom w:val="single" w:sz="4" w:space="0" w:color="auto"/>
              <w:right w:val="single" w:sz="4" w:space="0" w:color="auto"/>
            </w:tcBorders>
            <w:shd w:val="clear" w:color="auto" w:fill="auto"/>
            <w:vAlign w:val="center"/>
            <w:hideMark/>
          </w:tcPr>
          <w:p w14:paraId="72AA9D4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auto" w:fill="auto"/>
            <w:vAlign w:val="center"/>
            <w:hideMark/>
          </w:tcPr>
          <w:p w14:paraId="16618EC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Ministria e Turizmit dhe Mjedisit </w:t>
            </w:r>
          </w:p>
        </w:tc>
        <w:tc>
          <w:tcPr>
            <w:tcW w:w="327" w:type="pct"/>
            <w:tcBorders>
              <w:top w:val="nil"/>
              <w:left w:val="nil"/>
              <w:bottom w:val="single" w:sz="4" w:space="0" w:color="auto"/>
              <w:right w:val="single" w:sz="4" w:space="0" w:color="auto"/>
            </w:tcBorders>
            <w:shd w:val="clear" w:color="auto" w:fill="auto"/>
            <w:vAlign w:val="center"/>
            <w:hideMark/>
          </w:tcPr>
          <w:p w14:paraId="37AE5EA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auto" w:fill="auto"/>
            <w:vAlign w:val="center"/>
            <w:hideMark/>
          </w:tcPr>
          <w:p w14:paraId="3771ECA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Ky projektligj do të përgatitet në kuadër të rregullimit të sistemit të menaxhimit të mbetjeve në vend</w:t>
            </w:r>
          </w:p>
        </w:tc>
        <w:tc>
          <w:tcPr>
            <w:tcW w:w="858" w:type="pct"/>
            <w:tcBorders>
              <w:top w:val="nil"/>
              <w:left w:val="nil"/>
              <w:bottom w:val="single" w:sz="4" w:space="0" w:color="auto"/>
              <w:right w:val="single" w:sz="4" w:space="0" w:color="auto"/>
            </w:tcBorders>
            <w:shd w:val="clear" w:color="auto" w:fill="auto"/>
            <w:vAlign w:val="center"/>
            <w:hideMark/>
          </w:tcPr>
          <w:p w14:paraId="2890C78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Për shkak se ende nuk është plotësuar sistemi për menaxhimin e integruar të mbetjeve (jo çdo qark ka landfill sanitar  funksional, stacione transferimi, kosha të mjaftueshëm për të pasur të veçanta rrymat e mbetjeve) e cila ndikon drejtpërdrejt në mungesën e ndarjes së mbetjeve në burim por duke konsideruar edhe mjetet financiare të pamjaftueshme/të limituara, një zgjidhje për të bërë sistemin të funksionojë, është ngritja e një skeme të qëndrueshme për Përgjegjësinë e Zgjeruar të Prodhuesit, e cila mundëson ndarjen e përgjegjësisë me prodhuesit. Këta të fundit sjellin produkte në tregun shqiptar (prodhim, importim), produkte të cilat pas përdorimit gjenerojnë mbetje. Skema e Përgjegjësisë së Zgjeruar të Prodhuesit, mundëson ngritjen e sistemit për çdo prodhues me qëllim mbledhjen e diferencuar të mbetjeve, riciklimin dhe trajtimin e tyre sipas rrymave që ato i përkasin dhe në përputhje me objektivat e vendosura nga qeveria. Kjo skemë është një instrument balancues për menaxhimin e qëndrueshëm të mbetjeve të rrymave specifike, i cili vendos kundrejt prodhuesit përgjegjësi financiare për mbledhjen, riciklimin dhe përgjegjësinë e mbetjeve në fund të jetës. </w:t>
            </w:r>
          </w:p>
        </w:tc>
        <w:tc>
          <w:tcPr>
            <w:tcW w:w="251" w:type="pct"/>
            <w:tcBorders>
              <w:top w:val="nil"/>
              <w:left w:val="nil"/>
              <w:bottom w:val="single" w:sz="4" w:space="0" w:color="auto"/>
              <w:right w:val="single" w:sz="4" w:space="0" w:color="auto"/>
            </w:tcBorders>
            <w:shd w:val="clear" w:color="auto" w:fill="auto"/>
            <w:vAlign w:val="center"/>
            <w:hideMark/>
          </w:tcPr>
          <w:p w14:paraId="5542EEA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 kapitulli 27</w:t>
            </w:r>
          </w:p>
        </w:tc>
        <w:tc>
          <w:tcPr>
            <w:tcW w:w="374" w:type="pct"/>
            <w:tcBorders>
              <w:top w:val="nil"/>
              <w:left w:val="nil"/>
              <w:bottom w:val="single" w:sz="4" w:space="0" w:color="auto"/>
              <w:right w:val="single" w:sz="4" w:space="0" w:color="auto"/>
            </w:tcBorders>
            <w:shd w:val="clear" w:color="auto" w:fill="auto"/>
            <w:vAlign w:val="center"/>
            <w:hideMark/>
          </w:tcPr>
          <w:p w14:paraId="03CAD63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 Projektligji është në përputhje me programin politik, dhe specifikisht me menaxhimin e integruar të mbetjeve në tërësinë e territorit.</w:t>
            </w:r>
          </w:p>
        </w:tc>
        <w:tc>
          <w:tcPr>
            <w:tcW w:w="464" w:type="pct"/>
            <w:tcBorders>
              <w:top w:val="nil"/>
              <w:left w:val="nil"/>
              <w:bottom w:val="single" w:sz="4" w:space="0" w:color="auto"/>
              <w:right w:val="single" w:sz="4" w:space="0" w:color="auto"/>
            </w:tcBorders>
            <w:shd w:val="clear" w:color="auto" w:fill="auto"/>
            <w:vAlign w:val="center"/>
            <w:hideMark/>
          </w:tcPr>
          <w:p w14:paraId="1787AE8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 lidhet me Strategjinë Sektoriale të Menaxhimit të Mbetjeve".</w:t>
            </w:r>
          </w:p>
        </w:tc>
        <w:tc>
          <w:tcPr>
            <w:tcW w:w="421" w:type="pct"/>
            <w:tcBorders>
              <w:top w:val="nil"/>
              <w:left w:val="nil"/>
              <w:bottom w:val="single" w:sz="4" w:space="0" w:color="auto"/>
              <w:right w:val="single" w:sz="4" w:space="0" w:color="auto"/>
            </w:tcBorders>
            <w:shd w:val="clear" w:color="auto" w:fill="auto"/>
            <w:vAlign w:val="center"/>
            <w:hideMark/>
          </w:tcPr>
          <w:p w14:paraId="4B3F48A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Ky projektakt pritet të krijojë kushte pozitive për zhvillimin e disa aktiviteteve ekonomike, që sigurojnë punësim, të ardhura për buxhetin dhe ekonominë lokale. Për shkak të modelit të zhvillimit, supozohet të mos ketë impakt  negativ mjedisor, më pak mbetje të depozituara në kosha dhe pikat fundore dhe një rritje të zhvillimit të turizmit për shkak të mjedisit më të pastër. </w:t>
            </w:r>
          </w:p>
        </w:tc>
      </w:tr>
      <w:tr w:rsidR="001C342D" w:rsidRPr="001C342D" w14:paraId="6D4092E9"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012CC99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11</w:t>
            </w:r>
          </w:p>
        </w:tc>
        <w:tc>
          <w:tcPr>
            <w:tcW w:w="708" w:type="pct"/>
            <w:tcBorders>
              <w:top w:val="nil"/>
              <w:left w:val="nil"/>
              <w:bottom w:val="single" w:sz="4" w:space="0" w:color="auto"/>
              <w:right w:val="single" w:sz="4" w:space="0" w:color="auto"/>
            </w:tcBorders>
            <w:shd w:val="clear" w:color="auto" w:fill="auto"/>
            <w:vAlign w:val="center"/>
            <w:hideMark/>
          </w:tcPr>
          <w:p w14:paraId="2E3EDBE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"Per miratimin e dokumentacionit te nevojshëm për pajisjen e sipërmarrësit me licencën III.3"</w:t>
            </w:r>
          </w:p>
        </w:tc>
        <w:tc>
          <w:tcPr>
            <w:tcW w:w="367" w:type="pct"/>
            <w:tcBorders>
              <w:top w:val="nil"/>
              <w:left w:val="nil"/>
              <w:bottom w:val="single" w:sz="4" w:space="0" w:color="auto"/>
              <w:right w:val="single" w:sz="4" w:space="0" w:color="auto"/>
            </w:tcBorders>
            <w:shd w:val="clear" w:color="auto" w:fill="auto"/>
            <w:noWrap/>
            <w:vAlign w:val="center"/>
            <w:hideMark/>
          </w:tcPr>
          <w:p w14:paraId="3C88222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4D92748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068DAFC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auto" w:fill="auto"/>
            <w:vAlign w:val="center"/>
            <w:hideMark/>
          </w:tcPr>
          <w:p w14:paraId="049DDA8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Projektligji "Per gazet serre te Fluoruara" parashikon pajisjen me licence per sipërmarrësit që kryejnë importin, eksportin, magazinimin dhe vendosjen në treg të gazeve serrë të fluorinuara, të pajisjeve që përmbajnë gaze serrë të fluorinuar, ose funksionimi i të cilave mbështetet në këto gaze, në përputhje me kriteret, kushtet, afatet dhe procedurat e përcaktuara në legjislacionin në fuqi për licencat, autorizimet dhe lejet në Republikën e Shqipërisë dhe përfshihen në kategorinë III. 3, të aneksit të tij.</w:t>
            </w:r>
          </w:p>
        </w:tc>
        <w:tc>
          <w:tcPr>
            <w:tcW w:w="858" w:type="pct"/>
            <w:tcBorders>
              <w:top w:val="nil"/>
              <w:left w:val="nil"/>
              <w:bottom w:val="single" w:sz="4" w:space="0" w:color="auto"/>
              <w:right w:val="single" w:sz="4" w:space="0" w:color="auto"/>
            </w:tcBorders>
            <w:shd w:val="clear" w:color="auto" w:fill="auto"/>
            <w:vAlign w:val="center"/>
            <w:hideMark/>
          </w:tcPr>
          <w:p w14:paraId="36D580C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Dokumentacioni i nevojshëm për pajisjen e sipërmarrësit me licencën, sipas pikës 1, të këtij neni, miratohet nga Keshilli I Ministrave me propozim nga ministri përgjegjës për mjedisin. </w:t>
            </w:r>
          </w:p>
        </w:tc>
        <w:tc>
          <w:tcPr>
            <w:tcW w:w="251" w:type="pct"/>
            <w:tcBorders>
              <w:top w:val="nil"/>
              <w:left w:val="nil"/>
              <w:bottom w:val="single" w:sz="4" w:space="0" w:color="auto"/>
              <w:right w:val="single" w:sz="4" w:space="0" w:color="auto"/>
            </w:tcBorders>
            <w:shd w:val="clear" w:color="auto" w:fill="auto"/>
            <w:vAlign w:val="center"/>
            <w:hideMark/>
          </w:tcPr>
          <w:p w14:paraId="37BB19C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1FD9CBC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N/a</w:t>
            </w:r>
          </w:p>
        </w:tc>
        <w:tc>
          <w:tcPr>
            <w:tcW w:w="464" w:type="pct"/>
            <w:tcBorders>
              <w:top w:val="nil"/>
              <w:left w:val="nil"/>
              <w:bottom w:val="single" w:sz="4" w:space="0" w:color="auto"/>
              <w:right w:val="single" w:sz="4" w:space="0" w:color="auto"/>
            </w:tcBorders>
            <w:shd w:val="clear" w:color="auto" w:fill="auto"/>
            <w:vAlign w:val="center"/>
            <w:hideMark/>
          </w:tcPr>
          <w:p w14:paraId="016C5AC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Strategjia per ndryshimet klimatike dhe Dokumenti I Kontributit Kombetar te Percaktuar 2021-2030</w:t>
            </w:r>
          </w:p>
        </w:tc>
        <w:tc>
          <w:tcPr>
            <w:tcW w:w="421" w:type="pct"/>
            <w:tcBorders>
              <w:top w:val="nil"/>
              <w:left w:val="nil"/>
              <w:bottom w:val="single" w:sz="4" w:space="0" w:color="auto"/>
              <w:right w:val="single" w:sz="4" w:space="0" w:color="auto"/>
            </w:tcBorders>
            <w:shd w:val="clear" w:color="auto" w:fill="auto"/>
            <w:vAlign w:val="center"/>
            <w:hideMark/>
          </w:tcPr>
          <w:p w14:paraId="34E26B7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Futja e licences pritet te kete impakt pozitiv ne rregullimin e tregut </w:t>
            </w:r>
          </w:p>
        </w:tc>
      </w:tr>
      <w:tr w:rsidR="001C342D" w:rsidRPr="001C342D" w14:paraId="133A6D3E"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6150D73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12</w:t>
            </w:r>
          </w:p>
        </w:tc>
        <w:tc>
          <w:tcPr>
            <w:tcW w:w="708" w:type="pct"/>
            <w:tcBorders>
              <w:top w:val="nil"/>
              <w:left w:val="nil"/>
              <w:bottom w:val="single" w:sz="4" w:space="0" w:color="auto"/>
              <w:right w:val="single" w:sz="4" w:space="0" w:color="auto"/>
            </w:tcBorders>
            <w:shd w:val="clear" w:color="auto" w:fill="auto"/>
            <w:vAlign w:val="center"/>
            <w:hideMark/>
          </w:tcPr>
          <w:p w14:paraId="755D1DB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miratimin e ndarjes së kuotave vjetore të importit të hidrofluorokarboneve dhe/ose pajisjeve të para-mbushura me hidrofluorokarbone, si dhe kriteret për ndarjen e kuotave"</w:t>
            </w:r>
          </w:p>
        </w:tc>
        <w:tc>
          <w:tcPr>
            <w:tcW w:w="367" w:type="pct"/>
            <w:tcBorders>
              <w:top w:val="nil"/>
              <w:left w:val="nil"/>
              <w:bottom w:val="single" w:sz="4" w:space="0" w:color="auto"/>
              <w:right w:val="single" w:sz="4" w:space="0" w:color="auto"/>
            </w:tcBorders>
            <w:shd w:val="clear" w:color="auto" w:fill="auto"/>
            <w:noWrap/>
            <w:vAlign w:val="center"/>
            <w:hideMark/>
          </w:tcPr>
          <w:p w14:paraId="1048D86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55A3D89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09B8F08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auto" w:fill="auto"/>
            <w:vAlign w:val="center"/>
            <w:hideMark/>
          </w:tcPr>
          <w:p w14:paraId="16F00C1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Ky akt  ka për qëllim vendosjen e mënyrës së ndarjes së kuotave të importit të hidrofluorokarboneve dhe kriteret për ndarjen e kuotave si dhe kushtet, dokumentacioni shoqërues, procedura, afate për dhënien e autorizimit për kuotën , në zbatim të pikës 2 dhe 3 të Nenit 20 te Ligj Nr.2/2023 "Për gazet serrë të Floruara" </w:t>
            </w:r>
          </w:p>
        </w:tc>
        <w:tc>
          <w:tcPr>
            <w:tcW w:w="858" w:type="pct"/>
            <w:tcBorders>
              <w:top w:val="nil"/>
              <w:left w:val="nil"/>
              <w:bottom w:val="single" w:sz="4" w:space="0" w:color="auto"/>
              <w:right w:val="single" w:sz="4" w:space="0" w:color="auto"/>
            </w:tcBorders>
            <w:shd w:val="clear" w:color="auto" w:fill="auto"/>
            <w:vAlign w:val="center"/>
            <w:hideMark/>
          </w:tcPr>
          <w:p w14:paraId="120C85C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Ligji Nr.2/2023 ka për qëllim reduktimin e shkarkimeve të gazeve serrë të fluoruara, në mënyrë që të arrihet mbrojtja e mjedisit nepermjet vendosjes se kufijve sasiorë për hedhjen në treg të hidrofluorokarboneve; </w:t>
            </w:r>
          </w:p>
        </w:tc>
        <w:tc>
          <w:tcPr>
            <w:tcW w:w="251" w:type="pct"/>
            <w:tcBorders>
              <w:top w:val="nil"/>
              <w:left w:val="nil"/>
              <w:bottom w:val="single" w:sz="4" w:space="0" w:color="auto"/>
              <w:right w:val="single" w:sz="4" w:space="0" w:color="auto"/>
            </w:tcBorders>
            <w:shd w:val="clear" w:color="auto" w:fill="auto"/>
            <w:vAlign w:val="center"/>
            <w:hideMark/>
          </w:tcPr>
          <w:p w14:paraId="0575F33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18FFAA5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N/a</w:t>
            </w:r>
          </w:p>
        </w:tc>
        <w:tc>
          <w:tcPr>
            <w:tcW w:w="464" w:type="pct"/>
            <w:tcBorders>
              <w:top w:val="nil"/>
              <w:left w:val="nil"/>
              <w:bottom w:val="single" w:sz="4" w:space="0" w:color="auto"/>
              <w:right w:val="single" w:sz="4" w:space="0" w:color="auto"/>
            </w:tcBorders>
            <w:shd w:val="clear" w:color="auto" w:fill="auto"/>
            <w:vAlign w:val="center"/>
            <w:hideMark/>
          </w:tcPr>
          <w:p w14:paraId="2335C78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421" w:type="pct"/>
            <w:tcBorders>
              <w:top w:val="nil"/>
              <w:left w:val="nil"/>
              <w:bottom w:val="single" w:sz="4" w:space="0" w:color="auto"/>
              <w:right w:val="single" w:sz="4" w:space="0" w:color="auto"/>
            </w:tcBorders>
            <w:shd w:val="clear" w:color="auto" w:fill="auto"/>
            <w:vAlign w:val="center"/>
            <w:hideMark/>
          </w:tcPr>
          <w:p w14:paraId="6133972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Projektvendimi do të ketë ndikim ekonomik dhe mjedisor.</w:t>
            </w:r>
          </w:p>
        </w:tc>
      </w:tr>
      <w:tr w:rsidR="001C342D" w:rsidRPr="001C342D" w14:paraId="7AF2A73C"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437D8E3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13</w:t>
            </w:r>
          </w:p>
        </w:tc>
        <w:tc>
          <w:tcPr>
            <w:tcW w:w="708" w:type="pct"/>
            <w:tcBorders>
              <w:top w:val="nil"/>
              <w:left w:val="nil"/>
              <w:bottom w:val="single" w:sz="4" w:space="0" w:color="auto"/>
              <w:right w:val="single" w:sz="4" w:space="0" w:color="auto"/>
            </w:tcBorders>
            <w:shd w:val="clear" w:color="000000" w:fill="FFFFFF"/>
            <w:vAlign w:val="center"/>
            <w:hideMark/>
          </w:tcPr>
          <w:p w14:paraId="42C65BC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disa shtesa dhe ndryshime në Ligjin nr. 81/2017 "Për Zonat e Mbrojtura"</w:t>
            </w:r>
          </w:p>
        </w:tc>
        <w:tc>
          <w:tcPr>
            <w:tcW w:w="367" w:type="pct"/>
            <w:tcBorders>
              <w:top w:val="nil"/>
              <w:left w:val="nil"/>
              <w:bottom w:val="single" w:sz="4" w:space="0" w:color="auto"/>
              <w:right w:val="single" w:sz="4" w:space="0" w:color="auto"/>
            </w:tcBorders>
            <w:shd w:val="clear" w:color="auto" w:fill="auto"/>
            <w:noWrap/>
            <w:vAlign w:val="center"/>
            <w:hideMark/>
          </w:tcPr>
          <w:p w14:paraId="4EBCB6A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Projektligj</w:t>
            </w:r>
          </w:p>
        </w:tc>
        <w:tc>
          <w:tcPr>
            <w:tcW w:w="354" w:type="pct"/>
            <w:tcBorders>
              <w:top w:val="nil"/>
              <w:left w:val="nil"/>
              <w:bottom w:val="single" w:sz="4" w:space="0" w:color="auto"/>
              <w:right w:val="single" w:sz="4" w:space="0" w:color="auto"/>
            </w:tcBorders>
            <w:shd w:val="clear" w:color="auto" w:fill="auto"/>
            <w:vAlign w:val="center"/>
            <w:hideMark/>
          </w:tcPr>
          <w:p w14:paraId="38B886E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1A1B278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auto" w:fill="auto"/>
            <w:vAlign w:val="center"/>
            <w:hideMark/>
          </w:tcPr>
          <w:p w14:paraId="1EC82BF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Përmirësim dhe plotësim i aktit</w:t>
            </w:r>
          </w:p>
        </w:tc>
        <w:tc>
          <w:tcPr>
            <w:tcW w:w="858" w:type="pct"/>
            <w:tcBorders>
              <w:top w:val="nil"/>
              <w:left w:val="nil"/>
              <w:bottom w:val="single" w:sz="4" w:space="0" w:color="auto"/>
              <w:right w:val="single" w:sz="4" w:space="0" w:color="auto"/>
            </w:tcBorders>
            <w:shd w:val="clear" w:color="auto" w:fill="auto"/>
            <w:vAlign w:val="center"/>
            <w:hideMark/>
          </w:tcPr>
          <w:p w14:paraId="004AF52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Plotësimi i kuadrit ligjor dhe përmirësimi i tij në funksion të identifikimit të problematikave të ndeshura gjatë zbatimit të ligjit nr.81/2017</w:t>
            </w:r>
          </w:p>
        </w:tc>
        <w:tc>
          <w:tcPr>
            <w:tcW w:w="251" w:type="pct"/>
            <w:tcBorders>
              <w:top w:val="nil"/>
              <w:left w:val="nil"/>
              <w:bottom w:val="single" w:sz="4" w:space="0" w:color="auto"/>
              <w:right w:val="single" w:sz="4" w:space="0" w:color="auto"/>
            </w:tcBorders>
            <w:shd w:val="clear" w:color="auto" w:fill="auto"/>
            <w:vAlign w:val="center"/>
            <w:hideMark/>
          </w:tcPr>
          <w:p w14:paraId="56AC886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33F9B51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w:t>
            </w:r>
          </w:p>
        </w:tc>
        <w:tc>
          <w:tcPr>
            <w:tcW w:w="464" w:type="pct"/>
            <w:tcBorders>
              <w:top w:val="nil"/>
              <w:left w:val="nil"/>
              <w:bottom w:val="single" w:sz="4" w:space="0" w:color="auto"/>
              <w:right w:val="single" w:sz="4" w:space="0" w:color="auto"/>
            </w:tcBorders>
            <w:shd w:val="clear" w:color="auto" w:fill="auto"/>
            <w:noWrap/>
            <w:vAlign w:val="center"/>
            <w:hideMark/>
          </w:tcPr>
          <w:p w14:paraId="0DA4AA7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SKZHI</w:t>
            </w:r>
          </w:p>
        </w:tc>
        <w:tc>
          <w:tcPr>
            <w:tcW w:w="421" w:type="pct"/>
            <w:tcBorders>
              <w:top w:val="nil"/>
              <w:left w:val="nil"/>
              <w:bottom w:val="single" w:sz="4" w:space="0" w:color="auto"/>
              <w:right w:val="single" w:sz="4" w:space="0" w:color="auto"/>
            </w:tcBorders>
            <w:shd w:val="clear" w:color="auto" w:fill="auto"/>
            <w:vAlign w:val="center"/>
            <w:hideMark/>
          </w:tcPr>
          <w:p w14:paraId="012B734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w:t>
            </w:r>
          </w:p>
        </w:tc>
      </w:tr>
      <w:tr w:rsidR="001C342D" w:rsidRPr="001C342D" w14:paraId="3B2B921D"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4A06A25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14</w:t>
            </w:r>
          </w:p>
        </w:tc>
        <w:tc>
          <w:tcPr>
            <w:tcW w:w="708" w:type="pct"/>
            <w:tcBorders>
              <w:top w:val="nil"/>
              <w:left w:val="nil"/>
              <w:bottom w:val="single" w:sz="4" w:space="0" w:color="auto"/>
              <w:right w:val="single" w:sz="4" w:space="0" w:color="auto"/>
            </w:tcBorders>
            <w:shd w:val="clear" w:color="auto" w:fill="auto"/>
            <w:vAlign w:val="center"/>
            <w:hideMark/>
          </w:tcPr>
          <w:p w14:paraId="7B8E6DB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një ndryshim në VKM nr. 371/2014 “Për miratimin e rregullave për dorëzimin e mbetjeve të rrezikshme dhe te dokumentit të dorëzimit të tyre”, të ndryshuar</w:t>
            </w:r>
          </w:p>
        </w:tc>
        <w:tc>
          <w:tcPr>
            <w:tcW w:w="367" w:type="pct"/>
            <w:tcBorders>
              <w:top w:val="nil"/>
              <w:left w:val="nil"/>
              <w:bottom w:val="single" w:sz="4" w:space="0" w:color="auto"/>
              <w:right w:val="single" w:sz="4" w:space="0" w:color="auto"/>
            </w:tcBorders>
            <w:shd w:val="clear" w:color="auto" w:fill="auto"/>
            <w:noWrap/>
            <w:vAlign w:val="center"/>
            <w:hideMark/>
          </w:tcPr>
          <w:p w14:paraId="221419B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782A59D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0BC666D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auto" w:fill="auto"/>
            <w:vAlign w:val="center"/>
            <w:hideMark/>
          </w:tcPr>
          <w:p w14:paraId="55638A1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Shkurtimi i afatit për pajisje me Kod Unik për  mbetjet e rrezikshme</w:t>
            </w:r>
          </w:p>
        </w:tc>
        <w:tc>
          <w:tcPr>
            <w:tcW w:w="858" w:type="pct"/>
            <w:tcBorders>
              <w:top w:val="nil"/>
              <w:left w:val="nil"/>
              <w:bottom w:val="single" w:sz="4" w:space="0" w:color="auto"/>
              <w:right w:val="single" w:sz="4" w:space="0" w:color="auto"/>
            </w:tcBorders>
            <w:shd w:val="clear" w:color="auto" w:fill="auto"/>
            <w:vAlign w:val="center"/>
            <w:hideMark/>
          </w:tcPr>
          <w:p w14:paraId="66B55B3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Rishikim I procedures ne funksion te shkurtimit te afatit të trajtimit , në kuadër të procesit të derregullimit</w:t>
            </w:r>
          </w:p>
        </w:tc>
        <w:tc>
          <w:tcPr>
            <w:tcW w:w="251" w:type="pct"/>
            <w:tcBorders>
              <w:top w:val="nil"/>
              <w:left w:val="nil"/>
              <w:bottom w:val="single" w:sz="4" w:space="0" w:color="auto"/>
              <w:right w:val="single" w:sz="4" w:space="0" w:color="auto"/>
            </w:tcBorders>
            <w:shd w:val="clear" w:color="auto" w:fill="auto"/>
            <w:vAlign w:val="center"/>
            <w:hideMark/>
          </w:tcPr>
          <w:p w14:paraId="567A068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225A55C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  Jo</w:t>
            </w:r>
          </w:p>
        </w:tc>
        <w:tc>
          <w:tcPr>
            <w:tcW w:w="464" w:type="pct"/>
            <w:tcBorders>
              <w:top w:val="nil"/>
              <w:left w:val="nil"/>
              <w:bottom w:val="single" w:sz="4" w:space="0" w:color="auto"/>
              <w:right w:val="single" w:sz="4" w:space="0" w:color="auto"/>
            </w:tcBorders>
            <w:shd w:val="clear" w:color="auto" w:fill="auto"/>
            <w:vAlign w:val="center"/>
            <w:hideMark/>
          </w:tcPr>
          <w:p w14:paraId="7E9A2F4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Dokumenti i Politikave Strategjike dhe Plani Kombëtar i Menaxhimit të Integruar të Mbetjeve 2020-2035</w:t>
            </w:r>
          </w:p>
        </w:tc>
        <w:tc>
          <w:tcPr>
            <w:tcW w:w="421" w:type="pct"/>
            <w:tcBorders>
              <w:top w:val="nil"/>
              <w:left w:val="nil"/>
              <w:bottom w:val="single" w:sz="4" w:space="0" w:color="auto"/>
              <w:right w:val="single" w:sz="4" w:space="0" w:color="auto"/>
            </w:tcBorders>
            <w:shd w:val="clear" w:color="auto" w:fill="auto"/>
            <w:vAlign w:val="center"/>
            <w:hideMark/>
          </w:tcPr>
          <w:p w14:paraId="7C148B2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Shkurtohen afatet e pajisjes me Kodin Unik</w:t>
            </w:r>
          </w:p>
        </w:tc>
      </w:tr>
      <w:tr w:rsidR="001C342D" w:rsidRPr="001C342D" w14:paraId="451B4852"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119143D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15</w:t>
            </w:r>
          </w:p>
        </w:tc>
        <w:tc>
          <w:tcPr>
            <w:tcW w:w="708" w:type="pct"/>
            <w:tcBorders>
              <w:top w:val="nil"/>
              <w:left w:val="nil"/>
              <w:bottom w:val="single" w:sz="4" w:space="0" w:color="auto"/>
              <w:right w:val="single" w:sz="4" w:space="0" w:color="auto"/>
            </w:tcBorders>
            <w:shd w:val="clear" w:color="auto" w:fill="auto"/>
            <w:vAlign w:val="center"/>
            <w:hideMark/>
          </w:tcPr>
          <w:p w14:paraId="0CE5739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një ndryshim në VKM Nr. 229, datë 23.04.2014, “Për miratimin e rregullave për transferimin e mbetjeve jo të rrezikshme dhe informacionit që duhet të përfshihet në dokumentin e transferimit", i ndryshuar</w:t>
            </w:r>
          </w:p>
        </w:tc>
        <w:tc>
          <w:tcPr>
            <w:tcW w:w="367" w:type="pct"/>
            <w:tcBorders>
              <w:top w:val="nil"/>
              <w:left w:val="nil"/>
              <w:bottom w:val="single" w:sz="4" w:space="0" w:color="auto"/>
              <w:right w:val="single" w:sz="4" w:space="0" w:color="auto"/>
            </w:tcBorders>
            <w:shd w:val="clear" w:color="auto" w:fill="auto"/>
            <w:noWrap/>
            <w:vAlign w:val="center"/>
            <w:hideMark/>
          </w:tcPr>
          <w:p w14:paraId="5991315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000000" w:fill="FFFFFF"/>
            <w:vAlign w:val="center"/>
            <w:hideMark/>
          </w:tcPr>
          <w:p w14:paraId="321DBDC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3A0559F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000000" w:fill="FFFFFF"/>
            <w:vAlign w:val="center"/>
            <w:hideMark/>
          </w:tcPr>
          <w:p w14:paraId="7A597C8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Shkurtim i afatit për pajisjen me Kod Unik për transferimin e mbetjeve jo të rrezikshme</w:t>
            </w:r>
          </w:p>
        </w:tc>
        <w:tc>
          <w:tcPr>
            <w:tcW w:w="858" w:type="pct"/>
            <w:tcBorders>
              <w:top w:val="nil"/>
              <w:left w:val="nil"/>
              <w:bottom w:val="single" w:sz="4" w:space="0" w:color="auto"/>
              <w:right w:val="single" w:sz="4" w:space="0" w:color="auto"/>
            </w:tcBorders>
            <w:shd w:val="clear" w:color="000000" w:fill="FFFFFF"/>
            <w:vAlign w:val="center"/>
            <w:hideMark/>
          </w:tcPr>
          <w:p w14:paraId="560AFD1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Rishikim i procedures ne funksion te shkurtimit te afatit të trajtimit , në kuadër të procesit të derregullimit</w:t>
            </w:r>
          </w:p>
        </w:tc>
        <w:tc>
          <w:tcPr>
            <w:tcW w:w="251" w:type="pct"/>
            <w:tcBorders>
              <w:top w:val="nil"/>
              <w:left w:val="nil"/>
              <w:bottom w:val="single" w:sz="4" w:space="0" w:color="auto"/>
              <w:right w:val="single" w:sz="4" w:space="0" w:color="auto"/>
            </w:tcBorders>
            <w:shd w:val="clear" w:color="000000" w:fill="FFFFFF"/>
            <w:vAlign w:val="center"/>
            <w:hideMark/>
          </w:tcPr>
          <w:p w14:paraId="7E9B4DA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26FF607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  Jo</w:t>
            </w:r>
          </w:p>
        </w:tc>
        <w:tc>
          <w:tcPr>
            <w:tcW w:w="464" w:type="pct"/>
            <w:tcBorders>
              <w:top w:val="nil"/>
              <w:left w:val="nil"/>
              <w:bottom w:val="single" w:sz="4" w:space="0" w:color="auto"/>
              <w:right w:val="single" w:sz="4" w:space="0" w:color="auto"/>
            </w:tcBorders>
            <w:shd w:val="clear" w:color="auto" w:fill="auto"/>
            <w:vAlign w:val="center"/>
            <w:hideMark/>
          </w:tcPr>
          <w:p w14:paraId="2E2418F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Dokumenti i Politikave Strategjike dhe Plani Kombëtar i Menaxhimit të Integruar të Mbetjeve 2020-2035</w:t>
            </w:r>
          </w:p>
        </w:tc>
        <w:tc>
          <w:tcPr>
            <w:tcW w:w="421" w:type="pct"/>
            <w:tcBorders>
              <w:top w:val="nil"/>
              <w:left w:val="nil"/>
              <w:bottom w:val="single" w:sz="4" w:space="0" w:color="auto"/>
              <w:right w:val="single" w:sz="4" w:space="0" w:color="auto"/>
            </w:tcBorders>
            <w:shd w:val="clear" w:color="auto" w:fill="auto"/>
            <w:vAlign w:val="center"/>
            <w:hideMark/>
          </w:tcPr>
          <w:p w14:paraId="39DF430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Shkurtohen afatet e pajisjes me Kodin Unik</w:t>
            </w:r>
          </w:p>
        </w:tc>
      </w:tr>
      <w:tr w:rsidR="001C342D" w:rsidRPr="001C342D" w14:paraId="69F6C394"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42B2576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16</w:t>
            </w:r>
          </w:p>
        </w:tc>
        <w:tc>
          <w:tcPr>
            <w:tcW w:w="708" w:type="pct"/>
            <w:tcBorders>
              <w:top w:val="nil"/>
              <w:left w:val="nil"/>
              <w:bottom w:val="single" w:sz="4" w:space="0" w:color="auto"/>
              <w:right w:val="single" w:sz="4" w:space="0" w:color="auto"/>
            </w:tcBorders>
            <w:shd w:val="clear" w:color="auto" w:fill="auto"/>
            <w:vAlign w:val="center"/>
            <w:hideMark/>
          </w:tcPr>
          <w:p w14:paraId="4ECF7CD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disa ndryshime në VKM nr. 285, datë 29.4.2022 “Për kriteret e vendosjes dhe të funksionimit të stacioneve sezonale të ankorimit/bregëzimit”</w:t>
            </w:r>
          </w:p>
        </w:tc>
        <w:tc>
          <w:tcPr>
            <w:tcW w:w="367" w:type="pct"/>
            <w:tcBorders>
              <w:top w:val="nil"/>
              <w:left w:val="nil"/>
              <w:bottom w:val="single" w:sz="4" w:space="0" w:color="auto"/>
              <w:right w:val="single" w:sz="4" w:space="0" w:color="auto"/>
            </w:tcBorders>
            <w:shd w:val="clear" w:color="auto" w:fill="auto"/>
            <w:noWrap/>
            <w:vAlign w:val="center"/>
            <w:hideMark/>
          </w:tcPr>
          <w:p w14:paraId="08F5BC1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563EAD9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 xml:space="preserve">Ministri i Turizmit dhe Mjedisit </w:t>
            </w:r>
          </w:p>
        </w:tc>
        <w:tc>
          <w:tcPr>
            <w:tcW w:w="327" w:type="pct"/>
            <w:tcBorders>
              <w:top w:val="nil"/>
              <w:left w:val="nil"/>
              <w:bottom w:val="single" w:sz="4" w:space="0" w:color="auto"/>
              <w:right w:val="single" w:sz="4" w:space="0" w:color="auto"/>
            </w:tcBorders>
            <w:shd w:val="clear" w:color="auto" w:fill="auto"/>
            <w:vAlign w:val="center"/>
            <w:hideMark/>
          </w:tcPr>
          <w:p w14:paraId="3D95E91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w:t>
            </w:r>
          </w:p>
        </w:tc>
        <w:tc>
          <w:tcPr>
            <w:tcW w:w="778" w:type="pct"/>
            <w:tcBorders>
              <w:top w:val="nil"/>
              <w:left w:val="nil"/>
              <w:bottom w:val="single" w:sz="4" w:space="0" w:color="auto"/>
              <w:right w:val="single" w:sz="4" w:space="0" w:color="auto"/>
            </w:tcBorders>
            <w:shd w:val="clear" w:color="auto" w:fill="auto"/>
            <w:vAlign w:val="center"/>
            <w:hideMark/>
          </w:tcPr>
          <w:p w14:paraId="3B1B3D5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 xml:space="preserve">Rishikimi I Vendimit në kuadër të procesit të riinxhinierimit dhe derregullimit </w:t>
            </w:r>
          </w:p>
        </w:tc>
        <w:tc>
          <w:tcPr>
            <w:tcW w:w="858" w:type="pct"/>
            <w:tcBorders>
              <w:top w:val="nil"/>
              <w:left w:val="nil"/>
              <w:bottom w:val="single" w:sz="4" w:space="0" w:color="auto"/>
              <w:right w:val="single" w:sz="4" w:space="0" w:color="auto"/>
            </w:tcBorders>
            <w:shd w:val="clear" w:color="auto" w:fill="auto"/>
            <w:vAlign w:val="center"/>
            <w:hideMark/>
          </w:tcPr>
          <w:p w14:paraId="1F0E1338"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Ofrimi i shërbimit online, rishikimi I dokumentacionit në funksion të heqjes dhe rishikimi i afateve të trajtimit të kërkesës</w:t>
            </w:r>
          </w:p>
        </w:tc>
        <w:tc>
          <w:tcPr>
            <w:tcW w:w="251" w:type="pct"/>
            <w:tcBorders>
              <w:top w:val="nil"/>
              <w:left w:val="nil"/>
              <w:bottom w:val="single" w:sz="4" w:space="0" w:color="auto"/>
              <w:right w:val="single" w:sz="4" w:space="0" w:color="auto"/>
            </w:tcBorders>
            <w:shd w:val="clear" w:color="000000" w:fill="FFFFFF"/>
            <w:vAlign w:val="center"/>
            <w:hideMark/>
          </w:tcPr>
          <w:p w14:paraId="7A041D8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0AEE1AF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464" w:type="pct"/>
            <w:tcBorders>
              <w:top w:val="nil"/>
              <w:left w:val="nil"/>
              <w:bottom w:val="single" w:sz="4" w:space="0" w:color="auto"/>
              <w:right w:val="single" w:sz="4" w:space="0" w:color="auto"/>
            </w:tcBorders>
            <w:shd w:val="clear" w:color="000000" w:fill="FFFFFF"/>
            <w:vAlign w:val="center"/>
            <w:hideMark/>
          </w:tcPr>
          <w:p w14:paraId="6B8C40E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Ky projektakt është në përputhje me Strategjinë Kombëtare të Zhvillimit të Qëndrueshëm të Turizmit  2019-2023, me Objektivin Politik 1: Nxitje e Investimeve Publike dhe Private, me aktivitetin "Kuadër ligjor miqësor me biznesin për të përshpejtuar zhvillimin e sektorit" dhe Objektivin Politik 2: Përmirësimi i Shërbimeve Turistike dhe objektivin specifik 2.3 Hartimi i kuadrit rregullator dhe institucional për zhvillimin e shërbimeve dhe mënyrën e operimit të Porteve Turistike dhe aktiviteteve në funksion të tyre</w:t>
            </w:r>
          </w:p>
        </w:tc>
        <w:tc>
          <w:tcPr>
            <w:tcW w:w="421" w:type="pct"/>
            <w:tcBorders>
              <w:top w:val="nil"/>
              <w:left w:val="nil"/>
              <w:bottom w:val="single" w:sz="4" w:space="0" w:color="auto"/>
              <w:right w:val="single" w:sz="4" w:space="0" w:color="auto"/>
            </w:tcBorders>
            <w:shd w:val="clear" w:color="auto" w:fill="auto"/>
            <w:vAlign w:val="center"/>
            <w:hideMark/>
          </w:tcPr>
          <w:p w14:paraId="7EA3B8D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Po</w:t>
            </w:r>
          </w:p>
        </w:tc>
      </w:tr>
      <w:tr w:rsidR="001C342D" w:rsidRPr="001C342D" w14:paraId="522FAABE"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3AB9FCE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17</w:t>
            </w:r>
          </w:p>
        </w:tc>
        <w:tc>
          <w:tcPr>
            <w:tcW w:w="708" w:type="pct"/>
            <w:tcBorders>
              <w:top w:val="nil"/>
              <w:left w:val="nil"/>
              <w:bottom w:val="single" w:sz="4" w:space="0" w:color="auto"/>
              <w:right w:val="single" w:sz="4" w:space="0" w:color="auto"/>
            </w:tcBorders>
            <w:shd w:val="clear" w:color="000000" w:fill="FFFFFF"/>
            <w:vAlign w:val="center"/>
            <w:hideMark/>
          </w:tcPr>
          <w:p w14:paraId="0C26FDB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 xml:space="preserve">"Për miratimin e rregullave të detajuara për organizimin dhe funksionimin e regjistrit, produktet dhe pajisjet përkatëse që regjistrohen, detyrimet e sipërmarrësve për të raportuar, si dhe niveli i aksesueshmërisë së regjistrit "   </w:t>
            </w:r>
          </w:p>
        </w:tc>
        <w:tc>
          <w:tcPr>
            <w:tcW w:w="367" w:type="pct"/>
            <w:tcBorders>
              <w:top w:val="nil"/>
              <w:left w:val="nil"/>
              <w:bottom w:val="single" w:sz="4" w:space="0" w:color="auto"/>
              <w:right w:val="single" w:sz="4" w:space="0" w:color="auto"/>
            </w:tcBorders>
            <w:shd w:val="clear" w:color="auto" w:fill="auto"/>
            <w:noWrap/>
            <w:vAlign w:val="center"/>
            <w:hideMark/>
          </w:tcPr>
          <w:p w14:paraId="4EE0DF66"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23E73E8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79574950"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III</w:t>
            </w:r>
          </w:p>
        </w:tc>
        <w:tc>
          <w:tcPr>
            <w:tcW w:w="778" w:type="pct"/>
            <w:tcBorders>
              <w:top w:val="nil"/>
              <w:left w:val="nil"/>
              <w:bottom w:val="single" w:sz="4" w:space="0" w:color="auto"/>
              <w:right w:val="single" w:sz="4" w:space="0" w:color="auto"/>
            </w:tcBorders>
            <w:shd w:val="clear" w:color="000000" w:fill="FFFFFF"/>
            <w:vAlign w:val="center"/>
            <w:hideMark/>
          </w:tcPr>
          <w:p w14:paraId="24A474B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Ky projektvendim del ne zbatim te pikës 4, neni 16 të ligjit nr.2/2023 "Për gazet serrë të fluoruar", dhe plotëson kuadrin nënligjor në këtë fushë</w:t>
            </w:r>
          </w:p>
        </w:tc>
        <w:tc>
          <w:tcPr>
            <w:tcW w:w="858" w:type="pct"/>
            <w:tcBorders>
              <w:top w:val="nil"/>
              <w:left w:val="nil"/>
              <w:bottom w:val="single" w:sz="4" w:space="0" w:color="auto"/>
              <w:right w:val="single" w:sz="4" w:space="0" w:color="auto"/>
            </w:tcBorders>
            <w:shd w:val="clear" w:color="auto" w:fill="auto"/>
            <w:vAlign w:val="center"/>
            <w:hideMark/>
          </w:tcPr>
          <w:p w14:paraId="541DF3E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Me hyrjen në fuqi të Ligjit nr.2/2023 "Për gazet serrrë të floruara", Agjencia Kombëtare e Mjedisit krijon një bazë të dhënash në regjistrin elektronik për gazet serrë të fluoruara në përputhje me standardet, rregullat dhe procedurat e</w:t>
            </w:r>
            <w:r w:rsidRPr="001C342D">
              <w:rPr>
                <w:rFonts w:ascii="Arial" w:eastAsia="Times New Roman" w:hAnsi="Arial" w:cs="Arial"/>
                <w:color w:val="000000"/>
                <w:sz w:val="12"/>
                <w:szCs w:val="12"/>
                <w:bdr w:val="none" w:sz="0" w:space="0" w:color="auto"/>
              </w:rPr>
              <w:br/>
              <w:t>përcaktuara në legjislacionin në fuqi për bazat e të dhënave shtetërore.</w:t>
            </w:r>
            <w:r w:rsidRPr="001C342D">
              <w:rPr>
                <w:rFonts w:ascii="Arial" w:eastAsia="Times New Roman" w:hAnsi="Arial" w:cs="Arial"/>
                <w:color w:val="000000"/>
                <w:sz w:val="12"/>
                <w:szCs w:val="12"/>
                <w:bdr w:val="none" w:sz="0" w:space="0" w:color="auto"/>
              </w:rPr>
              <w:br/>
              <w:t>2. Regjistrimi në këtë regjistër është i detyrueshëm për:</w:t>
            </w:r>
            <w:r w:rsidRPr="001C342D">
              <w:rPr>
                <w:rFonts w:ascii="Arial" w:eastAsia="Times New Roman" w:hAnsi="Arial" w:cs="Arial"/>
                <w:color w:val="000000"/>
                <w:sz w:val="12"/>
                <w:szCs w:val="12"/>
                <w:bdr w:val="none" w:sz="0" w:space="0" w:color="auto"/>
              </w:rPr>
              <w:br/>
              <w:t>a) prodhuesit dhe importuesit, të cilëve u është alokuar një kuotë e përcaktuar për vendosjen në treg të hidrofluorokarboneve;</w:t>
            </w:r>
            <w:r w:rsidRPr="001C342D">
              <w:rPr>
                <w:rFonts w:ascii="Arial" w:eastAsia="Times New Roman" w:hAnsi="Arial" w:cs="Arial"/>
                <w:color w:val="000000"/>
                <w:sz w:val="12"/>
                <w:szCs w:val="12"/>
                <w:bdr w:val="none" w:sz="0" w:space="0" w:color="auto"/>
              </w:rPr>
              <w:br/>
              <w:t>b) sipërmarrësit, të cilëve u është transferuar kuota e hidrofluorokarboneve;</w:t>
            </w:r>
            <w:r w:rsidRPr="001C342D">
              <w:rPr>
                <w:rFonts w:ascii="Arial" w:eastAsia="Times New Roman" w:hAnsi="Arial" w:cs="Arial"/>
                <w:color w:val="000000"/>
                <w:sz w:val="12"/>
                <w:szCs w:val="12"/>
                <w:bdr w:val="none" w:sz="0" w:space="0" w:color="auto"/>
              </w:rPr>
              <w:br/>
              <w:t>c) prodhuesit dhe importuesit që furnizojnë ose sipërmarrës që furnizohen me hidrofluorokarbone</w:t>
            </w:r>
            <w:r w:rsidRPr="001C342D">
              <w:rPr>
                <w:rFonts w:ascii="Arial" w:eastAsia="Times New Roman" w:hAnsi="Arial" w:cs="Arial"/>
                <w:color w:val="000000"/>
                <w:sz w:val="12"/>
                <w:szCs w:val="12"/>
                <w:bdr w:val="none" w:sz="0" w:space="0" w:color="auto"/>
              </w:rPr>
              <w:br/>
              <w:t>sipas pikave 3 dhe 4 të nenit 14 të këtij ligji;</w:t>
            </w:r>
            <w:r w:rsidRPr="001C342D">
              <w:rPr>
                <w:rFonts w:ascii="Arial" w:eastAsia="Times New Roman" w:hAnsi="Arial" w:cs="Arial"/>
                <w:color w:val="000000"/>
                <w:sz w:val="12"/>
                <w:szCs w:val="12"/>
                <w:bdr w:val="none" w:sz="0" w:space="0" w:color="auto"/>
              </w:rPr>
              <w:br/>
              <w:t>ç) importuesit e pajisjeve të parambushura kur hidrofluorokarbonet e përmbajtura në pajisje nuk</w:t>
            </w:r>
            <w:r w:rsidRPr="001C342D">
              <w:rPr>
                <w:rFonts w:ascii="Arial" w:eastAsia="Times New Roman" w:hAnsi="Arial" w:cs="Arial"/>
                <w:color w:val="000000"/>
                <w:sz w:val="12"/>
                <w:szCs w:val="12"/>
                <w:bdr w:val="none" w:sz="0" w:space="0" w:color="auto"/>
              </w:rPr>
              <w:br/>
              <w:t>janë vendosur në treg para mbushjes së pajisjes sipas nenit 14 të këtij ligji;</w:t>
            </w:r>
            <w:r w:rsidRPr="001C342D">
              <w:rPr>
                <w:rFonts w:ascii="Arial" w:eastAsia="Times New Roman" w:hAnsi="Arial" w:cs="Arial"/>
                <w:color w:val="000000"/>
                <w:sz w:val="12"/>
                <w:szCs w:val="12"/>
                <w:bdr w:val="none" w:sz="0" w:space="0" w:color="auto"/>
              </w:rPr>
              <w:br/>
              <w:t>d) informimin e prodhuesve dhe importuesve për kuotat e alokuara dhe për çdo ndryshim në këto</w:t>
            </w:r>
            <w:r w:rsidRPr="001C342D">
              <w:rPr>
                <w:rFonts w:ascii="Arial" w:eastAsia="Times New Roman" w:hAnsi="Arial" w:cs="Arial"/>
                <w:color w:val="000000"/>
                <w:sz w:val="12"/>
                <w:szCs w:val="12"/>
                <w:bdr w:val="none" w:sz="0" w:space="0" w:color="auto"/>
              </w:rPr>
              <w:br/>
              <w:t>kuota.</w:t>
            </w:r>
          </w:p>
        </w:tc>
        <w:tc>
          <w:tcPr>
            <w:tcW w:w="251" w:type="pct"/>
            <w:tcBorders>
              <w:top w:val="nil"/>
              <w:left w:val="nil"/>
              <w:bottom w:val="single" w:sz="4" w:space="0" w:color="auto"/>
              <w:right w:val="single" w:sz="4" w:space="0" w:color="auto"/>
            </w:tcBorders>
            <w:shd w:val="clear" w:color="auto" w:fill="auto"/>
            <w:vAlign w:val="center"/>
            <w:hideMark/>
          </w:tcPr>
          <w:p w14:paraId="1C23E9C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28CD0603"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N/a</w:t>
            </w:r>
          </w:p>
        </w:tc>
        <w:tc>
          <w:tcPr>
            <w:tcW w:w="464" w:type="pct"/>
            <w:tcBorders>
              <w:top w:val="nil"/>
              <w:left w:val="nil"/>
              <w:bottom w:val="single" w:sz="4" w:space="0" w:color="auto"/>
              <w:right w:val="single" w:sz="4" w:space="0" w:color="auto"/>
            </w:tcBorders>
            <w:shd w:val="clear" w:color="auto" w:fill="auto"/>
            <w:vAlign w:val="center"/>
            <w:hideMark/>
          </w:tcPr>
          <w:p w14:paraId="5C6C5ED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Projektvendimi është në një linjë me Kontributin Kombëtar të Përcaktuar, i rishikuar, drejtuar Konventës Kuadër të Kombeve të Bashkuara për Ndryshimet Klimatike.</w:t>
            </w:r>
          </w:p>
        </w:tc>
        <w:tc>
          <w:tcPr>
            <w:tcW w:w="421" w:type="pct"/>
            <w:tcBorders>
              <w:top w:val="nil"/>
              <w:left w:val="nil"/>
              <w:bottom w:val="single" w:sz="4" w:space="0" w:color="auto"/>
              <w:right w:val="single" w:sz="4" w:space="0" w:color="auto"/>
            </w:tcBorders>
            <w:shd w:val="clear" w:color="auto" w:fill="auto"/>
            <w:vAlign w:val="center"/>
            <w:hideMark/>
          </w:tcPr>
          <w:p w14:paraId="447EDEA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Projektvendimi do të ketë ndikim ekonomik dhe mjedisor.</w:t>
            </w:r>
          </w:p>
        </w:tc>
      </w:tr>
      <w:tr w:rsidR="001C342D" w:rsidRPr="001C342D" w14:paraId="03765128"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vAlign w:val="center"/>
            <w:hideMark/>
          </w:tcPr>
          <w:p w14:paraId="09B6163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18</w:t>
            </w:r>
          </w:p>
        </w:tc>
        <w:tc>
          <w:tcPr>
            <w:tcW w:w="708" w:type="pct"/>
            <w:tcBorders>
              <w:top w:val="nil"/>
              <w:left w:val="nil"/>
              <w:bottom w:val="single" w:sz="4" w:space="0" w:color="auto"/>
              <w:right w:val="single" w:sz="4" w:space="0" w:color="auto"/>
            </w:tcBorders>
            <w:shd w:val="clear" w:color="auto" w:fill="auto"/>
            <w:vAlign w:val="center"/>
            <w:hideMark/>
          </w:tcPr>
          <w:p w14:paraId="297EF1A1"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 xml:space="preserve">"Për disa ndryshime në vendimin e Këshillit të Ministrave  Nr.692 datë 05.10.2016  "Për miratimin e rregullores "Kriteret për pajisjen me certifikatë për ushtrimin e veprimtarisë së udhërrëfyesit turistik, detyrat, përgjegjësitë dhe kodin e etikës së tyre", i ndryshuar            </w:t>
            </w:r>
          </w:p>
        </w:tc>
        <w:tc>
          <w:tcPr>
            <w:tcW w:w="367" w:type="pct"/>
            <w:tcBorders>
              <w:top w:val="nil"/>
              <w:left w:val="nil"/>
              <w:bottom w:val="single" w:sz="4" w:space="0" w:color="auto"/>
              <w:right w:val="single" w:sz="4" w:space="0" w:color="auto"/>
            </w:tcBorders>
            <w:shd w:val="clear" w:color="auto" w:fill="auto"/>
            <w:noWrap/>
            <w:vAlign w:val="center"/>
            <w:hideMark/>
          </w:tcPr>
          <w:p w14:paraId="0608896E"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108CEF9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09CF66C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III</w:t>
            </w:r>
          </w:p>
        </w:tc>
        <w:tc>
          <w:tcPr>
            <w:tcW w:w="778" w:type="pct"/>
            <w:tcBorders>
              <w:top w:val="nil"/>
              <w:left w:val="nil"/>
              <w:bottom w:val="single" w:sz="4" w:space="0" w:color="auto"/>
              <w:right w:val="single" w:sz="4" w:space="0" w:color="auto"/>
            </w:tcBorders>
            <w:shd w:val="clear" w:color="auto" w:fill="auto"/>
            <w:vAlign w:val="center"/>
            <w:hideMark/>
          </w:tcPr>
          <w:p w14:paraId="74A645E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Rishikimi i vendimit në kuadër të përqasjes me Kodin e Procedurës Administrative përsa i përket mosplotësimit të dokumentacionit dhe rishikim i afateve të trajtimit të kërkesës  si dhe ndryshimet për shkak të ndryshimeve ligjore</w:t>
            </w:r>
          </w:p>
        </w:tc>
        <w:tc>
          <w:tcPr>
            <w:tcW w:w="858" w:type="pct"/>
            <w:tcBorders>
              <w:top w:val="nil"/>
              <w:left w:val="nil"/>
              <w:bottom w:val="single" w:sz="4" w:space="0" w:color="auto"/>
              <w:right w:val="single" w:sz="4" w:space="0" w:color="auto"/>
            </w:tcBorders>
            <w:shd w:val="clear" w:color="auto" w:fill="auto"/>
            <w:vAlign w:val="center"/>
            <w:hideMark/>
          </w:tcPr>
          <w:p w14:paraId="29D5249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Lehtësim procedurash duke e përshtatur me KPrAdm dhe shkurtim afati të shqyrtimit të aplikimit, si dhe heqja e afatit të certifikatës dhe rinovimi i saj</w:t>
            </w:r>
          </w:p>
        </w:tc>
        <w:tc>
          <w:tcPr>
            <w:tcW w:w="251" w:type="pct"/>
            <w:tcBorders>
              <w:top w:val="nil"/>
              <w:left w:val="nil"/>
              <w:bottom w:val="single" w:sz="4" w:space="0" w:color="auto"/>
              <w:right w:val="single" w:sz="4" w:space="0" w:color="auto"/>
            </w:tcBorders>
            <w:shd w:val="clear" w:color="auto" w:fill="auto"/>
            <w:vAlign w:val="center"/>
            <w:hideMark/>
          </w:tcPr>
          <w:p w14:paraId="70EA3F3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658863A4"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Jo</w:t>
            </w:r>
          </w:p>
        </w:tc>
        <w:tc>
          <w:tcPr>
            <w:tcW w:w="464" w:type="pct"/>
            <w:tcBorders>
              <w:top w:val="nil"/>
              <w:left w:val="nil"/>
              <w:bottom w:val="single" w:sz="4" w:space="0" w:color="auto"/>
              <w:right w:val="single" w:sz="4" w:space="0" w:color="auto"/>
            </w:tcBorders>
            <w:shd w:val="clear" w:color="000000" w:fill="FFFFFF"/>
            <w:vAlign w:val="center"/>
            <w:hideMark/>
          </w:tcPr>
          <w:p w14:paraId="3C63872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Ky projektakt është në përputhje me Strategjinë Kombëtare të Zhvillimit të Qëndrueshëm të Turizmit  2019-2023, me  Objektivin Politik 2: Përmirësimi i Shërbimeve Turistike dhe objektivin specifik 2.2 Krijimi i Kuadrit Rregullator dhe Institucional për zhvillimin e arsimit</w:t>
            </w:r>
            <w:r w:rsidRPr="001C342D">
              <w:rPr>
                <w:rFonts w:ascii="Arial" w:eastAsia="Times New Roman" w:hAnsi="Arial" w:cs="Arial"/>
                <w:sz w:val="12"/>
                <w:szCs w:val="12"/>
                <w:bdr w:val="none" w:sz="0" w:space="0" w:color="auto"/>
              </w:rPr>
              <w:br/>
              <w:t>profesional dhe kualifikimet në turizëm, si dhe trajnimi i burimeve njerëzore të</w:t>
            </w:r>
            <w:r w:rsidRPr="001C342D">
              <w:rPr>
                <w:rFonts w:ascii="Arial" w:eastAsia="Times New Roman" w:hAnsi="Arial" w:cs="Arial"/>
                <w:sz w:val="12"/>
                <w:szCs w:val="12"/>
                <w:bdr w:val="none" w:sz="0" w:space="0" w:color="auto"/>
              </w:rPr>
              <w:br/>
              <w:t>angazhuara në sektor</w:t>
            </w:r>
          </w:p>
        </w:tc>
        <w:tc>
          <w:tcPr>
            <w:tcW w:w="421" w:type="pct"/>
            <w:tcBorders>
              <w:top w:val="nil"/>
              <w:left w:val="nil"/>
              <w:bottom w:val="single" w:sz="4" w:space="0" w:color="auto"/>
              <w:right w:val="single" w:sz="4" w:space="0" w:color="auto"/>
            </w:tcBorders>
            <w:shd w:val="clear" w:color="000000" w:fill="FFFFFF"/>
            <w:vAlign w:val="center"/>
            <w:hideMark/>
          </w:tcPr>
          <w:p w14:paraId="5145F28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sz w:val="12"/>
                <w:szCs w:val="12"/>
                <w:bdr w:val="none" w:sz="0" w:space="0" w:color="auto"/>
              </w:rPr>
            </w:pPr>
            <w:r w:rsidRPr="001C342D">
              <w:rPr>
                <w:rFonts w:ascii="Arial" w:eastAsia="Times New Roman" w:hAnsi="Arial" w:cs="Arial"/>
                <w:sz w:val="12"/>
                <w:szCs w:val="12"/>
                <w:bdr w:val="none" w:sz="0" w:space="0" w:color="auto"/>
              </w:rPr>
              <w:t>Po</w:t>
            </w:r>
          </w:p>
        </w:tc>
      </w:tr>
      <w:tr w:rsidR="001C342D" w:rsidRPr="001C342D" w14:paraId="5E89F520" w14:textId="77777777" w:rsidTr="001C342D">
        <w:trPr>
          <w:trHeight w:val="180"/>
          <w:jc w:val="center"/>
        </w:trPr>
        <w:tc>
          <w:tcPr>
            <w:tcW w:w="97" w:type="pct"/>
            <w:tcBorders>
              <w:top w:val="nil"/>
              <w:left w:val="single" w:sz="4" w:space="0" w:color="auto"/>
              <w:bottom w:val="single" w:sz="4" w:space="0" w:color="auto"/>
              <w:right w:val="single" w:sz="4" w:space="0" w:color="auto"/>
            </w:tcBorders>
            <w:shd w:val="clear" w:color="auto" w:fill="auto"/>
            <w:noWrap/>
            <w:vAlign w:val="center"/>
            <w:hideMark/>
          </w:tcPr>
          <w:p w14:paraId="6D1427C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19</w:t>
            </w:r>
          </w:p>
        </w:tc>
        <w:tc>
          <w:tcPr>
            <w:tcW w:w="708" w:type="pct"/>
            <w:tcBorders>
              <w:top w:val="nil"/>
              <w:left w:val="nil"/>
              <w:bottom w:val="single" w:sz="4" w:space="0" w:color="auto"/>
              <w:right w:val="single" w:sz="4" w:space="0" w:color="auto"/>
            </w:tcBorders>
            <w:shd w:val="clear" w:color="auto" w:fill="auto"/>
            <w:vAlign w:val="center"/>
            <w:hideMark/>
          </w:tcPr>
          <w:p w14:paraId="3946B24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"Për miratimin e Strategjisë Kombëtare të Turizmit 2024-2030 dhe Planit të Veprimit</w:t>
            </w:r>
          </w:p>
        </w:tc>
        <w:tc>
          <w:tcPr>
            <w:tcW w:w="367" w:type="pct"/>
            <w:tcBorders>
              <w:top w:val="nil"/>
              <w:left w:val="nil"/>
              <w:bottom w:val="single" w:sz="4" w:space="0" w:color="auto"/>
              <w:right w:val="single" w:sz="4" w:space="0" w:color="auto"/>
            </w:tcBorders>
            <w:shd w:val="clear" w:color="auto" w:fill="auto"/>
            <w:noWrap/>
            <w:vAlign w:val="center"/>
            <w:hideMark/>
          </w:tcPr>
          <w:p w14:paraId="6831C4B9"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Projektvendim</w:t>
            </w:r>
          </w:p>
        </w:tc>
        <w:tc>
          <w:tcPr>
            <w:tcW w:w="354" w:type="pct"/>
            <w:tcBorders>
              <w:top w:val="nil"/>
              <w:left w:val="nil"/>
              <w:bottom w:val="single" w:sz="4" w:space="0" w:color="auto"/>
              <w:right w:val="single" w:sz="4" w:space="0" w:color="auto"/>
            </w:tcBorders>
            <w:shd w:val="clear" w:color="auto" w:fill="auto"/>
            <w:vAlign w:val="center"/>
            <w:hideMark/>
          </w:tcPr>
          <w:p w14:paraId="5854EE3B"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Ministri i Turizmit dhe Mjedisit</w:t>
            </w:r>
          </w:p>
        </w:tc>
        <w:tc>
          <w:tcPr>
            <w:tcW w:w="327" w:type="pct"/>
            <w:tcBorders>
              <w:top w:val="nil"/>
              <w:left w:val="nil"/>
              <w:bottom w:val="single" w:sz="4" w:space="0" w:color="auto"/>
              <w:right w:val="single" w:sz="4" w:space="0" w:color="auto"/>
            </w:tcBorders>
            <w:shd w:val="clear" w:color="auto" w:fill="auto"/>
            <w:vAlign w:val="center"/>
            <w:hideMark/>
          </w:tcPr>
          <w:p w14:paraId="4D444565"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Katërmujori III</w:t>
            </w:r>
          </w:p>
        </w:tc>
        <w:tc>
          <w:tcPr>
            <w:tcW w:w="778" w:type="pct"/>
            <w:tcBorders>
              <w:top w:val="nil"/>
              <w:left w:val="nil"/>
              <w:bottom w:val="single" w:sz="4" w:space="0" w:color="auto"/>
              <w:right w:val="single" w:sz="4" w:space="0" w:color="auto"/>
            </w:tcBorders>
            <w:shd w:val="clear" w:color="auto" w:fill="auto"/>
            <w:vAlign w:val="center"/>
            <w:hideMark/>
          </w:tcPr>
          <w:p w14:paraId="4F27061D"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Me përfundimin e Strategjisë Kombëtare për Zhvillimin e Qendrueshëm të Turizmit 2019-2023 lind nevoja për hartimin e një dokumenti të ri strategjik me qëllim përcaktimin e politikave dhe objektivave që synohen të arrihen për periudhën 2024-2030. është përcaktuar ky afat duke qenë në përputhje edhe me Strategjinë Kombëtare për Zhvillim dhe Integrim Europian 2030.</w:t>
            </w:r>
          </w:p>
        </w:tc>
        <w:tc>
          <w:tcPr>
            <w:tcW w:w="858" w:type="pct"/>
            <w:tcBorders>
              <w:top w:val="nil"/>
              <w:left w:val="nil"/>
              <w:bottom w:val="single" w:sz="4" w:space="0" w:color="auto"/>
              <w:right w:val="single" w:sz="4" w:space="0" w:color="auto"/>
            </w:tcBorders>
            <w:shd w:val="clear" w:color="auto" w:fill="auto"/>
            <w:vAlign w:val="center"/>
            <w:hideMark/>
          </w:tcPr>
          <w:p w14:paraId="272258E2"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Ky dokument do të përcaktojë vizionin për zhvillimin e turizmit deri në vitin 2030 si dhe objektivat strategjikë. Dokumenti do të orientojë politikat e tuirzmit me qëllim shndërrimin e turizmit në një instrument për zhvillimin ekonomik, social dhe mjedisor të të gjithë territorit, duke e vendosur Shqipërinë në tregun turistik rajonal si një nga ofruesit më konkurrues, inovativ dhe autentik të turizmit.</w:t>
            </w:r>
            <w:r w:rsidRPr="001C342D">
              <w:rPr>
                <w:rFonts w:ascii="Arial" w:eastAsia="Times New Roman" w:hAnsi="Arial" w:cs="Arial"/>
                <w:color w:val="000000"/>
                <w:sz w:val="12"/>
                <w:szCs w:val="12"/>
                <w:bdr w:val="none" w:sz="0" w:space="0" w:color="auto"/>
              </w:rPr>
              <w:br/>
              <w:t>Objektivat strategjikë do të jenë:</w:t>
            </w:r>
            <w:r w:rsidRPr="001C342D">
              <w:rPr>
                <w:rFonts w:ascii="Arial" w:eastAsia="Times New Roman" w:hAnsi="Arial" w:cs="Arial"/>
                <w:color w:val="000000"/>
                <w:sz w:val="12"/>
                <w:szCs w:val="12"/>
                <w:bdr w:val="none" w:sz="0" w:space="0" w:color="auto"/>
              </w:rPr>
              <w:br/>
              <w:t>1. Nxitja e investimeve;</w:t>
            </w:r>
            <w:r w:rsidRPr="001C342D">
              <w:rPr>
                <w:rFonts w:ascii="Arial" w:eastAsia="Times New Roman" w:hAnsi="Arial" w:cs="Arial"/>
                <w:color w:val="000000"/>
                <w:sz w:val="12"/>
                <w:szCs w:val="12"/>
                <w:bdr w:val="none" w:sz="0" w:space="0" w:color="auto"/>
              </w:rPr>
              <w:br/>
              <w:t>2. Rritja e standardeve dhe cilësisë së shërbimeve;</w:t>
            </w:r>
            <w:r w:rsidRPr="001C342D">
              <w:rPr>
                <w:rFonts w:ascii="Arial" w:eastAsia="Times New Roman" w:hAnsi="Arial" w:cs="Arial"/>
                <w:color w:val="000000"/>
                <w:sz w:val="12"/>
                <w:szCs w:val="12"/>
                <w:bdr w:val="none" w:sz="0" w:space="0" w:color="auto"/>
              </w:rPr>
              <w:br/>
              <w:t>3. Përmirësimi i burimeve njerëzore, njohurive dhe aftësive në turizëm;</w:t>
            </w:r>
            <w:r w:rsidRPr="001C342D">
              <w:rPr>
                <w:rFonts w:ascii="Arial" w:eastAsia="Times New Roman" w:hAnsi="Arial" w:cs="Arial"/>
                <w:color w:val="000000"/>
                <w:sz w:val="12"/>
                <w:szCs w:val="12"/>
                <w:bdr w:val="none" w:sz="0" w:space="0" w:color="auto"/>
              </w:rPr>
              <w:br/>
              <w:t>4. Zhvillimi i zgjidhjeve dixhitale, inovative dhe teknologjive të reja në turizëm;</w:t>
            </w:r>
            <w:r w:rsidRPr="001C342D">
              <w:rPr>
                <w:rFonts w:ascii="Arial" w:eastAsia="Times New Roman" w:hAnsi="Arial" w:cs="Arial"/>
                <w:color w:val="000000"/>
                <w:sz w:val="12"/>
                <w:szCs w:val="12"/>
                <w:bdr w:val="none" w:sz="0" w:space="0" w:color="auto"/>
              </w:rPr>
              <w:br/>
              <w:t>5. Zhvillimi i një turizmi përgjatë gjithë vitit dhe në të gjithë vendin;</w:t>
            </w:r>
            <w:r w:rsidRPr="001C342D">
              <w:rPr>
                <w:rFonts w:ascii="Arial" w:eastAsia="Times New Roman" w:hAnsi="Arial" w:cs="Arial"/>
                <w:color w:val="000000"/>
                <w:sz w:val="12"/>
                <w:szCs w:val="12"/>
                <w:bdr w:val="none" w:sz="0" w:space="0" w:color="auto"/>
              </w:rPr>
              <w:br/>
              <w:t>6. Promovimi i Shqipërisë si një destinacion origjinal dhe i ofertave turistike unike.</w:t>
            </w:r>
          </w:p>
        </w:tc>
        <w:tc>
          <w:tcPr>
            <w:tcW w:w="251" w:type="pct"/>
            <w:tcBorders>
              <w:top w:val="nil"/>
              <w:left w:val="nil"/>
              <w:bottom w:val="single" w:sz="4" w:space="0" w:color="auto"/>
              <w:right w:val="single" w:sz="4" w:space="0" w:color="auto"/>
            </w:tcBorders>
            <w:shd w:val="clear" w:color="auto" w:fill="auto"/>
            <w:vAlign w:val="center"/>
            <w:hideMark/>
          </w:tcPr>
          <w:p w14:paraId="6BB8A17A"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Jo</w:t>
            </w:r>
          </w:p>
        </w:tc>
        <w:tc>
          <w:tcPr>
            <w:tcW w:w="374" w:type="pct"/>
            <w:tcBorders>
              <w:top w:val="nil"/>
              <w:left w:val="nil"/>
              <w:bottom w:val="single" w:sz="4" w:space="0" w:color="auto"/>
              <w:right w:val="single" w:sz="4" w:space="0" w:color="auto"/>
            </w:tcBorders>
            <w:shd w:val="clear" w:color="auto" w:fill="auto"/>
            <w:vAlign w:val="center"/>
            <w:hideMark/>
          </w:tcPr>
          <w:p w14:paraId="2517BB2F"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Ky projektakt është në përputhje me programin politik 2021-2025, me kapitullin "Turizmi dhe Mjedisi".</w:t>
            </w:r>
          </w:p>
        </w:tc>
        <w:tc>
          <w:tcPr>
            <w:tcW w:w="464" w:type="pct"/>
            <w:tcBorders>
              <w:top w:val="nil"/>
              <w:left w:val="nil"/>
              <w:bottom w:val="single" w:sz="4" w:space="0" w:color="auto"/>
              <w:right w:val="single" w:sz="4" w:space="0" w:color="auto"/>
            </w:tcBorders>
            <w:shd w:val="clear" w:color="auto" w:fill="auto"/>
            <w:vAlign w:val="center"/>
            <w:hideMark/>
          </w:tcPr>
          <w:p w14:paraId="1A74C947"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Ky projektakt është në përputhje me Strategjinë Kombëtare për Zhvillim dhe Integrim Europian 2030, me kapitullin "Zhvillimi i turizmit".</w:t>
            </w:r>
          </w:p>
        </w:tc>
        <w:tc>
          <w:tcPr>
            <w:tcW w:w="421" w:type="pct"/>
            <w:tcBorders>
              <w:top w:val="nil"/>
              <w:left w:val="nil"/>
              <w:bottom w:val="single" w:sz="4" w:space="0" w:color="auto"/>
              <w:right w:val="single" w:sz="4" w:space="0" w:color="auto"/>
            </w:tcBorders>
            <w:shd w:val="clear" w:color="auto" w:fill="auto"/>
            <w:vAlign w:val="center"/>
            <w:hideMark/>
          </w:tcPr>
          <w:p w14:paraId="0D5A5C0C" w14:textId="77777777" w:rsidR="001C342D" w:rsidRPr="001C342D" w:rsidRDefault="001C342D" w:rsidP="001C342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color w:val="000000"/>
                <w:sz w:val="12"/>
                <w:szCs w:val="12"/>
                <w:bdr w:val="none" w:sz="0" w:space="0" w:color="auto"/>
              </w:rPr>
            </w:pPr>
            <w:r w:rsidRPr="001C342D">
              <w:rPr>
                <w:rFonts w:ascii="Arial" w:eastAsia="Times New Roman" w:hAnsi="Arial" w:cs="Arial"/>
                <w:color w:val="000000"/>
                <w:sz w:val="12"/>
                <w:szCs w:val="12"/>
                <w:bdr w:val="none" w:sz="0" w:space="0" w:color="auto"/>
              </w:rPr>
              <w:t>Projektakti do të ketë ndikim ekonomik, financiar, social dhe mjedisor.</w:t>
            </w:r>
          </w:p>
        </w:tc>
      </w:tr>
    </w:tbl>
    <w:p w14:paraId="33C1950C" w14:textId="77777777" w:rsidR="001C342D" w:rsidRPr="00B60D59" w:rsidRDefault="001C342D" w:rsidP="009F3407">
      <w:pPr>
        <w:pStyle w:val="BodyA"/>
        <w:jc w:val="center"/>
        <w:rPr>
          <w:sz w:val="28"/>
          <w:szCs w:val="28"/>
          <w:lang w:val="it-IT"/>
        </w:rPr>
      </w:pPr>
    </w:p>
    <w:sectPr w:rsidR="001C342D" w:rsidRPr="00B60D59" w:rsidSect="00E85315">
      <w:pgSz w:w="16838" w:h="11906" w:orient="landscape"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9B41B0" w14:textId="77777777" w:rsidR="003555B6" w:rsidRDefault="003555B6">
      <w:r>
        <w:separator/>
      </w:r>
    </w:p>
  </w:endnote>
  <w:endnote w:type="continuationSeparator" w:id="0">
    <w:p w14:paraId="799ACCD4" w14:textId="77777777" w:rsidR="003555B6" w:rsidRDefault="003555B6">
      <w:r>
        <w:continuationSeparator/>
      </w:r>
    </w:p>
  </w:endnote>
  <w:endnote w:type="continuationNotice" w:id="1">
    <w:p w14:paraId="142D9094" w14:textId="77777777" w:rsidR="003555B6" w:rsidRDefault="003555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Neue">
    <w:altName w:val="Sylfaen"/>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5301614"/>
      <w:docPartObj>
        <w:docPartGallery w:val="Page Numbers (Bottom of Page)"/>
        <w:docPartUnique/>
      </w:docPartObj>
    </w:sdtPr>
    <w:sdtEndPr>
      <w:rPr>
        <w:noProof/>
      </w:rPr>
    </w:sdtEndPr>
    <w:sdtContent>
      <w:p w14:paraId="7850DC87" w14:textId="77777777" w:rsidR="003555B6" w:rsidRDefault="003555B6">
        <w:pPr>
          <w:pStyle w:val="Footer"/>
          <w:jc w:val="right"/>
        </w:pPr>
        <w:r>
          <w:fldChar w:fldCharType="begin"/>
        </w:r>
        <w:r>
          <w:instrText xml:space="preserve"> PAGE   \* MERGEFORMAT </w:instrText>
        </w:r>
        <w:r>
          <w:fldChar w:fldCharType="separate"/>
        </w:r>
        <w:r w:rsidR="00720ECB">
          <w:rPr>
            <w:noProof/>
          </w:rPr>
          <w:t>81</w:t>
        </w:r>
        <w:r>
          <w:rPr>
            <w:noProof/>
          </w:rPr>
          <w:fldChar w:fldCharType="end"/>
        </w:r>
      </w:p>
    </w:sdtContent>
  </w:sdt>
  <w:p w14:paraId="7850DC88" w14:textId="77777777" w:rsidR="003555B6" w:rsidRDefault="003555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B7F327" w14:textId="77777777" w:rsidR="003555B6" w:rsidRDefault="003555B6">
      <w:r>
        <w:separator/>
      </w:r>
    </w:p>
  </w:footnote>
  <w:footnote w:type="continuationSeparator" w:id="0">
    <w:p w14:paraId="121DD09D" w14:textId="77777777" w:rsidR="003555B6" w:rsidRDefault="003555B6">
      <w:r>
        <w:continuationSeparator/>
      </w:r>
    </w:p>
  </w:footnote>
  <w:footnote w:type="continuationNotice" w:id="1">
    <w:p w14:paraId="4464EF2F" w14:textId="77777777" w:rsidR="003555B6" w:rsidRDefault="003555B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4375A"/>
    <w:multiLevelType w:val="hybridMultilevel"/>
    <w:tmpl w:val="4B8A49F2"/>
    <w:styleLink w:val="ImportedStyle2"/>
    <w:lvl w:ilvl="0" w:tplc="26E474A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B8D2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560D0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D16C8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12C586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88039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E2003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2216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B8C3AE">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6EE79A2"/>
    <w:multiLevelType w:val="hybridMultilevel"/>
    <w:tmpl w:val="70DAF200"/>
    <w:numStyleLink w:val="ImportedStyle1"/>
  </w:abstractNum>
  <w:abstractNum w:abstractNumId="2" w15:restartNumberingAfterBreak="0">
    <w:nsid w:val="392A3B79"/>
    <w:multiLevelType w:val="hybridMultilevel"/>
    <w:tmpl w:val="4B8A49F2"/>
    <w:numStyleLink w:val="ImportedStyle2"/>
  </w:abstractNum>
  <w:abstractNum w:abstractNumId="3" w15:restartNumberingAfterBreak="0">
    <w:nsid w:val="668B2630"/>
    <w:multiLevelType w:val="hybridMultilevel"/>
    <w:tmpl w:val="70DAF200"/>
    <w:styleLink w:val="ImportedStyle1"/>
    <w:lvl w:ilvl="0" w:tplc="82A0B8F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0500DF8">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8643AB2">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4EA80DE">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D8C64A4">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95CDEFE">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6BF05682">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A26438A">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C849AFC">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lvlOverride w:ilvl="0">
      <w:lvl w:ilvl="0" w:tplc="96A2554E">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3">
    <w:abstractNumId w:val="3"/>
  </w:num>
  <w:num w:numId="4">
    <w:abstractNumId w:val="1"/>
  </w:num>
  <w:num w:numId="5">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236"/>
    <w:rsid w:val="00010159"/>
    <w:rsid w:val="00033C73"/>
    <w:rsid w:val="00050CA1"/>
    <w:rsid w:val="00056B44"/>
    <w:rsid w:val="000A0AF1"/>
    <w:rsid w:val="000A23FE"/>
    <w:rsid w:val="000C6556"/>
    <w:rsid w:val="000D13FF"/>
    <w:rsid w:val="000D3CBB"/>
    <w:rsid w:val="000E043C"/>
    <w:rsid w:val="000E4746"/>
    <w:rsid w:val="001119A3"/>
    <w:rsid w:val="001271CD"/>
    <w:rsid w:val="00145818"/>
    <w:rsid w:val="00151AA5"/>
    <w:rsid w:val="0015646F"/>
    <w:rsid w:val="00181646"/>
    <w:rsid w:val="00183594"/>
    <w:rsid w:val="001902AC"/>
    <w:rsid w:val="00190E59"/>
    <w:rsid w:val="001A7605"/>
    <w:rsid w:val="001C342D"/>
    <w:rsid w:val="001E0AC2"/>
    <w:rsid w:val="001E3953"/>
    <w:rsid w:val="00245E5E"/>
    <w:rsid w:val="002468B5"/>
    <w:rsid w:val="00264F72"/>
    <w:rsid w:val="00266759"/>
    <w:rsid w:val="00285E2B"/>
    <w:rsid w:val="0029518D"/>
    <w:rsid w:val="002C1275"/>
    <w:rsid w:val="002E248E"/>
    <w:rsid w:val="00333D10"/>
    <w:rsid w:val="003555B6"/>
    <w:rsid w:val="00355DD8"/>
    <w:rsid w:val="003632C6"/>
    <w:rsid w:val="00367852"/>
    <w:rsid w:val="00391DEC"/>
    <w:rsid w:val="003B3070"/>
    <w:rsid w:val="0041551D"/>
    <w:rsid w:val="004D50D8"/>
    <w:rsid w:val="005139E5"/>
    <w:rsid w:val="0052038F"/>
    <w:rsid w:val="00561601"/>
    <w:rsid w:val="005B0D85"/>
    <w:rsid w:val="005D28EF"/>
    <w:rsid w:val="006203AE"/>
    <w:rsid w:val="00623F91"/>
    <w:rsid w:val="006B47C3"/>
    <w:rsid w:val="006E7FB5"/>
    <w:rsid w:val="006F1960"/>
    <w:rsid w:val="00720ECB"/>
    <w:rsid w:val="00775ED6"/>
    <w:rsid w:val="008114B9"/>
    <w:rsid w:val="00812C9A"/>
    <w:rsid w:val="00831AF2"/>
    <w:rsid w:val="00832F20"/>
    <w:rsid w:val="00836525"/>
    <w:rsid w:val="00894973"/>
    <w:rsid w:val="008C639B"/>
    <w:rsid w:val="00943752"/>
    <w:rsid w:val="00943E43"/>
    <w:rsid w:val="00983CFF"/>
    <w:rsid w:val="00984F7E"/>
    <w:rsid w:val="00985E34"/>
    <w:rsid w:val="009A5CF6"/>
    <w:rsid w:val="009F3407"/>
    <w:rsid w:val="009F55B8"/>
    <w:rsid w:val="00A3429A"/>
    <w:rsid w:val="00A84E25"/>
    <w:rsid w:val="00AB61D5"/>
    <w:rsid w:val="00AB784B"/>
    <w:rsid w:val="00AD7535"/>
    <w:rsid w:val="00B07892"/>
    <w:rsid w:val="00B07E49"/>
    <w:rsid w:val="00B4432E"/>
    <w:rsid w:val="00B60D59"/>
    <w:rsid w:val="00B644E8"/>
    <w:rsid w:val="00BA1E82"/>
    <w:rsid w:val="00C14161"/>
    <w:rsid w:val="00C21681"/>
    <w:rsid w:val="00C23F98"/>
    <w:rsid w:val="00C35B84"/>
    <w:rsid w:val="00C35E55"/>
    <w:rsid w:val="00C43D83"/>
    <w:rsid w:val="00C52F52"/>
    <w:rsid w:val="00C925FC"/>
    <w:rsid w:val="00CD6382"/>
    <w:rsid w:val="00D21D43"/>
    <w:rsid w:val="00D3179A"/>
    <w:rsid w:val="00D63CD6"/>
    <w:rsid w:val="00D77F62"/>
    <w:rsid w:val="00D9238E"/>
    <w:rsid w:val="00D93708"/>
    <w:rsid w:val="00DC0040"/>
    <w:rsid w:val="00DC58D6"/>
    <w:rsid w:val="00DD3A03"/>
    <w:rsid w:val="00E3154E"/>
    <w:rsid w:val="00E31BE1"/>
    <w:rsid w:val="00E85315"/>
    <w:rsid w:val="00E90015"/>
    <w:rsid w:val="00E913DD"/>
    <w:rsid w:val="00EA1A8E"/>
    <w:rsid w:val="00EA1F3C"/>
    <w:rsid w:val="00EA265E"/>
    <w:rsid w:val="00EB05B9"/>
    <w:rsid w:val="00EC12FF"/>
    <w:rsid w:val="00EE53B3"/>
    <w:rsid w:val="00EF4B1B"/>
    <w:rsid w:val="00F13B00"/>
    <w:rsid w:val="00F16FF4"/>
    <w:rsid w:val="00F34F38"/>
    <w:rsid w:val="00F529E8"/>
    <w:rsid w:val="00F62236"/>
    <w:rsid w:val="00F622DE"/>
    <w:rsid w:val="00F703E5"/>
    <w:rsid w:val="00F81098"/>
    <w:rsid w:val="00FB33C4"/>
    <w:rsid w:val="00FD6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0DC81"/>
  <w15:docId w15:val="{44B12AF9-6743-E549-BF8D-98C360C7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5">
    <w:name w:val="heading 5"/>
    <w:basedOn w:val="Normal"/>
    <w:next w:val="Normal"/>
    <w:link w:val="Heading5Char"/>
    <w:qFormat/>
    <w:rsid w:val="00B644E8"/>
    <w:pPr>
      <w:keepNext/>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MS Mincho"/>
      <w:sz w:val="28"/>
      <w:szCs w:val="20"/>
      <w:bdr w:val="none" w:sz="0" w:space="0" w:color="aut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14:textOutline w14:w="12700" w14:cap="flat" w14:cmpd="sng" w14:algn="ctr">
        <w14:noFill/>
        <w14:prstDash w14:val="solid"/>
        <w14:miter w14:lim="400000"/>
      </w14:textOutline>
    </w:rPr>
  </w:style>
  <w:style w:type="paragraph" w:styleId="ListParagraph">
    <w:name w:val="List Paragraph"/>
    <w:pPr>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 w:type="numbering" w:customStyle="1" w:styleId="ImportedStyle1">
    <w:name w:val="Imported Style 1"/>
    <w:pPr>
      <w:numPr>
        <w:numId w:val="3"/>
      </w:numPr>
    </w:pPr>
  </w:style>
  <w:style w:type="paragraph" w:styleId="NoSpacing">
    <w:name w:val="No Spacing"/>
    <w:rPr>
      <w:rFonts w:ascii="Calibri" w:hAnsi="Calibri" w:cs="Arial Unicode MS"/>
      <w:color w:val="000000"/>
      <w:sz w:val="22"/>
      <w:szCs w:val="22"/>
      <w:u w:color="000000"/>
      <w:lang w:val="da-DK"/>
    </w:rPr>
  </w:style>
  <w:style w:type="paragraph" w:styleId="Revision">
    <w:name w:val="Revision"/>
    <w:hidden/>
    <w:uiPriority w:val="99"/>
    <w:semiHidden/>
    <w:rsid w:val="0001015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5Char">
    <w:name w:val="Heading 5 Char"/>
    <w:basedOn w:val="DefaultParagraphFont"/>
    <w:link w:val="Heading5"/>
    <w:rsid w:val="00B644E8"/>
    <w:rPr>
      <w:rFonts w:eastAsia="MS Mincho"/>
      <w:sz w:val="28"/>
      <w:bdr w:val="none" w:sz="0" w:space="0" w:color="auto"/>
      <w:lang w:val="sq-AL" w:eastAsia="en-US"/>
    </w:rPr>
  </w:style>
  <w:style w:type="paragraph" w:styleId="BalloonText">
    <w:name w:val="Balloon Text"/>
    <w:basedOn w:val="Normal"/>
    <w:link w:val="BalloonTextChar"/>
    <w:uiPriority w:val="99"/>
    <w:semiHidden/>
    <w:unhideWhenUsed/>
    <w:rsid w:val="009A5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CF6"/>
    <w:rPr>
      <w:rFonts w:ascii="Segoe UI" w:hAnsi="Segoe UI" w:cs="Segoe UI"/>
      <w:sz w:val="18"/>
      <w:szCs w:val="18"/>
      <w:lang w:eastAsia="en-US"/>
    </w:rPr>
  </w:style>
  <w:style w:type="paragraph" w:styleId="Header">
    <w:name w:val="header"/>
    <w:basedOn w:val="Normal"/>
    <w:link w:val="HeaderChar"/>
    <w:uiPriority w:val="99"/>
    <w:unhideWhenUsed/>
    <w:rsid w:val="001A7605"/>
    <w:pPr>
      <w:tabs>
        <w:tab w:val="center" w:pos="4680"/>
        <w:tab w:val="right" w:pos="9360"/>
      </w:tabs>
    </w:pPr>
  </w:style>
  <w:style w:type="character" w:customStyle="1" w:styleId="HeaderChar">
    <w:name w:val="Header Char"/>
    <w:basedOn w:val="DefaultParagraphFont"/>
    <w:link w:val="Header"/>
    <w:uiPriority w:val="99"/>
    <w:rsid w:val="001A7605"/>
    <w:rPr>
      <w:sz w:val="24"/>
      <w:szCs w:val="24"/>
      <w:lang w:eastAsia="en-US"/>
    </w:rPr>
  </w:style>
  <w:style w:type="paragraph" w:styleId="Footer">
    <w:name w:val="footer"/>
    <w:basedOn w:val="Normal"/>
    <w:link w:val="FooterChar"/>
    <w:uiPriority w:val="99"/>
    <w:unhideWhenUsed/>
    <w:rsid w:val="001A7605"/>
    <w:pPr>
      <w:tabs>
        <w:tab w:val="center" w:pos="4680"/>
        <w:tab w:val="right" w:pos="9360"/>
      </w:tabs>
    </w:pPr>
  </w:style>
  <w:style w:type="character" w:customStyle="1" w:styleId="FooterChar">
    <w:name w:val="Footer Char"/>
    <w:basedOn w:val="DefaultParagraphFont"/>
    <w:link w:val="Footer"/>
    <w:uiPriority w:val="99"/>
    <w:rsid w:val="001A7605"/>
    <w:rPr>
      <w:sz w:val="24"/>
      <w:szCs w:val="24"/>
      <w:lang w:eastAsia="en-US"/>
    </w:rPr>
  </w:style>
  <w:style w:type="paragraph" w:styleId="BodyText">
    <w:name w:val="Body Text"/>
    <w:basedOn w:val="Normal"/>
    <w:link w:val="BodyTextChar"/>
    <w:unhideWhenUsed/>
    <w:rsid w:val="00943752"/>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8"/>
      <w:szCs w:val="20"/>
      <w:bdr w:val="none" w:sz="0" w:space="0" w:color="auto"/>
      <w:lang w:val="en-GB"/>
    </w:rPr>
  </w:style>
  <w:style w:type="character" w:customStyle="1" w:styleId="BodyTextChar">
    <w:name w:val="Body Text Char"/>
    <w:basedOn w:val="DefaultParagraphFont"/>
    <w:link w:val="BodyText"/>
    <w:rsid w:val="00943752"/>
    <w:rPr>
      <w:rFonts w:eastAsia="Times New Roman"/>
      <w:sz w:val="28"/>
      <w:bdr w:val="none" w:sz="0" w:space="0" w:color="auto"/>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37438">
      <w:bodyDiv w:val="1"/>
      <w:marLeft w:val="0"/>
      <w:marRight w:val="0"/>
      <w:marTop w:val="0"/>
      <w:marBottom w:val="0"/>
      <w:divBdr>
        <w:top w:val="none" w:sz="0" w:space="0" w:color="auto"/>
        <w:left w:val="none" w:sz="0" w:space="0" w:color="auto"/>
        <w:bottom w:val="none" w:sz="0" w:space="0" w:color="auto"/>
        <w:right w:val="none" w:sz="0" w:space="0" w:color="auto"/>
      </w:divBdr>
    </w:div>
    <w:div w:id="267546117">
      <w:bodyDiv w:val="1"/>
      <w:marLeft w:val="0"/>
      <w:marRight w:val="0"/>
      <w:marTop w:val="0"/>
      <w:marBottom w:val="0"/>
      <w:divBdr>
        <w:top w:val="none" w:sz="0" w:space="0" w:color="auto"/>
        <w:left w:val="none" w:sz="0" w:space="0" w:color="auto"/>
        <w:bottom w:val="none" w:sz="0" w:space="0" w:color="auto"/>
        <w:right w:val="none" w:sz="0" w:space="0" w:color="auto"/>
      </w:divBdr>
    </w:div>
    <w:div w:id="362249395">
      <w:bodyDiv w:val="1"/>
      <w:marLeft w:val="0"/>
      <w:marRight w:val="0"/>
      <w:marTop w:val="0"/>
      <w:marBottom w:val="0"/>
      <w:divBdr>
        <w:top w:val="none" w:sz="0" w:space="0" w:color="auto"/>
        <w:left w:val="none" w:sz="0" w:space="0" w:color="auto"/>
        <w:bottom w:val="none" w:sz="0" w:space="0" w:color="auto"/>
        <w:right w:val="none" w:sz="0" w:space="0" w:color="auto"/>
      </w:divBdr>
    </w:div>
    <w:div w:id="841892622">
      <w:bodyDiv w:val="1"/>
      <w:marLeft w:val="0"/>
      <w:marRight w:val="0"/>
      <w:marTop w:val="0"/>
      <w:marBottom w:val="0"/>
      <w:divBdr>
        <w:top w:val="none" w:sz="0" w:space="0" w:color="auto"/>
        <w:left w:val="none" w:sz="0" w:space="0" w:color="auto"/>
        <w:bottom w:val="none" w:sz="0" w:space="0" w:color="auto"/>
        <w:right w:val="none" w:sz="0" w:space="0" w:color="auto"/>
      </w:divBdr>
    </w:div>
    <w:div w:id="934903612">
      <w:bodyDiv w:val="1"/>
      <w:marLeft w:val="0"/>
      <w:marRight w:val="0"/>
      <w:marTop w:val="0"/>
      <w:marBottom w:val="0"/>
      <w:divBdr>
        <w:top w:val="none" w:sz="0" w:space="0" w:color="auto"/>
        <w:left w:val="none" w:sz="0" w:space="0" w:color="auto"/>
        <w:bottom w:val="none" w:sz="0" w:space="0" w:color="auto"/>
        <w:right w:val="none" w:sz="0" w:space="0" w:color="auto"/>
      </w:divBdr>
    </w:div>
    <w:div w:id="965162951">
      <w:bodyDiv w:val="1"/>
      <w:marLeft w:val="0"/>
      <w:marRight w:val="0"/>
      <w:marTop w:val="0"/>
      <w:marBottom w:val="0"/>
      <w:divBdr>
        <w:top w:val="none" w:sz="0" w:space="0" w:color="auto"/>
        <w:left w:val="none" w:sz="0" w:space="0" w:color="auto"/>
        <w:bottom w:val="none" w:sz="0" w:space="0" w:color="auto"/>
        <w:right w:val="none" w:sz="0" w:space="0" w:color="auto"/>
      </w:divBdr>
    </w:div>
    <w:div w:id="1177231961">
      <w:bodyDiv w:val="1"/>
      <w:marLeft w:val="0"/>
      <w:marRight w:val="0"/>
      <w:marTop w:val="0"/>
      <w:marBottom w:val="0"/>
      <w:divBdr>
        <w:top w:val="none" w:sz="0" w:space="0" w:color="auto"/>
        <w:left w:val="none" w:sz="0" w:space="0" w:color="auto"/>
        <w:bottom w:val="none" w:sz="0" w:space="0" w:color="auto"/>
        <w:right w:val="none" w:sz="0" w:space="0" w:color="auto"/>
      </w:divBdr>
    </w:div>
    <w:div w:id="1375351450">
      <w:bodyDiv w:val="1"/>
      <w:marLeft w:val="0"/>
      <w:marRight w:val="0"/>
      <w:marTop w:val="0"/>
      <w:marBottom w:val="0"/>
      <w:divBdr>
        <w:top w:val="none" w:sz="0" w:space="0" w:color="auto"/>
        <w:left w:val="none" w:sz="0" w:space="0" w:color="auto"/>
        <w:bottom w:val="none" w:sz="0" w:space="0" w:color="auto"/>
        <w:right w:val="none" w:sz="0" w:space="0" w:color="auto"/>
      </w:divBdr>
    </w:div>
    <w:div w:id="1402754874">
      <w:bodyDiv w:val="1"/>
      <w:marLeft w:val="0"/>
      <w:marRight w:val="0"/>
      <w:marTop w:val="0"/>
      <w:marBottom w:val="0"/>
      <w:divBdr>
        <w:top w:val="none" w:sz="0" w:space="0" w:color="auto"/>
        <w:left w:val="none" w:sz="0" w:space="0" w:color="auto"/>
        <w:bottom w:val="none" w:sz="0" w:space="0" w:color="auto"/>
        <w:right w:val="none" w:sz="0" w:space="0" w:color="auto"/>
      </w:divBdr>
    </w:div>
    <w:div w:id="1609697383">
      <w:bodyDiv w:val="1"/>
      <w:marLeft w:val="0"/>
      <w:marRight w:val="0"/>
      <w:marTop w:val="0"/>
      <w:marBottom w:val="0"/>
      <w:divBdr>
        <w:top w:val="none" w:sz="0" w:space="0" w:color="auto"/>
        <w:left w:val="none" w:sz="0" w:space="0" w:color="auto"/>
        <w:bottom w:val="none" w:sz="0" w:space="0" w:color="auto"/>
        <w:right w:val="none" w:sz="0" w:space="0" w:color="auto"/>
      </w:divBdr>
    </w:div>
    <w:div w:id="1616905048">
      <w:bodyDiv w:val="1"/>
      <w:marLeft w:val="0"/>
      <w:marRight w:val="0"/>
      <w:marTop w:val="0"/>
      <w:marBottom w:val="0"/>
      <w:divBdr>
        <w:top w:val="none" w:sz="0" w:space="0" w:color="auto"/>
        <w:left w:val="none" w:sz="0" w:space="0" w:color="auto"/>
        <w:bottom w:val="none" w:sz="0" w:space="0" w:color="auto"/>
        <w:right w:val="none" w:sz="0" w:space="0" w:color="auto"/>
      </w:divBdr>
    </w:div>
    <w:div w:id="1761566473">
      <w:bodyDiv w:val="1"/>
      <w:marLeft w:val="0"/>
      <w:marRight w:val="0"/>
      <w:marTop w:val="0"/>
      <w:marBottom w:val="0"/>
      <w:divBdr>
        <w:top w:val="none" w:sz="0" w:space="0" w:color="auto"/>
        <w:left w:val="none" w:sz="0" w:space="0" w:color="auto"/>
        <w:bottom w:val="none" w:sz="0" w:space="0" w:color="auto"/>
        <w:right w:val="none" w:sz="0" w:space="0" w:color="auto"/>
      </w:divBdr>
    </w:div>
    <w:div w:id="1762144529">
      <w:bodyDiv w:val="1"/>
      <w:marLeft w:val="0"/>
      <w:marRight w:val="0"/>
      <w:marTop w:val="0"/>
      <w:marBottom w:val="0"/>
      <w:divBdr>
        <w:top w:val="none" w:sz="0" w:space="0" w:color="auto"/>
        <w:left w:val="none" w:sz="0" w:space="0" w:color="auto"/>
        <w:bottom w:val="none" w:sz="0" w:space="0" w:color="auto"/>
        <w:right w:val="none" w:sz="0" w:space="0" w:color="auto"/>
      </w:divBdr>
    </w:div>
    <w:div w:id="1810515382">
      <w:bodyDiv w:val="1"/>
      <w:marLeft w:val="0"/>
      <w:marRight w:val="0"/>
      <w:marTop w:val="0"/>
      <w:marBottom w:val="0"/>
      <w:divBdr>
        <w:top w:val="none" w:sz="0" w:space="0" w:color="auto"/>
        <w:left w:val="none" w:sz="0" w:space="0" w:color="auto"/>
        <w:bottom w:val="none" w:sz="0" w:space="0" w:color="auto"/>
        <w:right w:val="none" w:sz="0" w:space="0" w:color="auto"/>
      </w:divBdr>
    </w:div>
    <w:div w:id="1883052469">
      <w:bodyDiv w:val="1"/>
      <w:marLeft w:val="0"/>
      <w:marRight w:val="0"/>
      <w:marTop w:val="0"/>
      <w:marBottom w:val="0"/>
      <w:divBdr>
        <w:top w:val="none" w:sz="0" w:space="0" w:color="auto"/>
        <w:left w:val="none" w:sz="0" w:space="0" w:color="auto"/>
        <w:bottom w:val="none" w:sz="0" w:space="0" w:color="auto"/>
        <w:right w:val="none" w:sz="0" w:space="0" w:color="auto"/>
      </w:divBdr>
    </w:div>
    <w:div w:id="2057971225">
      <w:bodyDiv w:val="1"/>
      <w:marLeft w:val="0"/>
      <w:marRight w:val="0"/>
      <w:marTop w:val="0"/>
      <w:marBottom w:val="0"/>
      <w:divBdr>
        <w:top w:val="none" w:sz="0" w:space="0" w:color="auto"/>
        <w:left w:val="none" w:sz="0" w:space="0" w:color="auto"/>
        <w:bottom w:val="none" w:sz="0" w:space="0" w:color="auto"/>
        <w:right w:val="none" w:sz="0" w:space="0" w:color="auto"/>
      </w:divBdr>
    </w:div>
    <w:div w:id="208371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76C31CCD4A04C00A94225F3ED5B43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790</Nr_x002e__x0020_akti>
    <Data_x0020_e_x0020_Krijimit xmlns="0e656187-b300-4fb0-8bf4-3a50f872073c">2023-12-29T16:08:58Z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2023-12-29T00:00:00Z</Date_x0020_protokolli>
    <Titulli xmlns="0e656187-b300-4fb0-8bf4-3a50f872073c">Për miratimin e programit të përgjithshëm analitik të projektakteve që do të paraqiten për shqyrtim në Këshillin e Ministrave gjatë vitit 2024</Titulli>
    <Modifikuesi xmlns="0e656187-b300-4fb0-8bf4-3a50f872073c">ermira.bukaci</Modifikuesi>
    <Nr_x002e__x0020_prot_x0020_QBZ xmlns="0e656187-b300-4fb0-8bf4-3a50f872073c">2048</Nr_x002e__x0020_prot_x0020_QBZ>
    <Data_x0020_e_x0020_Modifikimit xmlns="0e656187-b300-4fb0-8bf4-3a50f872073c">2024-01-03T10:10:14Z</Data_x0020_e_x0020_Modifikimit>
    <Dekretuar xmlns="0e656187-b300-4fb0-8bf4-3a50f872073c">false</Dekretuar>
    <Data xmlns="0e656187-b300-4fb0-8bf4-3a50f872073c">2023-12-28T00:00:00Z</Data>
    <Nr_x002e__x0020_protokolli_x0020_i_x0020_aktit xmlns="0e656187-b300-4fb0-8bf4-3a50f872073c">6151/1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76C31CCD4A04C00A94225F3ED5B43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D86A9-3EEA-4E6E-9B9C-3EB85DCCE14F}">
  <ds:schemaRefs>
    <ds:schemaRef ds:uri="http://schemas.microsoft.com/sharepoint/v3/contenttype/forms"/>
  </ds:schemaRefs>
</ds:datastoreItem>
</file>

<file path=customXml/itemProps2.xml><?xml version="1.0" encoding="utf-8"?>
<ds:datastoreItem xmlns:ds="http://schemas.openxmlformats.org/officeDocument/2006/customXml" ds:itemID="{1BA085BA-AD4B-41B0-AECE-AFC405832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9275480-783B-440B-80C4-E09C125AA40B}">
  <ds:schemaRefs>
    <ds:schemaRef ds:uri="http://purl.org/dc/elements/1.1/"/>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6A589771-2E8E-4C27-AD43-E4F78528F928}">
  <ds:schemaRefs>
    <ds:schemaRef ds:uri="http://schemas.microsoft.com/sharepoint/v3/contenttype/forms"/>
  </ds:schemaRefs>
</ds:datastoreItem>
</file>

<file path=customXml/itemProps5.xml><?xml version="1.0" encoding="utf-8"?>
<ds:datastoreItem xmlns:ds="http://schemas.openxmlformats.org/officeDocument/2006/customXml" ds:itemID="{BC117500-6411-4B96-A567-0105AE3E1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3DD76B-EC8F-4C0C-A359-48C0F4E60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81</Pages>
  <Words>37218</Words>
  <Characters>212143</Characters>
  <Application>Microsoft Office Word</Application>
  <DocSecurity>0</DocSecurity>
  <Lines>1767</Lines>
  <Paragraphs>497</Paragraphs>
  <ScaleCrop>false</ScaleCrop>
  <HeadingPairs>
    <vt:vector size="2" baseType="variant">
      <vt:variant>
        <vt:lpstr>Title</vt:lpstr>
      </vt:variant>
      <vt:variant>
        <vt:i4>1</vt:i4>
      </vt:variant>
    </vt:vector>
  </HeadingPairs>
  <TitlesOfParts>
    <vt:vector size="1" baseType="lpstr">
      <vt:lpstr>Për miratimin e programit të përgjithshëm analitik të projektakteve që do të paraqiten për shqyrtim në Këshillin e Ministrave gjatë vitit 2024</vt:lpstr>
    </vt:vector>
  </TitlesOfParts>
  <Company/>
  <LinksUpToDate>false</LinksUpToDate>
  <CharactersWithSpaces>248864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përgjithshëm analitik të projektakteve që do të paraqiten për shqyrtim në Këshillin e Ministrave gjatë vitit 2024</dc:title>
  <dc:creator>Alda Klosi</dc:creator>
  <cp:lastModifiedBy>Entela Suli</cp:lastModifiedBy>
  <cp:revision>38</cp:revision>
  <cp:lastPrinted>2023-12-26T12:00:00Z</cp:lastPrinted>
  <dcterms:created xsi:type="dcterms:W3CDTF">2023-12-29T14:59:00Z</dcterms:created>
  <dcterms:modified xsi:type="dcterms:W3CDTF">2024-01-03T10:11:00Z</dcterms:modified>
</cp:coreProperties>
</file>