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034B5" w14:textId="77777777" w:rsidR="00513D4D" w:rsidRPr="00FA53ED" w:rsidRDefault="00513D4D" w:rsidP="000B3361">
      <w:pPr>
        <w:pStyle w:val="BodyA"/>
        <w:ind w:firstLine="284"/>
        <w:jc w:val="center"/>
        <w:rPr>
          <w:rFonts w:ascii="Garamond" w:hAnsi="Garamond"/>
          <w:b/>
          <w:bCs/>
          <w:lang w:val="sq-AL"/>
        </w:rPr>
      </w:pPr>
      <w:r w:rsidRPr="00FA53ED">
        <w:rPr>
          <w:rFonts w:ascii="Garamond" w:hAnsi="Garamond"/>
          <w:b/>
          <w:bCs/>
          <w:lang w:val="sq-AL"/>
        </w:rPr>
        <w:t>VENDIM</w:t>
      </w:r>
    </w:p>
    <w:p w14:paraId="72CFDDC3" w14:textId="552E3470" w:rsidR="00B60D59" w:rsidRPr="00FA53ED" w:rsidRDefault="001B6700" w:rsidP="000B3361">
      <w:pPr>
        <w:pStyle w:val="BodyA"/>
        <w:ind w:firstLine="284"/>
        <w:jc w:val="center"/>
        <w:rPr>
          <w:rFonts w:ascii="Garamond" w:hAnsi="Garamond"/>
          <w:b/>
          <w:bCs/>
          <w:smallCaps/>
          <w:spacing w:val="-1"/>
          <w:lang w:val="sq-AL"/>
        </w:rPr>
      </w:pPr>
      <w:r w:rsidRPr="00FA53ED">
        <w:rPr>
          <w:rFonts w:ascii="Garamond" w:hAnsi="Garamond"/>
          <w:b/>
          <w:bCs/>
          <w:lang w:val="sq-AL"/>
        </w:rPr>
        <w:t>Nr</w:t>
      </w:r>
      <w:r w:rsidR="00264F72" w:rsidRPr="00FA53ED">
        <w:rPr>
          <w:rFonts w:ascii="Garamond" w:hAnsi="Garamond"/>
          <w:b/>
          <w:bCs/>
          <w:lang w:val="sq-AL"/>
        </w:rPr>
        <w:t>.</w:t>
      </w:r>
      <w:r w:rsidR="00FA53ED">
        <w:rPr>
          <w:rFonts w:ascii="Garamond" w:hAnsi="Garamond"/>
          <w:b/>
          <w:bCs/>
          <w:lang w:val="sq-AL"/>
        </w:rPr>
        <w:t xml:space="preserve"> </w:t>
      </w:r>
      <w:r w:rsidR="00264F72" w:rsidRPr="00FA53ED">
        <w:rPr>
          <w:rFonts w:ascii="Garamond" w:hAnsi="Garamond"/>
          <w:b/>
          <w:bCs/>
          <w:lang w:val="sq-AL"/>
        </w:rPr>
        <w:t>7</w:t>
      </w:r>
      <w:r w:rsidR="006203AE" w:rsidRPr="00FA53ED">
        <w:rPr>
          <w:rFonts w:ascii="Garamond" w:hAnsi="Garamond"/>
          <w:b/>
          <w:bCs/>
          <w:lang w:val="sq-AL"/>
        </w:rPr>
        <w:t>9</w:t>
      </w:r>
      <w:r w:rsidR="00E86671" w:rsidRPr="00FA53ED">
        <w:rPr>
          <w:rFonts w:ascii="Garamond" w:hAnsi="Garamond"/>
          <w:b/>
          <w:bCs/>
          <w:lang w:val="sq-AL"/>
        </w:rPr>
        <w:t>8</w:t>
      </w:r>
      <w:r w:rsidR="004D50D8" w:rsidRPr="00FA53ED">
        <w:rPr>
          <w:rFonts w:ascii="Garamond" w:hAnsi="Garamond"/>
          <w:b/>
          <w:bCs/>
          <w:lang w:val="sq-AL"/>
        </w:rPr>
        <w:t>, dat</w:t>
      </w:r>
      <w:r w:rsidR="00B80414">
        <w:rPr>
          <w:rFonts w:ascii="Garamond" w:hAnsi="Garamond"/>
          <w:b/>
          <w:bCs/>
          <w:lang w:val="sq-AL"/>
        </w:rPr>
        <w:t>ë</w:t>
      </w:r>
      <w:bookmarkStart w:id="0" w:name="_GoBack"/>
      <w:bookmarkEnd w:id="0"/>
      <w:r w:rsidR="004D50D8" w:rsidRPr="00FA53ED">
        <w:rPr>
          <w:rFonts w:ascii="Garamond" w:hAnsi="Garamond"/>
          <w:b/>
          <w:bCs/>
          <w:lang w:val="sq-AL"/>
        </w:rPr>
        <w:t xml:space="preserve"> 28.12.2023</w:t>
      </w:r>
    </w:p>
    <w:p w14:paraId="72CFDDC4" w14:textId="76E83E58" w:rsidR="00B60D59" w:rsidRPr="00FA53ED" w:rsidRDefault="00B60D59" w:rsidP="000B3361">
      <w:pPr>
        <w:pStyle w:val="BodyA"/>
        <w:ind w:firstLine="284"/>
        <w:jc w:val="center"/>
        <w:rPr>
          <w:rFonts w:ascii="Garamond" w:hAnsi="Garamond"/>
          <w:lang w:val="sq-AL"/>
        </w:rPr>
      </w:pPr>
    </w:p>
    <w:p w14:paraId="0F87244F" w14:textId="0F7FD045" w:rsidR="00DF4C98" w:rsidRPr="00FA53ED" w:rsidRDefault="00DF4C98" w:rsidP="000B33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eastAsia="en-GB"/>
        </w:rPr>
      </w:pPr>
      <w:r w:rsidRPr="00FA53ED">
        <w:rPr>
          <w:rFonts w:ascii="Garamond" w:hAnsi="Garamond"/>
          <w:b/>
          <w:bCs/>
          <w:color w:val="000000"/>
          <w:lang w:eastAsia="en-GB"/>
        </w:rPr>
        <w:t>PËR DISA SHTESA DHE NDRYSHIME NË VENDIMIN NR.</w:t>
      </w:r>
      <w:r w:rsidR="00FA53ED">
        <w:rPr>
          <w:rFonts w:ascii="Garamond" w:hAnsi="Garamond"/>
          <w:b/>
          <w:bCs/>
          <w:color w:val="000000"/>
          <w:lang w:eastAsia="en-GB"/>
        </w:rPr>
        <w:t xml:space="preserve"> </w:t>
      </w:r>
      <w:r w:rsidRPr="00FA53ED">
        <w:rPr>
          <w:rFonts w:ascii="Garamond" w:hAnsi="Garamond"/>
          <w:b/>
          <w:bCs/>
          <w:color w:val="000000"/>
          <w:lang w:eastAsia="en-GB"/>
        </w:rPr>
        <w:t>699,</w:t>
      </w:r>
      <w:r w:rsidR="0044023A">
        <w:rPr>
          <w:rFonts w:ascii="Garamond" w:hAnsi="Garamond"/>
          <w:b/>
          <w:bCs/>
          <w:color w:val="000000"/>
          <w:lang w:eastAsia="en-GB"/>
        </w:rPr>
        <w:t xml:space="preserve"> </w:t>
      </w:r>
      <w:r w:rsidRPr="00FA53ED">
        <w:rPr>
          <w:rFonts w:ascii="Garamond" w:hAnsi="Garamond"/>
          <w:b/>
          <w:bCs/>
          <w:color w:val="000000"/>
          <w:lang w:eastAsia="en-GB"/>
        </w:rPr>
        <w:t>DATË 5.10.2016, TË KËSHILLIT TË MINISTRAVE, “PËR SHPRONËSIMIN, PËR INTERES PUB</w:t>
      </w:r>
      <w:r w:rsidR="00FA53ED">
        <w:rPr>
          <w:rFonts w:ascii="Garamond" w:hAnsi="Garamond"/>
          <w:b/>
          <w:bCs/>
          <w:color w:val="000000"/>
          <w:lang w:eastAsia="en-GB"/>
        </w:rPr>
        <w:t>L</w:t>
      </w:r>
      <w:r w:rsidRPr="00FA53ED">
        <w:rPr>
          <w:rFonts w:ascii="Garamond" w:hAnsi="Garamond"/>
          <w:b/>
          <w:bCs/>
          <w:color w:val="000000"/>
          <w:lang w:eastAsia="en-GB"/>
        </w:rPr>
        <w:t xml:space="preserve">IK, TË PRONARËVE TË PASURIVE TË PALUAJTSHME, PRONË PRIVATE, QË PREKEN NGA NDËRTIMI I SEGMENTIT RRUGOR </w:t>
      </w:r>
      <w:r w:rsidR="00FA53ED">
        <w:rPr>
          <w:rFonts w:ascii="Garamond" w:hAnsi="Garamond"/>
          <w:b/>
          <w:bCs/>
          <w:color w:val="000000"/>
          <w:lang w:eastAsia="en-GB"/>
        </w:rPr>
        <w:t>‘</w:t>
      </w:r>
      <w:r w:rsidRPr="00FA53ED">
        <w:rPr>
          <w:rFonts w:ascii="Garamond" w:hAnsi="Garamond"/>
          <w:b/>
          <w:bCs/>
          <w:i/>
          <w:iCs/>
          <w:lang w:eastAsia="en-GB"/>
        </w:rPr>
        <w:t>BY-PASS</w:t>
      </w:r>
      <w:r w:rsidR="00FA53ED">
        <w:rPr>
          <w:rFonts w:ascii="Garamond" w:hAnsi="Garamond"/>
          <w:b/>
          <w:bCs/>
          <w:lang w:eastAsia="en-GB"/>
        </w:rPr>
        <w:t>’</w:t>
      </w:r>
      <w:r w:rsidRPr="00FA53ED">
        <w:rPr>
          <w:rFonts w:ascii="Garamond" w:hAnsi="Garamond"/>
          <w:b/>
          <w:bCs/>
          <w:lang w:eastAsia="en-GB"/>
        </w:rPr>
        <w:t xml:space="preserve"> VLORË (SHTESA)”, TË NDRYSHUAR</w:t>
      </w:r>
    </w:p>
    <w:p w14:paraId="4E88A930" w14:textId="77777777" w:rsidR="00DF4C98" w:rsidRPr="00FA53ED" w:rsidRDefault="00DF4C98" w:rsidP="000B33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eastAsia="en-GB"/>
        </w:rPr>
      </w:pPr>
    </w:p>
    <w:p w14:paraId="6BCF8302" w14:textId="67B47F39"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Në mbështetje të nenit 100 të Kushtetutës</w:t>
      </w:r>
      <w:r w:rsidR="00FA53ED">
        <w:rPr>
          <w:rFonts w:ascii="Garamond" w:hAnsi="Garamond"/>
          <w:color w:val="000000"/>
          <w:lang w:eastAsia="en-GB"/>
        </w:rPr>
        <w:t>;</w:t>
      </w:r>
      <w:r w:rsidRPr="00FA53ED">
        <w:rPr>
          <w:rFonts w:ascii="Garamond" w:hAnsi="Garamond"/>
          <w:color w:val="000000"/>
          <w:lang w:eastAsia="en-GB"/>
        </w:rPr>
        <w:t xml:space="preserve"> të neneve 5, 20 e 21, të ligjit nr.</w:t>
      </w:r>
      <w:r w:rsidR="00FA53ED">
        <w:rPr>
          <w:rFonts w:ascii="Garamond" w:hAnsi="Garamond"/>
          <w:color w:val="000000"/>
          <w:lang w:eastAsia="en-GB"/>
        </w:rPr>
        <w:t xml:space="preserve"> </w:t>
      </w:r>
      <w:r w:rsidRPr="00FA53ED">
        <w:rPr>
          <w:rFonts w:ascii="Garamond" w:hAnsi="Garamond"/>
          <w:color w:val="000000"/>
          <w:lang w:eastAsia="en-GB"/>
        </w:rPr>
        <w:t xml:space="preserve">8561, datë 22.12.1999, “Për shpronësimet dhe marrjen në përdorim të përkohshëm të pasurisë, pronë private, për interes publik”, të ndryshuar, me propozimin e </w:t>
      </w:r>
      <w:r w:rsidR="00FA53ED">
        <w:rPr>
          <w:rFonts w:ascii="Garamond" w:hAnsi="Garamond"/>
          <w:color w:val="000000"/>
          <w:lang w:eastAsia="en-GB"/>
        </w:rPr>
        <w:t>z</w:t>
      </w:r>
      <w:r w:rsidRPr="00FA53ED">
        <w:rPr>
          <w:rFonts w:ascii="Garamond" w:hAnsi="Garamond"/>
          <w:color w:val="000000"/>
          <w:lang w:eastAsia="en-GB"/>
        </w:rPr>
        <w:t>ëvendëskryeministrit dhe ministr</w:t>
      </w:r>
      <w:r w:rsidR="00FA53ED">
        <w:rPr>
          <w:rFonts w:ascii="Garamond" w:hAnsi="Garamond"/>
          <w:color w:val="000000"/>
          <w:lang w:eastAsia="en-GB"/>
        </w:rPr>
        <w:t>it</w:t>
      </w:r>
      <w:r w:rsidRPr="00FA53ED">
        <w:rPr>
          <w:rFonts w:ascii="Garamond" w:hAnsi="Garamond"/>
          <w:color w:val="000000"/>
          <w:lang w:eastAsia="en-GB"/>
        </w:rPr>
        <w:t xml:space="preserve"> </w:t>
      </w:r>
      <w:r w:rsidR="00FA53ED">
        <w:rPr>
          <w:rFonts w:ascii="Garamond" w:hAnsi="Garamond"/>
          <w:color w:val="000000"/>
          <w:lang w:eastAsia="en-GB"/>
        </w:rPr>
        <w:t>të</w:t>
      </w:r>
      <w:r w:rsidRPr="00FA53ED">
        <w:rPr>
          <w:rFonts w:ascii="Garamond" w:hAnsi="Garamond"/>
          <w:color w:val="000000"/>
          <w:lang w:eastAsia="en-GB"/>
        </w:rPr>
        <w:t xml:space="preserve"> Infrastrukturës dhe Energjisë, Këshilli i Ministrave</w:t>
      </w:r>
    </w:p>
    <w:p w14:paraId="12E1C523" w14:textId="77777777"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p>
    <w:p w14:paraId="7A548848" w14:textId="77777777"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Cs/>
          <w:color w:val="000000"/>
          <w:lang w:eastAsia="en-GB"/>
        </w:rPr>
      </w:pPr>
      <w:r w:rsidRPr="00FA53ED">
        <w:rPr>
          <w:rFonts w:ascii="Garamond" w:hAnsi="Garamond"/>
          <w:bCs/>
          <w:color w:val="000000"/>
          <w:lang w:eastAsia="en-GB"/>
        </w:rPr>
        <w:t>VENDOSI:</w:t>
      </w:r>
    </w:p>
    <w:p w14:paraId="17FD37AE" w14:textId="77777777"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lang w:eastAsia="en-GB"/>
        </w:rPr>
      </w:pPr>
    </w:p>
    <w:p w14:paraId="684DDC0F" w14:textId="1281A4EC"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1. Në vendimin nr.</w:t>
      </w:r>
      <w:r w:rsidR="00FA53ED">
        <w:rPr>
          <w:rFonts w:ascii="Garamond" w:hAnsi="Garamond"/>
          <w:color w:val="000000"/>
          <w:lang w:eastAsia="en-GB"/>
        </w:rPr>
        <w:t xml:space="preserve"> </w:t>
      </w:r>
      <w:r w:rsidRPr="00FA53ED">
        <w:rPr>
          <w:rFonts w:ascii="Garamond" w:hAnsi="Garamond"/>
          <w:color w:val="000000"/>
          <w:lang w:eastAsia="en-GB"/>
        </w:rPr>
        <w:t>699, datë 5.10.2016, të Këshillit të Ministrave, të ndryshuar, bëhen këto shtesa dhe ndryshime:</w:t>
      </w:r>
    </w:p>
    <w:p w14:paraId="36022993" w14:textId="4C39AD6D"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 xml:space="preserve">a) Paragrafi i fundit, i pikës 3, ndryshohet, si më poshtë vijon: </w:t>
      </w:r>
    </w:p>
    <w:p w14:paraId="3BE56146" w14:textId="2C1D4177"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 xml:space="preserve">“- ullishte, me sipërfaqe 6 536 (gjashtë mijë e pesëqind e tridhjetë e gjashtë) </w:t>
      </w:r>
      <w:r w:rsidR="00FA53ED">
        <w:rPr>
          <w:rFonts w:ascii="Garamond" w:hAnsi="Garamond"/>
          <w:color w:val="000000"/>
          <w:lang w:eastAsia="en-GB"/>
        </w:rPr>
        <w:t>m</w:t>
      </w:r>
      <w:r w:rsidR="00FA53ED" w:rsidRPr="00FA53ED">
        <w:rPr>
          <w:rFonts w:ascii="Garamond" w:hAnsi="Garamond"/>
          <w:color w:val="000000"/>
          <w:vertAlign w:val="superscript"/>
          <w:lang w:eastAsia="en-GB"/>
        </w:rPr>
        <w:t>2</w:t>
      </w:r>
      <w:r w:rsidRPr="00FA53ED">
        <w:rPr>
          <w:rFonts w:ascii="Garamond" w:hAnsi="Garamond"/>
          <w:color w:val="000000"/>
          <w:lang w:eastAsia="en-GB"/>
        </w:rPr>
        <w:t>, me vlerë 1 176 264 (një milion e njëqind e shtatëdhjetë e gjashtë mijë e dyqind e gjashtëdhjetë e katër) lekë.”</w:t>
      </w:r>
      <w:r w:rsidR="00FA53ED">
        <w:rPr>
          <w:rFonts w:ascii="Garamond" w:hAnsi="Garamond"/>
          <w:color w:val="000000"/>
          <w:lang w:eastAsia="en-GB"/>
        </w:rPr>
        <w:t>;</w:t>
      </w:r>
    </w:p>
    <w:p w14:paraId="25C228CE" w14:textId="3DCB0438"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b) Në pikën 4, shuma “254 371 689 (dyqind e pesëdhjetë e katër milionë e treqind e shtatëdhjetë e një mijë e gjashtëqind e tetëdhjetë e nëntë) lekësh” zëvendësohet me “254 524 689 (dyqind e pesëdhjetë e katër milionë e pesëqind e njëzet e katër mijë e gjashtëqind e tetëdhjetë e nëntë) lekë” dhe shuma “234 237 718 (dyqind e tridhjetë e katër milionë e dyqind e tridhjetë e shtatë mijë e shtatëqind e tetëmbëdhjetë) lekë” zëvendësohet me “234 390 718 (dyqind e tridhjetë e katër milionë e treqind e nëntëdhjetë mijë e shtatëqind e tetëmbëdhjetë) lekë”</w:t>
      </w:r>
      <w:r w:rsidR="00FA53ED">
        <w:rPr>
          <w:rFonts w:ascii="Garamond" w:hAnsi="Garamond"/>
          <w:color w:val="000000"/>
          <w:lang w:eastAsia="en-GB"/>
        </w:rPr>
        <w:t>;</w:t>
      </w:r>
    </w:p>
    <w:p w14:paraId="484A0CF3" w14:textId="18D1F68C"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c)</w:t>
      </w:r>
      <w:r w:rsidR="0044023A">
        <w:rPr>
          <w:rFonts w:ascii="Garamond" w:hAnsi="Garamond"/>
          <w:color w:val="000000"/>
          <w:lang w:eastAsia="en-GB"/>
        </w:rPr>
        <w:t xml:space="preserve"> </w:t>
      </w:r>
      <w:r w:rsidRPr="00FA53ED">
        <w:rPr>
          <w:rFonts w:ascii="Garamond" w:hAnsi="Garamond"/>
          <w:color w:val="000000"/>
          <w:lang w:eastAsia="en-GB"/>
        </w:rPr>
        <w:t>Numri rendor 1, i tabelës së shtuar me vendimin nr.</w:t>
      </w:r>
      <w:r w:rsidR="00FA53ED">
        <w:rPr>
          <w:rFonts w:ascii="Garamond" w:hAnsi="Garamond"/>
          <w:color w:val="000000"/>
          <w:lang w:eastAsia="en-GB"/>
        </w:rPr>
        <w:t xml:space="preserve"> </w:t>
      </w:r>
      <w:r w:rsidRPr="00FA53ED">
        <w:rPr>
          <w:rFonts w:ascii="Garamond" w:hAnsi="Garamond"/>
          <w:color w:val="000000"/>
          <w:lang w:eastAsia="en-GB"/>
        </w:rPr>
        <w:t>38, datë 22.1.2020, të Këshillit të Ministrave, ndryshohet sipas të dhënave të tabelës bashkëlidhur këtij vendimi.</w:t>
      </w:r>
    </w:p>
    <w:p w14:paraId="2A7C2E30" w14:textId="4DED199F"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2.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44190DC1" w14:textId="4BFA227C"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3. Agjencia Shtetërore për Shpronësimin kryen procedurat për likuidimin e pronarëve të shpronësuar, sipas përcaktimeve të bëra në këtë vendim.</w:t>
      </w:r>
    </w:p>
    <w:p w14:paraId="53E63F13" w14:textId="7FF84D08"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4.</w:t>
      </w:r>
      <w:r w:rsidR="0044023A">
        <w:rPr>
          <w:rFonts w:ascii="Garamond" w:hAnsi="Garamond"/>
          <w:color w:val="000000"/>
          <w:lang w:eastAsia="en-GB"/>
        </w:rPr>
        <w:t xml:space="preserve"> </w:t>
      </w:r>
      <w:r w:rsidRPr="00FA53ED">
        <w:rPr>
          <w:rFonts w:ascii="Garamond" w:hAnsi="Garamond"/>
          <w:color w:val="000000"/>
          <w:lang w:eastAsia="en-GB"/>
        </w:rPr>
        <w:t>Shpenzimet procedurale, në vlerën 50 000 (pesëdhjetë mijë) lekë, përballohen nga Autoriteti Rrugor Shqiptar.</w:t>
      </w:r>
    </w:p>
    <w:p w14:paraId="20F832AE" w14:textId="00233240"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5. Ngarkohen Ministria e Infrastrukturës dhe Energjisë, Autoriteti Rrugor Shqiptar, Agjencia Shtetërore për Shpronësimin, Agjencia Shtetërore e Kadastrës, Drejtoria Vendore Vlorë, si dhe Drejtoria e Administrimit dhe Mbrojtjes së Tokës pranë Këshillit të Qarkut Vlorë për zbatimin e këtij vendimi.</w:t>
      </w:r>
    </w:p>
    <w:p w14:paraId="2BF3AD5D" w14:textId="14DB551B"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tabs>
          <w:tab w:val="left" w:pos="260"/>
        </w:tabs>
        <w:autoSpaceDE w:val="0"/>
        <w:autoSpaceDN w:val="0"/>
        <w:adjustRightInd w:val="0"/>
        <w:ind w:firstLine="284"/>
        <w:jc w:val="both"/>
        <w:rPr>
          <w:rFonts w:ascii="Garamond" w:hAnsi="Garamond"/>
          <w:color w:val="000000"/>
          <w:lang w:eastAsia="en-GB"/>
        </w:rPr>
      </w:pPr>
      <w:r w:rsidRPr="00FA53ED">
        <w:rPr>
          <w:rFonts w:ascii="Garamond" w:hAnsi="Garamond"/>
          <w:color w:val="000000"/>
          <w:lang w:eastAsia="en-GB"/>
        </w:rPr>
        <w:t>Ky vendim hyn në fuqi menjëherë dhe botohet në Fletoren Zyrtare.</w:t>
      </w:r>
    </w:p>
    <w:p w14:paraId="46ACB845" w14:textId="63467692" w:rsidR="00DF4C98" w:rsidRPr="00FA53ED" w:rsidRDefault="00DF4C98" w:rsidP="00DF4C98">
      <w:pPr>
        <w:pStyle w:val="BodyA"/>
        <w:ind w:firstLine="284"/>
        <w:jc w:val="center"/>
        <w:rPr>
          <w:rFonts w:ascii="Garamond" w:hAnsi="Garamond"/>
          <w:lang w:val="sq-AL"/>
        </w:rPr>
      </w:pPr>
    </w:p>
    <w:p w14:paraId="21E6C9BF" w14:textId="77777777"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Cs/>
          <w:lang w:eastAsia="en-GB"/>
        </w:rPr>
      </w:pPr>
      <w:r w:rsidRPr="00FA53ED">
        <w:rPr>
          <w:rFonts w:ascii="Garamond" w:hAnsi="Garamond" w:cs="Times New Roman Bold"/>
          <w:bCs/>
          <w:lang w:eastAsia="en-GB"/>
        </w:rPr>
        <w:t>KRYEMINISTËR</w:t>
      </w:r>
    </w:p>
    <w:p w14:paraId="2DD66487" w14:textId="6F69A267" w:rsidR="00DF4C98" w:rsidRPr="00FA53ED" w:rsidRDefault="00DF4C98"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pPr>
      <w:r w:rsidRPr="00FA53ED">
        <w:rPr>
          <w:rFonts w:ascii="Garamond" w:hAnsi="Garamond" w:cs="Times New Roman Bold"/>
          <w:b/>
          <w:bCs/>
          <w:lang w:eastAsia="en-GB"/>
        </w:rPr>
        <w:t>Edi Rama</w:t>
      </w:r>
    </w:p>
    <w:p w14:paraId="428835C4" w14:textId="7E836CDA" w:rsidR="002F7D63" w:rsidRPr="00FA53ED" w:rsidRDefault="002F7D63"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pPr>
    </w:p>
    <w:p w14:paraId="12F3E06F" w14:textId="30F5B1E8" w:rsidR="002F7D63" w:rsidRPr="00FA53ED" w:rsidRDefault="002F7D63"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pPr>
    </w:p>
    <w:p w14:paraId="5CB6D1DE" w14:textId="6C9E2184" w:rsidR="002F7D63" w:rsidRPr="00FA53ED" w:rsidRDefault="002F7D63"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pPr>
    </w:p>
    <w:p w14:paraId="0978A610" w14:textId="748776DF" w:rsidR="002F7D63" w:rsidRPr="00FA53ED" w:rsidRDefault="002F7D63"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pPr>
    </w:p>
    <w:p w14:paraId="0BE838A9" w14:textId="66D25162" w:rsidR="002F7D63" w:rsidRPr="00FA53ED" w:rsidRDefault="002F7D63"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pPr>
    </w:p>
    <w:p w14:paraId="16B76039" w14:textId="77777777" w:rsidR="002F7D63" w:rsidRPr="00FA53ED" w:rsidRDefault="002F7D63"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sectPr w:rsidR="002F7D63" w:rsidRPr="00FA53ED" w:rsidSect="009F3407">
          <w:footerReference w:type="default" r:id="rId13"/>
          <w:pgSz w:w="11906" w:h="16838" w:code="9"/>
          <w:pgMar w:top="1440" w:right="1440" w:bottom="1440" w:left="1440" w:header="720" w:footer="720" w:gutter="0"/>
          <w:cols w:space="720"/>
          <w:docGrid w:linePitch="326"/>
        </w:sectPr>
      </w:pPr>
    </w:p>
    <w:p w14:paraId="2D88F9F7" w14:textId="3E74824C" w:rsidR="002F7D63" w:rsidRPr="00FA53ED" w:rsidRDefault="002F7D63" w:rsidP="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
          <w:bCs/>
          <w:lang w:eastAsia="en-GB"/>
        </w:rPr>
      </w:pPr>
    </w:p>
    <w:p w14:paraId="213FA698" w14:textId="1335A00D" w:rsidR="00DF4C98" w:rsidRPr="00FA53ED" w:rsidRDefault="00DF4C98" w:rsidP="00DF4C98">
      <w:pPr>
        <w:pStyle w:val="BodyA"/>
        <w:ind w:firstLine="284"/>
        <w:jc w:val="center"/>
        <w:rPr>
          <w:rFonts w:ascii="Garamond" w:hAnsi="Garamond"/>
          <w:lang w:val="sq-AL"/>
        </w:rPr>
      </w:pPr>
    </w:p>
    <w:tbl>
      <w:tblPr>
        <w:tblW w:w="5000" w:type="pct"/>
        <w:tblLook w:val="04A0" w:firstRow="1" w:lastRow="0" w:firstColumn="1" w:lastColumn="0" w:noHBand="0" w:noVBand="1"/>
      </w:tblPr>
      <w:tblGrid>
        <w:gridCol w:w="620"/>
        <w:gridCol w:w="478"/>
        <w:gridCol w:w="530"/>
        <w:gridCol w:w="1001"/>
        <w:gridCol w:w="735"/>
        <w:gridCol w:w="642"/>
        <w:gridCol w:w="638"/>
        <w:gridCol w:w="759"/>
        <w:gridCol w:w="730"/>
        <w:gridCol w:w="466"/>
        <w:gridCol w:w="634"/>
        <w:gridCol w:w="600"/>
        <w:gridCol w:w="583"/>
        <w:gridCol w:w="702"/>
        <w:gridCol w:w="517"/>
        <w:gridCol w:w="658"/>
        <w:gridCol w:w="688"/>
        <w:gridCol w:w="645"/>
        <w:gridCol w:w="2312"/>
      </w:tblGrid>
      <w:tr w:rsidR="002F7D63" w:rsidRPr="00FA53ED" w14:paraId="79683532" w14:textId="77777777" w:rsidTr="00FA53ED">
        <w:trPr>
          <w:trHeight w:val="180"/>
        </w:trPr>
        <w:tc>
          <w:tcPr>
            <w:tcW w:w="208" w:type="pct"/>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63382A4E" w14:textId="51008874"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Nr. rendor në VKM</w:t>
            </w:r>
            <w:r w:rsidR="00FA53ED">
              <w:rPr>
                <w:rFonts w:ascii="Garamond" w:eastAsia="Times New Roman" w:hAnsi="Garamond" w:cs="Arial"/>
                <w:b/>
                <w:bCs/>
                <w:color w:val="000000"/>
                <w:sz w:val="12"/>
                <w:szCs w:val="12"/>
                <w:bdr w:val="none" w:sz="0" w:space="0" w:color="auto"/>
              </w:rPr>
              <w:t>-në</w:t>
            </w:r>
            <w:r w:rsidRPr="00FA53ED">
              <w:rPr>
                <w:rFonts w:ascii="Garamond" w:eastAsia="Times New Roman" w:hAnsi="Garamond" w:cs="Arial"/>
                <w:b/>
                <w:bCs/>
                <w:color w:val="000000"/>
                <w:sz w:val="12"/>
                <w:szCs w:val="12"/>
                <w:bdr w:val="none" w:sz="0" w:space="0" w:color="auto"/>
              </w:rPr>
              <w:t xml:space="preserve"> 38/2020</w:t>
            </w:r>
          </w:p>
        </w:tc>
        <w:tc>
          <w:tcPr>
            <w:tcW w:w="662" w:type="pct"/>
            <w:gridSpan w:val="3"/>
            <w:tcBorders>
              <w:top w:val="single" w:sz="8" w:space="0" w:color="auto"/>
              <w:left w:val="nil"/>
              <w:bottom w:val="single" w:sz="4" w:space="0" w:color="auto"/>
              <w:right w:val="single" w:sz="4" w:space="0" w:color="auto"/>
            </w:tcBorders>
            <w:shd w:val="clear" w:color="auto" w:fill="auto"/>
            <w:noWrap/>
            <w:vAlign w:val="center"/>
            <w:hideMark/>
          </w:tcPr>
          <w:p w14:paraId="7CBBE665"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Pronari</w:t>
            </w:r>
          </w:p>
        </w:tc>
        <w:tc>
          <w:tcPr>
            <w:tcW w:w="265"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4F82BEC1" w14:textId="7D30F189"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Zona kadastrale</w:t>
            </w:r>
          </w:p>
        </w:tc>
        <w:tc>
          <w:tcPr>
            <w:tcW w:w="249"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65DCDAF0"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Numri i pasurisë</w:t>
            </w:r>
          </w:p>
        </w:tc>
        <w:tc>
          <w:tcPr>
            <w:tcW w:w="237"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64C80772"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Lloji i pasurisë</w:t>
            </w:r>
          </w:p>
        </w:tc>
        <w:tc>
          <w:tcPr>
            <w:tcW w:w="237"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68D28D95" w14:textId="26A0AF1F"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Dru</w:t>
            </w:r>
            <w:r w:rsidR="00FA53ED">
              <w:rPr>
                <w:rFonts w:ascii="Garamond" w:eastAsia="Times New Roman" w:hAnsi="Garamond" w:cs="Arial"/>
                <w:b/>
                <w:bCs/>
                <w:color w:val="000000"/>
                <w:sz w:val="12"/>
                <w:szCs w:val="12"/>
                <w:bdr w:val="none" w:sz="0" w:space="0" w:color="auto"/>
              </w:rPr>
              <w:t>f</w:t>
            </w:r>
            <w:r w:rsidRPr="00FA53ED">
              <w:rPr>
                <w:rFonts w:ascii="Garamond" w:eastAsia="Times New Roman" w:hAnsi="Garamond" w:cs="Arial"/>
                <w:b/>
                <w:bCs/>
                <w:color w:val="000000"/>
                <w:sz w:val="12"/>
                <w:szCs w:val="12"/>
                <w:bdr w:val="none" w:sz="0" w:space="0" w:color="auto"/>
              </w:rPr>
              <w:t>rutorë (</w:t>
            </w:r>
            <w:r w:rsidR="00FA53ED">
              <w:rPr>
                <w:rFonts w:ascii="Garamond" w:eastAsia="Times New Roman" w:hAnsi="Garamond" w:cs="Arial"/>
                <w:b/>
                <w:bCs/>
                <w:color w:val="000000"/>
                <w:sz w:val="12"/>
                <w:szCs w:val="12"/>
                <w:bdr w:val="none" w:sz="0" w:space="0" w:color="auto"/>
              </w:rPr>
              <w:t>u</w:t>
            </w:r>
            <w:r w:rsidRPr="00FA53ED">
              <w:rPr>
                <w:rFonts w:ascii="Garamond" w:eastAsia="Times New Roman" w:hAnsi="Garamond" w:cs="Arial"/>
                <w:b/>
                <w:bCs/>
                <w:color w:val="000000"/>
                <w:sz w:val="12"/>
                <w:szCs w:val="12"/>
                <w:bdr w:val="none" w:sz="0" w:space="0" w:color="auto"/>
              </w:rPr>
              <w:t>llishte) Vlera në lekë</w:t>
            </w:r>
          </w:p>
        </w:tc>
        <w:tc>
          <w:tcPr>
            <w:tcW w:w="273"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708E7FEB"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Sip. totale (m²)</w:t>
            </w:r>
          </w:p>
        </w:tc>
        <w:tc>
          <w:tcPr>
            <w:tcW w:w="1284" w:type="pct"/>
            <w:gridSpan w:val="6"/>
            <w:tcBorders>
              <w:top w:val="single" w:sz="4" w:space="0" w:color="auto"/>
              <w:left w:val="nil"/>
              <w:bottom w:val="single" w:sz="4" w:space="0" w:color="auto"/>
              <w:right w:val="single" w:sz="4" w:space="0" w:color="auto"/>
            </w:tcBorders>
            <w:shd w:val="clear" w:color="auto" w:fill="auto"/>
            <w:vAlign w:val="center"/>
            <w:hideMark/>
          </w:tcPr>
          <w:p w14:paraId="25CE3EB4" w14:textId="2014BFFC"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 xml:space="preserve">Sip. e </w:t>
            </w:r>
            <w:r w:rsidR="00FA53ED">
              <w:rPr>
                <w:rFonts w:ascii="Garamond" w:eastAsia="Times New Roman" w:hAnsi="Garamond" w:cs="Arial"/>
                <w:b/>
                <w:bCs/>
                <w:color w:val="000000"/>
                <w:sz w:val="12"/>
                <w:szCs w:val="12"/>
                <w:bdr w:val="none" w:sz="0" w:space="0" w:color="auto"/>
              </w:rPr>
              <w:t>s</w:t>
            </w:r>
            <w:r w:rsidRPr="00FA53ED">
              <w:rPr>
                <w:rFonts w:ascii="Garamond" w:eastAsia="Times New Roman" w:hAnsi="Garamond" w:cs="Arial"/>
                <w:b/>
                <w:bCs/>
                <w:color w:val="000000"/>
                <w:sz w:val="12"/>
                <w:szCs w:val="12"/>
                <w:bdr w:val="none" w:sz="0" w:space="0" w:color="auto"/>
              </w:rPr>
              <w:t>hpronësimit</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483B41" w14:textId="52F85935"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Vlera (lek/m²)</w:t>
            </w:r>
          </w:p>
        </w:tc>
        <w:tc>
          <w:tcPr>
            <w:tcW w:w="265" w:type="pct"/>
            <w:vMerge w:val="restart"/>
            <w:tcBorders>
              <w:top w:val="single" w:sz="8" w:space="0" w:color="auto"/>
              <w:left w:val="nil"/>
              <w:bottom w:val="single" w:sz="4" w:space="0" w:color="000000"/>
              <w:right w:val="single" w:sz="4" w:space="0" w:color="auto"/>
            </w:tcBorders>
            <w:shd w:val="clear" w:color="auto" w:fill="auto"/>
            <w:vAlign w:val="center"/>
            <w:hideMark/>
          </w:tcPr>
          <w:p w14:paraId="121631D7"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Vlera totale (lekë)</w:t>
            </w:r>
          </w:p>
        </w:tc>
        <w:tc>
          <w:tcPr>
            <w:tcW w:w="241"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7882B714"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Adresa</w:t>
            </w:r>
          </w:p>
        </w:tc>
        <w:tc>
          <w:tcPr>
            <w:tcW w:w="843" w:type="pct"/>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14:paraId="49B68063"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Shënime</w:t>
            </w:r>
          </w:p>
        </w:tc>
      </w:tr>
      <w:tr w:rsidR="002F7D63" w:rsidRPr="00FA53ED" w14:paraId="3C7BF8FA" w14:textId="77777777" w:rsidTr="00FA53ED">
        <w:trPr>
          <w:trHeight w:val="276"/>
        </w:trPr>
        <w:tc>
          <w:tcPr>
            <w:tcW w:w="208" w:type="pct"/>
            <w:vMerge/>
            <w:tcBorders>
              <w:top w:val="single" w:sz="8" w:space="0" w:color="auto"/>
              <w:left w:val="single" w:sz="8" w:space="0" w:color="auto"/>
              <w:bottom w:val="single" w:sz="4" w:space="0" w:color="000000"/>
              <w:right w:val="single" w:sz="4" w:space="0" w:color="auto"/>
            </w:tcBorders>
            <w:vAlign w:val="center"/>
            <w:hideMark/>
          </w:tcPr>
          <w:p w14:paraId="2DCDBA33"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6CF3E5"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Emri</w:t>
            </w:r>
          </w:p>
        </w:tc>
        <w:tc>
          <w:tcPr>
            <w:tcW w:w="1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D568F8" w14:textId="1C7FB511"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Atësia</w:t>
            </w:r>
          </w:p>
        </w:tc>
        <w:tc>
          <w:tcPr>
            <w:tcW w:w="3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289E3B" w14:textId="77777777" w:rsidR="002F7D63" w:rsidRPr="00FA53ED" w:rsidRDefault="002F7D63" w:rsidP="00FA53E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Mbiemri</w:t>
            </w:r>
          </w:p>
        </w:tc>
        <w:tc>
          <w:tcPr>
            <w:tcW w:w="265" w:type="pct"/>
            <w:vMerge/>
            <w:tcBorders>
              <w:top w:val="single" w:sz="8" w:space="0" w:color="auto"/>
              <w:left w:val="single" w:sz="4" w:space="0" w:color="auto"/>
              <w:bottom w:val="single" w:sz="4" w:space="0" w:color="000000"/>
              <w:right w:val="single" w:sz="4" w:space="0" w:color="auto"/>
            </w:tcBorders>
            <w:vAlign w:val="center"/>
            <w:hideMark/>
          </w:tcPr>
          <w:p w14:paraId="754AF062"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49" w:type="pct"/>
            <w:vMerge/>
            <w:tcBorders>
              <w:top w:val="single" w:sz="8" w:space="0" w:color="auto"/>
              <w:left w:val="single" w:sz="4" w:space="0" w:color="auto"/>
              <w:bottom w:val="single" w:sz="4" w:space="0" w:color="000000"/>
              <w:right w:val="single" w:sz="4" w:space="0" w:color="auto"/>
            </w:tcBorders>
            <w:vAlign w:val="center"/>
            <w:hideMark/>
          </w:tcPr>
          <w:p w14:paraId="56F4CD38"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37" w:type="pct"/>
            <w:vMerge/>
            <w:tcBorders>
              <w:top w:val="single" w:sz="8" w:space="0" w:color="auto"/>
              <w:left w:val="single" w:sz="4" w:space="0" w:color="auto"/>
              <w:bottom w:val="single" w:sz="4" w:space="0" w:color="000000"/>
              <w:right w:val="single" w:sz="4" w:space="0" w:color="auto"/>
            </w:tcBorders>
            <w:vAlign w:val="center"/>
            <w:hideMark/>
          </w:tcPr>
          <w:p w14:paraId="0871D3A9"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37" w:type="pct"/>
            <w:vMerge/>
            <w:tcBorders>
              <w:top w:val="single" w:sz="8" w:space="0" w:color="auto"/>
              <w:left w:val="single" w:sz="4" w:space="0" w:color="auto"/>
              <w:bottom w:val="single" w:sz="4" w:space="0" w:color="000000"/>
              <w:right w:val="single" w:sz="4" w:space="0" w:color="auto"/>
            </w:tcBorders>
            <w:vAlign w:val="center"/>
            <w:hideMark/>
          </w:tcPr>
          <w:p w14:paraId="11D1A69B"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73" w:type="pct"/>
            <w:vMerge/>
            <w:tcBorders>
              <w:top w:val="single" w:sz="8" w:space="0" w:color="auto"/>
              <w:left w:val="single" w:sz="4" w:space="0" w:color="auto"/>
              <w:bottom w:val="single" w:sz="4" w:space="0" w:color="000000"/>
              <w:right w:val="single" w:sz="4" w:space="0" w:color="auto"/>
            </w:tcBorders>
            <w:vAlign w:val="center"/>
            <w:hideMark/>
          </w:tcPr>
          <w:p w14:paraId="32F1423B"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6C869491"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Arë (m²)</w:t>
            </w:r>
          </w:p>
        </w:tc>
        <w:tc>
          <w:tcPr>
            <w:tcW w:w="23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FE754B"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2"/>
                <w:szCs w:val="12"/>
                <w:bdr w:val="none" w:sz="0" w:space="0" w:color="auto"/>
              </w:rPr>
            </w:pPr>
            <w:r w:rsidRPr="00FA53ED">
              <w:rPr>
                <w:rFonts w:ascii="Garamond" w:eastAsia="Times New Roman" w:hAnsi="Garamond"/>
                <w:b/>
                <w:bCs/>
                <w:color w:val="000000"/>
                <w:sz w:val="12"/>
                <w:szCs w:val="12"/>
                <w:bdr w:val="none" w:sz="0" w:space="0" w:color="auto"/>
              </w:rPr>
              <w:t>Ullishte (m²)</w:t>
            </w:r>
          </w:p>
        </w:tc>
        <w:tc>
          <w:tcPr>
            <w:tcW w:w="225" w:type="pct"/>
            <w:vMerge w:val="restart"/>
            <w:tcBorders>
              <w:top w:val="nil"/>
              <w:left w:val="single" w:sz="4" w:space="0" w:color="auto"/>
              <w:bottom w:val="single" w:sz="4" w:space="0" w:color="000000"/>
              <w:right w:val="single" w:sz="4" w:space="0" w:color="auto"/>
            </w:tcBorders>
            <w:shd w:val="clear" w:color="auto" w:fill="auto"/>
            <w:vAlign w:val="center"/>
            <w:hideMark/>
          </w:tcPr>
          <w:p w14:paraId="19E6600B"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Vresht (m²)</w:t>
            </w:r>
          </w:p>
        </w:tc>
        <w:tc>
          <w:tcPr>
            <w:tcW w:w="217" w:type="pct"/>
            <w:vMerge w:val="restart"/>
            <w:tcBorders>
              <w:top w:val="nil"/>
              <w:left w:val="single" w:sz="4" w:space="0" w:color="auto"/>
              <w:bottom w:val="single" w:sz="4" w:space="0" w:color="000000"/>
              <w:right w:val="single" w:sz="4" w:space="0" w:color="auto"/>
            </w:tcBorders>
            <w:shd w:val="clear" w:color="auto" w:fill="auto"/>
            <w:vAlign w:val="center"/>
            <w:hideMark/>
          </w:tcPr>
          <w:p w14:paraId="35FF3667"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Kullotë (m²)</w:t>
            </w:r>
          </w:p>
        </w:tc>
        <w:tc>
          <w:tcPr>
            <w:tcW w:w="233" w:type="pct"/>
            <w:vMerge w:val="restart"/>
            <w:tcBorders>
              <w:top w:val="nil"/>
              <w:left w:val="single" w:sz="4" w:space="0" w:color="auto"/>
              <w:bottom w:val="single" w:sz="4" w:space="0" w:color="000000"/>
              <w:right w:val="single" w:sz="4" w:space="0" w:color="auto"/>
            </w:tcBorders>
            <w:shd w:val="clear" w:color="auto" w:fill="auto"/>
            <w:vAlign w:val="center"/>
            <w:hideMark/>
          </w:tcPr>
          <w:p w14:paraId="1AD6E4F0" w14:textId="29F8A777" w:rsidR="002F7D63" w:rsidRPr="00FA53ED" w:rsidRDefault="00FA53ED"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Pemëtore</w:t>
            </w:r>
            <w:r w:rsidR="002F7D63" w:rsidRPr="00FA53ED">
              <w:rPr>
                <w:rFonts w:ascii="Garamond" w:eastAsia="Times New Roman" w:hAnsi="Garamond" w:cs="Arial"/>
                <w:b/>
                <w:bCs/>
                <w:color w:val="000000"/>
                <w:sz w:val="12"/>
                <w:szCs w:val="12"/>
                <w:bdr w:val="none" w:sz="0" w:space="0" w:color="auto"/>
              </w:rPr>
              <w:t xml:space="preserve"> (m²)</w:t>
            </w:r>
          </w:p>
        </w:tc>
        <w:tc>
          <w:tcPr>
            <w:tcW w:w="19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04ADC76" w14:textId="77777777" w:rsid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Pyll</w:t>
            </w:r>
          </w:p>
          <w:p w14:paraId="411984A8" w14:textId="5715F452"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color w:val="000000"/>
                <w:sz w:val="12"/>
                <w:szCs w:val="12"/>
                <w:bdr w:val="none" w:sz="0" w:space="0" w:color="auto"/>
              </w:rPr>
            </w:pPr>
            <w:r w:rsidRPr="00FA53ED">
              <w:rPr>
                <w:rFonts w:ascii="Garamond" w:eastAsia="Times New Roman" w:hAnsi="Garamond" w:cs="Arial"/>
                <w:b/>
                <w:bCs/>
                <w:color w:val="000000"/>
                <w:sz w:val="12"/>
                <w:szCs w:val="12"/>
                <w:bdr w:val="none" w:sz="0" w:space="0" w:color="auto"/>
              </w:rPr>
              <w:t xml:space="preserve"> (m²)</w:t>
            </w: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B030716"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65" w:type="pct"/>
            <w:vMerge/>
            <w:tcBorders>
              <w:top w:val="single" w:sz="8" w:space="0" w:color="auto"/>
              <w:left w:val="nil"/>
              <w:bottom w:val="single" w:sz="4" w:space="0" w:color="000000"/>
              <w:right w:val="single" w:sz="4" w:space="0" w:color="auto"/>
            </w:tcBorders>
            <w:vAlign w:val="center"/>
            <w:hideMark/>
          </w:tcPr>
          <w:p w14:paraId="0E33999B"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41" w:type="pct"/>
            <w:vMerge/>
            <w:tcBorders>
              <w:top w:val="single" w:sz="8" w:space="0" w:color="auto"/>
              <w:left w:val="single" w:sz="4" w:space="0" w:color="auto"/>
              <w:bottom w:val="single" w:sz="4" w:space="0" w:color="000000"/>
              <w:right w:val="single" w:sz="4" w:space="0" w:color="auto"/>
            </w:tcBorders>
            <w:vAlign w:val="center"/>
            <w:hideMark/>
          </w:tcPr>
          <w:p w14:paraId="6C989524"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843" w:type="pct"/>
            <w:vMerge/>
            <w:tcBorders>
              <w:top w:val="single" w:sz="8" w:space="0" w:color="auto"/>
              <w:left w:val="single" w:sz="4" w:space="0" w:color="auto"/>
              <w:bottom w:val="single" w:sz="4" w:space="0" w:color="000000"/>
              <w:right w:val="single" w:sz="8" w:space="0" w:color="auto"/>
            </w:tcBorders>
            <w:vAlign w:val="center"/>
            <w:hideMark/>
          </w:tcPr>
          <w:p w14:paraId="349E6B02"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r>
      <w:tr w:rsidR="002F7D63" w:rsidRPr="00FA53ED" w14:paraId="43E2F091" w14:textId="77777777" w:rsidTr="0044023A">
        <w:trPr>
          <w:trHeight w:val="276"/>
        </w:trPr>
        <w:tc>
          <w:tcPr>
            <w:tcW w:w="208" w:type="pct"/>
            <w:vMerge/>
            <w:tcBorders>
              <w:top w:val="single" w:sz="8" w:space="0" w:color="auto"/>
              <w:left w:val="single" w:sz="8" w:space="0" w:color="auto"/>
              <w:bottom w:val="single" w:sz="4" w:space="0" w:color="000000"/>
              <w:right w:val="single" w:sz="4" w:space="0" w:color="auto"/>
            </w:tcBorders>
            <w:vAlign w:val="center"/>
            <w:hideMark/>
          </w:tcPr>
          <w:p w14:paraId="7B0B7312"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127" w:type="pct"/>
            <w:vMerge/>
            <w:tcBorders>
              <w:top w:val="nil"/>
              <w:left w:val="single" w:sz="4" w:space="0" w:color="auto"/>
              <w:bottom w:val="single" w:sz="4" w:space="0" w:color="auto"/>
              <w:right w:val="single" w:sz="4" w:space="0" w:color="auto"/>
            </w:tcBorders>
            <w:vAlign w:val="center"/>
            <w:hideMark/>
          </w:tcPr>
          <w:p w14:paraId="014A7B18"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167" w:type="pct"/>
            <w:vMerge/>
            <w:tcBorders>
              <w:top w:val="nil"/>
              <w:left w:val="single" w:sz="4" w:space="0" w:color="auto"/>
              <w:bottom w:val="single" w:sz="4" w:space="0" w:color="auto"/>
              <w:right w:val="single" w:sz="4" w:space="0" w:color="auto"/>
            </w:tcBorders>
            <w:vAlign w:val="center"/>
            <w:hideMark/>
          </w:tcPr>
          <w:p w14:paraId="2160FD72"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369" w:type="pct"/>
            <w:vMerge/>
            <w:tcBorders>
              <w:top w:val="nil"/>
              <w:left w:val="single" w:sz="4" w:space="0" w:color="auto"/>
              <w:bottom w:val="single" w:sz="4" w:space="0" w:color="auto"/>
              <w:right w:val="single" w:sz="4" w:space="0" w:color="auto"/>
            </w:tcBorders>
            <w:vAlign w:val="center"/>
            <w:hideMark/>
          </w:tcPr>
          <w:p w14:paraId="20E7BAF6"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65" w:type="pct"/>
            <w:vMerge/>
            <w:tcBorders>
              <w:top w:val="single" w:sz="8" w:space="0" w:color="auto"/>
              <w:left w:val="single" w:sz="4" w:space="0" w:color="auto"/>
              <w:bottom w:val="single" w:sz="4" w:space="0" w:color="000000"/>
              <w:right w:val="single" w:sz="4" w:space="0" w:color="auto"/>
            </w:tcBorders>
            <w:vAlign w:val="center"/>
            <w:hideMark/>
          </w:tcPr>
          <w:p w14:paraId="74FC255A"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49" w:type="pct"/>
            <w:vMerge/>
            <w:tcBorders>
              <w:top w:val="single" w:sz="8" w:space="0" w:color="auto"/>
              <w:left w:val="single" w:sz="4" w:space="0" w:color="auto"/>
              <w:bottom w:val="single" w:sz="4" w:space="0" w:color="000000"/>
              <w:right w:val="single" w:sz="4" w:space="0" w:color="auto"/>
            </w:tcBorders>
            <w:vAlign w:val="center"/>
            <w:hideMark/>
          </w:tcPr>
          <w:p w14:paraId="0831D5D0"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37" w:type="pct"/>
            <w:vMerge/>
            <w:tcBorders>
              <w:top w:val="single" w:sz="8" w:space="0" w:color="auto"/>
              <w:left w:val="single" w:sz="4" w:space="0" w:color="auto"/>
              <w:bottom w:val="single" w:sz="4" w:space="0" w:color="000000"/>
              <w:right w:val="single" w:sz="4" w:space="0" w:color="auto"/>
            </w:tcBorders>
            <w:vAlign w:val="center"/>
            <w:hideMark/>
          </w:tcPr>
          <w:p w14:paraId="7AE43BD7"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37" w:type="pct"/>
            <w:vMerge/>
            <w:tcBorders>
              <w:top w:val="single" w:sz="8" w:space="0" w:color="auto"/>
              <w:left w:val="single" w:sz="4" w:space="0" w:color="auto"/>
              <w:bottom w:val="single" w:sz="4" w:space="0" w:color="000000"/>
              <w:right w:val="single" w:sz="4" w:space="0" w:color="auto"/>
            </w:tcBorders>
            <w:vAlign w:val="center"/>
            <w:hideMark/>
          </w:tcPr>
          <w:p w14:paraId="20D8988D"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73" w:type="pct"/>
            <w:vMerge/>
            <w:tcBorders>
              <w:top w:val="single" w:sz="8" w:space="0" w:color="auto"/>
              <w:left w:val="single" w:sz="4" w:space="0" w:color="auto"/>
              <w:bottom w:val="single" w:sz="4" w:space="0" w:color="000000"/>
              <w:right w:val="single" w:sz="4" w:space="0" w:color="auto"/>
            </w:tcBorders>
            <w:vAlign w:val="center"/>
            <w:hideMark/>
          </w:tcPr>
          <w:p w14:paraId="30610D00"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177" w:type="pct"/>
            <w:vMerge/>
            <w:tcBorders>
              <w:top w:val="nil"/>
              <w:left w:val="single" w:sz="4" w:space="0" w:color="auto"/>
              <w:bottom w:val="single" w:sz="4" w:space="0" w:color="000000"/>
              <w:right w:val="single" w:sz="4" w:space="0" w:color="auto"/>
            </w:tcBorders>
            <w:vAlign w:val="center"/>
            <w:hideMark/>
          </w:tcPr>
          <w:p w14:paraId="163C802F"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37" w:type="pct"/>
            <w:vMerge/>
            <w:tcBorders>
              <w:top w:val="nil"/>
              <w:left w:val="single" w:sz="4" w:space="0" w:color="auto"/>
              <w:bottom w:val="single" w:sz="4" w:space="0" w:color="000000"/>
              <w:right w:val="single" w:sz="4" w:space="0" w:color="auto"/>
            </w:tcBorders>
            <w:vAlign w:val="center"/>
            <w:hideMark/>
          </w:tcPr>
          <w:p w14:paraId="2A0E53FB"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2"/>
                <w:szCs w:val="12"/>
                <w:bdr w:val="none" w:sz="0" w:space="0" w:color="auto"/>
              </w:rPr>
            </w:pPr>
          </w:p>
        </w:tc>
        <w:tc>
          <w:tcPr>
            <w:tcW w:w="225" w:type="pct"/>
            <w:vMerge/>
            <w:tcBorders>
              <w:top w:val="nil"/>
              <w:left w:val="single" w:sz="4" w:space="0" w:color="auto"/>
              <w:bottom w:val="single" w:sz="4" w:space="0" w:color="000000"/>
              <w:right w:val="single" w:sz="4" w:space="0" w:color="auto"/>
            </w:tcBorders>
            <w:vAlign w:val="center"/>
            <w:hideMark/>
          </w:tcPr>
          <w:p w14:paraId="02B893E9"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17" w:type="pct"/>
            <w:vMerge/>
            <w:tcBorders>
              <w:top w:val="nil"/>
              <w:left w:val="single" w:sz="4" w:space="0" w:color="auto"/>
              <w:bottom w:val="single" w:sz="4" w:space="0" w:color="000000"/>
              <w:right w:val="single" w:sz="4" w:space="0" w:color="auto"/>
            </w:tcBorders>
            <w:vAlign w:val="center"/>
            <w:hideMark/>
          </w:tcPr>
          <w:p w14:paraId="7E0F0F4F"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33" w:type="pct"/>
            <w:vMerge/>
            <w:tcBorders>
              <w:top w:val="nil"/>
              <w:left w:val="single" w:sz="4" w:space="0" w:color="auto"/>
              <w:bottom w:val="single" w:sz="4" w:space="0" w:color="000000"/>
              <w:right w:val="single" w:sz="4" w:space="0" w:color="auto"/>
            </w:tcBorders>
            <w:vAlign w:val="center"/>
            <w:hideMark/>
          </w:tcPr>
          <w:p w14:paraId="22CB365A"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197" w:type="pct"/>
            <w:vMerge/>
            <w:tcBorders>
              <w:top w:val="nil"/>
              <w:left w:val="single" w:sz="4" w:space="0" w:color="auto"/>
              <w:bottom w:val="single" w:sz="4" w:space="0" w:color="000000"/>
              <w:right w:val="single" w:sz="4" w:space="0" w:color="auto"/>
            </w:tcBorders>
            <w:vAlign w:val="center"/>
            <w:hideMark/>
          </w:tcPr>
          <w:p w14:paraId="68F0CD6B"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90580F2"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65" w:type="pct"/>
            <w:vMerge/>
            <w:tcBorders>
              <w:top w:val="single" w:sz="8" w:space="0" w:color="auto"/>
              <w:left w:val="nil"/>
              <w:bottom w:val="single" w:sz="4" w:space="0" w:color="000000"/>
              <w:right w:val="single" w:sz="4" w:space="0" w:color="auto"/>
            </w:tcBorders>
            <w:vAlign w:val="center"/>
            <w:hideMark/>
          </w:tcPr>
          <w:p w14:paraId="6330C683"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241" w:type="pct"/>
            <w:vMerge/>
            <w:tcBorders>
              <w:top w:val="single" w:sz="8" w:space="0" w:color="auto"/>
              <w:left w:val="single" w:sz="4" w:space="0" w:color="auto"/>
              <w:bottom w:val="single" w:sz="4" w:space="0" w:color="000000"/>
              <w:right w:val="single" w:sz="4" w:space="0" w:color="auto"/>
            </w:tcBorders>
            <w:vAlign w:val="center"/>
            <w:hideMark/>
          </w:tcPr>
          <w:p w14:paraId="613C8081"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c>
          <w:tcPr>
            <w:tcW w:w="843" w:type="pct"/>
            <w:vMerge/>
            <w:tcBorders>
              <w:top w:val="single" w:sz="8" w:space="0" w:color="auto"/>
              <w:left w:val="single" w:sz="4" w:space="0" w:color="auto"/>
              <w:bottom w:val="single" w:sz="4" w:space="0" w:color="000000"/>
              <w:right w:val="single" w:sz="8" w:space="0" w:color="auto"/>
            </w:tcBorders>
            <w:vAlign w:val="center"/>
            <w:hideMark/>
          </w:tcPr>
          <w:p w14:paraId="691ACACC"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s="Arial"/>
                <w:b/>
                <w:bCs/>
                <w:color w:val="000000"/>
                <w:sz w:val="12"/>
                <w:szCs w:val="12"/>
                <w:bdr w:val="none" w:sz="0" w:space="0" w:color="auto"/>
              </w:rPr>
            </w:pPr>
          </w:p>
        </w:tc>
      </w:tr>
      <w:tr w:rsidR="002F7D63" w:rsidRPr="00FA53ED" w14:paraId="32D34E25" w14:textId="77777777" w:rsidTr="002F7D63">
        <w:trPr>
          <w:trHeight w:val="180"/>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14:paraId="7433B933"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1</w:t>
            </w:r>
          </w:p>
        </w:tc>
        <w:tc>
          <w:tcPr>
            <w:tcW w:w="127" w:type="pct"/>
            <w:tcBorders>
              <w:top w:val="nil"/>
              <w:left w:val="nil"/>
              <w:bottom w:val="single" w:sz="4" w:space="0" w:color="auto"/>
              <w:right w:val="single" w:sz="4" w:space="0" w:color="auto"/>
            </w:tcBorders>
            <w:shd w:val="clear" w:color="auto" w:fill="auto"/>
            <w:noWrap/>
            <w:vAlign w:val="center"/>
            <w:hideMark/>
          </w:tcPr>
          <w:p w14:paraId="7F54C126"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Vero</w:t>
            </w:r>
          </w:p>
        </w:tc>
        <w:tc>
          <w:tcPr>
            <w:tcW w:w="167" w:type="pct"/>
            <w:tcBorders>
              <w:top w:val="nil"/>
              <w:left w:val="nil"/>
              <w:bottom w:val="single" w:sz="4" w:space="0" w:color="auto"/>
              <w:right w:val="single" w:sz="4" w:space="0" w:color="auto"/>
            </w:tcBorders>
            <w:shd w:val="clear" w:color="auto" w:fill="auto"/>
            <w:noWrap/>
            <w:vAlign w:val="center"/>
            <w:hideMark/>
          </w:tcPr>
          <w:p w14:paraId="7182D719"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xml:space="preserve">Selim </w:t>
            </w:r>
          </w:p>
        </w:tc>
        <w:tc>
          <w:tcPr>
            <w:tcW w:w="369" w:type="pct"/>
            <w:tcBorders>
              <w:top w:val="nil"/>
              <w:left w:val="nil"/>
              <w:bottom w:val="single" w:sz="4" w:space="0" w:color="auto"/>
              <w:right w:val="single" w:sz="4" w:space="0" w:color="auto"/>
            </w:tcBorders>
            <w:shd w:val="clear" w:color="auto" w:fill="auto"/>
            <w:vAlign w:val="center"/>
            <w:hideMark/>
          </w:tcPr>
          <w:p w14:paraId="4382C382"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xml:space="preserve"> Harapaj</w:t>
            </w:r>
          </w:p>
        </w:tc>
        <w:tc>
          <w:tcPr>
            <w:tcW w:w="265" w:type="pct"/>
            <w:tcBorders>
              <w:top w:val="nil"/>
              <w:left w:val="nil"/>
              <w:bottom w:val="single" w:sz="4" w:space="0" w:color="auto"/>
              <w:right w:val="single" w:sz="4" w:space="0" w:color="auto"/>
            </w:tcBorders>
            <w:shd w:val="clear" w:color="auto" w:fill="auto"/>
            <w:noWrap/>
            <w:vAlign w:val="center"/>
            <w:hideMark/>
          </w:tcPr>
          <w:p w14:paraId="0A931B96"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2074</w:t>
            </w:r>
          </w:p>
        </w:tc>
        <w:tc>
          <w:tcPr>
            <w:tcW w:w="249" w:type="pct"/>
            <w:tcBorders>
              <w:top w:val="nil"/>
              <w:left w:val="nil"/>
              <w:bottom w:val="single" w:sz="4" w:space="0" w:color="auto"/>
              <w:right w:val="single" w:sz="4" w:space="0" w:color="auto"/>
            </w:tcBorders>
            <w:shd w:val="clear" w:color="auto" w:fill="auto"/>
            <w:vAlign w:val="center"/>
            <w:hideMark/>
          </w:tcPr>
          <w:p w14:paraId="4895F64D"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160/20</w:t>
            </w:r>
          </w:p>
        </w:tc>
        <w:tc>
          <w:tcPr>
            <w:tcW w:w="237" w:type="pct"/>
            <w:tcBorders>
              <w:top w:val="nil"/>
              <w:left w:val="nil"/>
              <w:bottom w:val="single" w:sz="4" w:space="0" w:color="auto"/>
              <w:right w:val="single" w:sz="4" w:space="0" w:color="auto"/>
            </w:tcBorders>
            <w:shd w:val="clear" w:color="000000" w:fill="FFFFFF"/>
            <w:noWrap/>
            <w:vAlign w:val="center"/>
            <w:hideMark/>
          </w:tcPr>
          <w:p w14:paraId="3C16B347"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Ullishte</w:t>
            </w:r>
          </w:p>
        </w:tc>
        <w:tc>
          <w:tcPr>
            <w:tcW w:w="237" w:type="pct"/>
            <w:tcBorders>
              <w:top w:val="nil"/>
              <w:left w:val="nil"/>
              <w:bottom w:val="single" w:sz="4" w:space="0" w:color="auto"/>
              <w:right w:val="single" w:sz="4" w:space="0" w:color="auto"/>
            </w:tcBorders>
            <w:shd w:val="clear" w:color="auto" w:fill="auto"/>
            <w:noWrap/>
            <w:vAlign w:val="center"/>
            <w:hideMark/>
          </w:tcPr>
          <w:p w14:paraId="4DE87353"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153,000</w:t>
            </w:r>
          </w:p>
        </w:tc>
        <w:tc>
          <w:tcPr>
            <w:tcW w:w="273" w:type="pct"/>
            <w:tcBorders>
              <w:top w:val="nil"/>
              <w:left w:val="nil"/>
              <w:bottom w:val="single" w:sz="4" w:space="0" w:color="auto"/>
              <w:right w:val="single" w:sz="4" w:space="0" w:color="auto"/>
            </w:tcBorders>
            <w:shd w:val="clear" w:color="000000" w:fill="FFFFFF"/>
            <w:noWrap/>
            <w:vAlign w:val="center"/>
            <w:hideMark/>
          </w:tcPr>
          <w:p w14:paraId="699D0A65"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4200</w:t>
            </w:r>
          </w:p>
        </w:tc>
        <w:tc>
          <w:tcPr>
            <w:tcW w:w="177" w:type="pct"/>
            <w:tcBorders>
              <w:top w:val="nil"/>
              <w:left w:val="nil"/>
              <w:bottom w:val="single" w:sz="4" w:space="0" w:color="auto"/>
              <w:right w:val="single" w:sz="4" w:space="0" w:color="auto"/>
            </w:tcBorders>
            <w:shd w:val="clear" w:color="000000" w:fill="FFFFFF"/>
            <w:noWrap/>
            <w:vAlign w:val="center"/>
            <w:hideMark/>
          </w:tcPr>
          <w:p w14:paraId="48A4BD53"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w:t>
            </w:r>
          </w:p>
        </w:tc>
        <w:tc>
          <w:tcPr>
            <w:tcW w:w="237" w:type="pct"/>
            <w:tcBorders>
              <w:top w:val="nil"/>
              <w:left w:val="nil"/>
              <w:bottom w:val="single" w:sz="4" w:space="0" w:color="auto"/>
              <w:right w:val="single" w:sz="4" w:space="0" w:color="auto"/>
            </w:tcBorders>
            <w:shd w:val="clear" w:color="000000" w:fill="FFFFFF"/>
            <w:vAlign w:val="center"/>
            <w:hideMark/>
          </w:tcPr>
          <w:p w14:paraId="730003EC"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w:t>
            </w:r>
          </w:p>
        </w:tc>
        <w:tc>
          <w:tcPr>
            <w:tcW w:w="225" w:type="pct"/>
            <w:tcBorders>
              <w:top w:val="nil"/>
              <w:left w:val="nil"/>
              <w:bottom w:val="single" w:sz="4" w:space="0" w:color="auto"/>
              <w:right w:val="single" w:sz="4" w:space="0" w:color="auto"/>
            </w:tcBorders>
            <w:shd w:val="clear" w:color="000000" w:fill="FFFFFF"/>
            <w:vAlign w:val="center"/>
            <w:hideMark/>
          </w:tcPr>
          <w:p w14:paraId="62A36EB7"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w:t>
            </w:r>
          </w:p>
        </w:tc>
        <w:tc>
          <w:tcPr>
            <w:tcW w:w="217" w:type="pct"/>
            <w:tcBorders>
              <w:top w:val="nil"/>
              <w:left w:val="nil"/>
              <w:bottom w:val="single" w:sz="4" w:space="0" w:color="auto"/>
              <w:right w:val="single" w:sz="4" w:space="0" w:color="auto"/>
            </w:tcBorders>
            <w:shd w:val="clear" w:color="000000" w:fill="FFFFFF"/>
            <w:vAlign w:val="center"/>
            <w:hideMark/>
          </w:tcPr>
          <w:p w14:paraId="32DB5798"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w:t>
            </w:r>
          </w:p>
        </w:tc>
        <w:tc>
          <w:tcPr>
            <w:tcW w:w="233" w:type="pct"/>
            <w:tcBorders>
              <w:top w:val="nil"/>
              <w:left w:val="nil"/>
              <w:bottom w:val="single" w:sz="4" w:space="0" w:color="auto"/>
              <w:right w:val="single" w:sz="4" w:space="0" w:color="auto"/>
            </w:tcBorders>
            <w:shd w:val="clear" w:color="000000" w:fill="FFFFFF"/>
            <w:vAlign w:val="center"/>
            <w:hideMark/>
          </w:tcPr>
          <w:p w14:paraId="23BC3863"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w:t>
            </w:r>
          </w:p>
        </w:tc>
        <w:tc>
          <w:tcPr>
            <w:tcW w:w="197" w:type="pct"/>
            <w:tcBorders>
              <w:top w:val="nil"/>
              <w:left w:val="nil"/>
              <w:bottom w:val="single" w:sz="4" w:space="0" w:color="auto"/>
              <w:right w:val="single" w:sz="4" w:space="0" w:color="auto"/>
            </w:tcBorders>
            <w:shd w:val="clear" w:color="000000" w:fill="FFFFFF"/>
            <w:vAlign w:val="center"/>
            <w:hideMark/>
          </w:tcPr>
          <w:p w14:paraId="06CC0376"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w:t>
            </w:r>
          </w:p>
        </w:tc>
        <w:tc>
          <w:tcPr>
            <w:tcW w:w="237" w:type="pct"/>
            <w:tcBorders>
              <w:top w:val="nil"/>
              <w:left w:val="nil"/>
              <w:bottom w:val="single" w:sz="4" w:space="0" w:color="auto"/>
              <w:right w:val="single" w:sz="4" w:space="0" w:color="auto"/>
            </w:tcBorders>
            <w:shd w:val="clear" w:color="000000" w:fill="FFFFFF"/>
            <w:vAlign w:val="center"/>
            <w:hideMark/>
          </w:tcPr>
          <w:p w14:paraId="5BAD8302"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 </w:t>
            </w:r>
          </w:p>
        </w:tc>
        <w:tc>
          <w:tcPr>
            <w:tcW w:w="265" w:type="pct"/>
            <w:tcBorders>
              <w:top w:val="nil"/>
              <w:left w:val="nil"/>
              <w:bottom w:val="single" w:sz="4" w:space="0" w:color="auto"/>
              <w:right w:val="single" w:sz="4" w:space="0" w:color="auto"/>
            </w:tcBorders>
            <w:shd w:val="clear" w:color="auto" w:fill="auto"/>
            <w:noWrap/>
            <w:vAlign w:val="center"/>
            <w:hideMark/>
          </w:tcPr>
          <w:p w14:paraId="2A87C5F6"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153,000</w:t>
            </w:r>
          </w:p>
        </w:tc>
        <w:tc>
          <w:tcPr>
            <w:tcW w:w="241" w:type="pct"/>
            <w:tcBorders>
              <w:top w:val="nil"/>
              <w:left w:val="nil"/>
              <w:bottom w:val="single" w:sz="4" w:space="0" w:color="auto"/>
              <w:right w:val="single" w:sz="4" w:space="0" w:color="auto"/>
            </w:tcBorders>
            <w:shd w:val="clear" w:color="auto" w:fill="auto"/>
            <w:vAlign w:val="center"/>
            <w:hideMark/>
          </w:tcPr>
          <w:p w14:paraId="35C226DD" w14:textId="77777777" w:rsidR="002F7D63" w:rsidRPr="00FA53ED" w:rsidRDefault="002F7D63" w:rsidP="002F7D6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Bashkia Vlorë</w:t>
            </w:r>
          </w:p>
        </w:tc>
        <w:tc>
          <w:tcPr>
            <w:tcW w:w="843" w:type="pct"/>
            <w:tcBorders>
              <w:top w:val="nil"/>
              <w:left w:val="nil"/>
              <w:bottom w:val="single" w:sz="4" w:space="0" w:color="auto"/>
              <w:right w:val="single" w:sz="8" w:space="0" w:color="auto"/>
            </w:tcBorders>
            <w:shd w:val="clear" w:color="auto" w:fill="auto"/>
            <w:vAlign w:val="center"/>
            <w:hideMark/>
          </w:tcPr>
          <w:p w14:paraId="7459C479" w14:textId="286FE61D" w:rsidR="002F7D63" w:rsidRPr="00FA53ED" w:rsidRDefault="002F7D63" w:rsidP="0044023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s="Arial"/>
                <w:b/>
                <w:bCs/>
                <w:sz w:val="12"/>
                <w:szCs w:val="12"/>
                <w:bdr w:val="none" w:sz="0" w:space="0" w:color="auto"/>
              </w:rPr>
            </w:pPr>
            <w:r w:rsidRPr="00FA53ED">
              <w:rPr>
                <w:rFonts w:ascii="Garamond" w:eastAsia="Times New Roman" w:hAnsi="Garamond" w:cs="Arial"/>
                <w:b/>
                <w:bCs/>
                <w:sz w:val="12"/>
                <w:szCs w:val="12"/>
                <w:bdr w:val="none" w:sz="0" w:space="0" w:color="auto"/>
              </w:rPr>
              <w:t>Konfirmuar nga ASHK Vlorë</w:t>
            </w:r>
            <w:r w:rsidR="00FA53ED">
              <w:rPr>
                <w:rFonts w:ascii="Garamond" w:eastAsia="Times New Roman" w:hAnsi="Garamond" w:cs="Arial"/>
                <w:b/>
                <w:bCs/>
                <w:sz w:val="12"/>
                <w:szCs w:val="12"/>
                <w:bdr w:val="none" w:sz="0" w:space="0" w:color="auto"/>
              </w:rPr>
              <w:t>.</w:t>
            </w:r>
            <w:r w:rsidR="0044023A">
              <w:rPr>
                <w:rFonts w:ascii="Garamond" w:eastAsia="Times New Roman" w:hAnsi="Garamond" w:cs="Arial"/>
                <w:b/>
                <w:bCs/>
                <w:sz w:val="12"/>
                <w:szCs w:val="12"/>
                <w:bdr w:val="none" w:sz="0" w:space="0" w:color="auto"/>
              </w:rPr>
              <w:t xml:space="preserve"> </w:t>
            </w:r>
            <w:r w:rsidRPr="00FA53ED">
              <w:rPr>
                <w:rFonts w:ascii="Garamond" w:eastAsia="Times New Roman" w:hAnsi="Garamond" w:cs="Arial"/>
                <w:b/>
                <w:bCs/>
                <w:sz w:val="12"/>
                <w:szCs w:val="12"/>
                <w:bdr w:val="none" w:sz="0" w:space="0" w:color="auto"/>
              </w:rPr>
              <w:t>Shpronësuar me VKM</w:t>
            </w:r>
            <w:r w:rsidR="00FA53ED">
              <w:rPr>
                <w:rFonts w:ascii="Garamond" w:eastAsia="Times New Roman" w:hAnsi="Garamond" w:cs="Arial"/>
                <w:b/>
                <w:bCs/>
                <w:sz w:val="12"/>
                <w:szCs w:val="12"/>
                <w:bdr w:val="none" w:sz="0" w:space="0" w:color="auto"/>
              </w:rPr>
              <w:t>-në</w:t>
            </w:r>
            <w:r w:rsidRPr="00FA53ED">
              <w:rPr>
                <w:rFonts w:ascii="Garamond" w:eastAsia="Times New Roman" w:hAnsi="Garamond" w:cs="Arial"/>
                <w:b/>
                <w:bCs/>
                <w:sz w:val="12"/>
                <w:szCs w:val="12"/>
                <w:bdr w:val="none" w:sz="0" w:space="0" w:color="auto"/>
              </w:rPr>
              <w:t xml:space="preserve"> nr</w:t>
            </w:r>
            <w:r w:rsidR="00FA53ED">
              <w:rPr>
                <w:rFonts w:ascii="Garamond" w:eastAsia="Times New Roman" w:hAnsi="Garamond" w:cs="Arial"/>
                <w:b/>
                <w:bCs/>
                <w:sz w:val="12"/>
                <w:szCs w:val="12"/>
                <w:bdr w:val="none" w:sz="0" w:space="0" w:color="auto"/>
              </w:rPr>
              <w:t>.</w:t>
            </w:r>
            <w:r w:rsidRPr="00FA53ED">
              <w:rPr>
                <w:rFonts w:ascii="Garamond" w:eastAsia="Times New Roman" w:hAnsi="Garamond" w:cs="Arial"/>
                <w:b/>
                <w:bCs/>
                <w:sz w:val="12"/>
                <w:szCs w:val="12"/>
                <w:bdr w:val="none" w:sz="0" w:space="0" w:color="auto"/>
              </w:rPr>
              <w:t xml:space="preserve"> 38</w:t>
            </w:r>
            <w:r w:rsidR="00FA53ED">
              <w:rPr>
                <w:rFonts w:ascii="Garamond" w:eastAsia="Times New Roman" w:hAnsi="Garamond" w:cs="Arial"/>
                <w:b/>
                <w:bCs/>
                <w:sz w:val="12"/>
                <w:szCs w:val="12"/>
                <w:bdr w:val="none" w:sz="0" w:space="0" w:color="auto"/>
              </w:rPr>
              <w:t>,</w:t>
            </w:r>
            <w:r w:rsidRPr="00FA53ED">
              <w:rPr>
                <w:rFonts w:ascii="Garamond" w:eastAsia="Times New Roman" w:hAnsi="Garamond" w:cs="Arial"/>
                <w:b/>
                <w:bCs/>
                <w:sz w:val="12"/>
                <w:szCs w:val="12"/>
                <w:bdr w:val="none" w:sz="0" w:space="0" w:color="auto"/>
              </w:rPr>
              <w:t xml:space="preserve"> datë 22.1.2020</w:t>
            </w:r>
            <w:r w:rsidR="00FA53ED">
              <w:rPr>
                <w:rFonts w:ascii="Garamond" w:eastAsia="Times New Roman" w:hAnsi="Garamond" w:cs="Arial"/>
                <w:b/>
                <w:bCs/>
                <w:sz w:val="12"/>
                <w:szCs w:val="12"/>
                <w:bdr w:val="none" w:sz="0" w:space="0" w:color="auto"/>
              </w:rPr>
              <w:t>,</w:t>
            </w:r>
            <w:r w:rsidRPr="00FA53ED">
              <w:rPr>
                <w:rFonts w:ascii="Garamond" w:eastAsia="Times New Roman" w:hAnsi="Garamond" w:cs="Arial"/>
                <w:b/>
                <w:bCs/>
                <w:sz w:val="12"/>
                <w:szCs w:val="12"/>
                <w:bdr w:val="none" w:sz="0" w:space="0" w:color="auto"/>
              </w:rPr>
              <w:t xml:space="preserve"> për</w:t>
            </w:r>
            <w:r w:rsidR="0044023A">
              <w:rPr>
                <w:rFonts w:ascii="Garamond" w:eastAsia="Times New Roman" w:hAnsi="Garamond" w:cs="Arial"/>
                <w:b/>
                <w:bCs/>
                <w:sz w:val="12"/>
                <w:szCs w:val="12"/>
                <w:bdr w:val="none" w:sz="0" w:space="0" w:color="auto"/>
              </w:rPr>
              <w:t xml:space="preserve"> </w:t>
            </w:r>
            <w:r w:rsidRPr="00FA53ED">
              <w:rPr>
                <w:rFonts w:ascii="Garamond" w:eastAsia="Times New Roman" w:hAnsi="Garamond" w:cs="Arial"/>
                <w:b/>
                <w:bCs/>
                <w:sz w:val="12"/>
                <w:szCs w:val="12"/>
                <w:bdr w:val="none" w:sz="0" w:space="0" w:color="auto"/>
              </w:rPr>
              <w:t>1520 m²</w:t>
            </w:r>
            <w:r w:rsidR="00FA53ED">
              <w:rPr>
                <w:rFonts w:ascii="Garamond" w:eastAsia="Times New Roman" w:hAnsi="Garamond" w:cs="Arial"/>
                <w:b/>
                <w:bCs/>
                <w:sz w:val="12"/>
                <w:szCs w:val="12"/>
                <w:bdr w:val="none" w:sz="0" w:space="0" w:color="auto"/>
              </w:rPr>
              <w:t>.</w:t>
            </w:r>
            <w:r w:rsidR="0044023A">
              <w:rPr>
                <w:rFonts w:ascii="Garamond" w:eastAsia="Times New Roman" w:hAnsi="Garamond" w:cs="Arial"/>
                <w:b/>
                <w:bCs/>
                <w:sz w:val="12"/>
                <w:szCs w:val="12"/>
                <w:bdr w:val="none" w:sz="0" w:space="0" w:color="auto"/>
              </w:rPr>
              <w:t xml:space="preserve"> </w:t>
            </w:r>
            <w:r w:rsidRPr="00FA53ED">
              <w:rPr>
                <w:rFonts w:ascii="Garamond" w:eastAsia="Times New Roman" w:hAnsi="Garamond" w:cs="Arial"/>
                <w:b/>
                <w:bCs/>
                <w:sz w:val="12"/>
                <w:szCs w:val="12"/>
                <w:bdr w:val="none" w:sz="0" w:space="0" w:color="auto"/>
              </w:rPr>
              <w:t>Vlerësimi për pasurinë e llojit “ullishte</w:t>
            </w:r>
            <w:r w:rsidR="00FA53ED">
              <w:rPr>
                <w:rFonts w:ascii="Garamond" w:eastAsia="Times New Roman" w:hAnsi="Garamond" w:cs="Arial"/>
                <w:b/>
                <w:bCs/>
                <w:sz w:val="12"/>
                <w:szCs w:val="12"/>
                <w:bdr w:val="none" w:sz="0" w:space="0" w:color="auto"/>
              </w:rPr>
              <w:t>”</w:t>
            </w:r>
            <w:r w:rsidRPr="00FA53ED">
              <w:rPr>
                <w:rFonts w:ascii="Garamond" w:eastAsia="Times New Roman" w:hAnsi="Garamond" w:cs="Arial"/>
                <w:b/>
                <w:bCs/>
                <w:sz w:val="12"/>
                <w:szCs w:val="12"/>
                <w:bdr w:val="none" w:sz="0" w:space="0" w:color="auto"/>
              </w:rPr>
              <w:t xml:space="preserve">, është bërë me procesverbal në bazë të </w:t>
            </w:r>
            <w:r w:rsidR="00FA53ED" w:rsidRPr="00FA53ED">
              <w:rPr>
                <w:rFonts w:ascii="Garamond" w:eastAsia="Times New Roman" w:hAnsi="Garamond" w:cs="Arial"/>
                <w:b/>
                <w:bCs/>
                <w:sz w:val="12"/>
                <w:szCs w:val="12"/>
                <w:bdr w:val="none" w:sz="0" w:space="0" w:color="auto"/>
              </w:rPr>
              <w:t>udhëzimit n</w:t>
            </w:r>
            <w:r w:rsidRPr="00FA53ED">
              <w:rPr>
                <w:rFonts w:ascii="Garamond" w:eastAsia="Times New Roman" w:hAnsi="Garamond" w:cs="Arial"/>
                <w:b/>
                <w:bCs/>
                <w:sz w:val="12"/>
                <w:szCs w:val="12"/>
                <w:bdr w:val="none" w:sz="0" w:space="0" w:color="auto"/>
              </w:rPr>
              <w:t>r. 1, datë 5.10.2000</w:t>
            </w:r>
            <w:r w:rsidR="00FA53ED">
              <w:rPr>
                <w:rFonts w:ascii="Garamond" w:eastAsia="Times New Roman" w:hAnsi="Garamond" w:cs="Arial"/>
                <w:b/>
                <w:bCs/>
                <w:sz w:val="12"/>
                <w:szCs w:val="12"/>
                <w:bdr w:val="none" w:sz="0" w:space="0" w:color="auto"/>
              </w:rPr>
              <w:t>,</w:t>
            </w:r>
            <w:r w:rsidRPr="00FA53ED">
              <w:rPr>
                <w:rFonts w:ascii="Garamond" w:eastAsia="Times New Roman" w:hAnsi="Garamond" w:cs="Arial"/>
                <w:b/>
                <w:bCs/>
                <w:sz w:val="12"/>
                <w:szCs w:val="12"/>
                <w:bdr w:val="none" w:sz="0" w:space="0" w:color="auto"/>
              </w:rPr>
              <w:t xml:space="preserve"> “Për kriteret teknike të përllogaritjes së vlerës së </w:t>
            </w:r>
            <w:r w:rsidR="00FA53ED" w:rsidRPr="00FA53ED">
              <w:rPr>
                <w:rFonts w:ascii="Garamond" w:eastAsia="Times New Roman" w:hAnsi="Garamond" w:cs="Arial"/>
                <w:b/>
                <w:bCs/>
                <w:sz w:val="12"/>
                <w:szCs w:val="12"/>
                <w:bdr w:val="none" w:sz="0" w:space="0" w:color="auto"/>
              </w:rPr>
              <w:t>bimëve</w:t>
            </w:r>
            <w:r w:rsidRPr="00FA53ED">
              <w:rPr>
                <w:rFonts w:ascii="Garamond" w:eastAsia="Times New Roman" w:hAnsi="Garamond" w:cs="Arial"/>
                <w:b/>
                <w:bCs/>
                <w:sz w:val="12"/>
                <w:szCs w:val="12"/>
                <w:bdr w:val="none" w:sz="0" w:space="0" w:color="auto"/>
              </w:rPr>
              <w:t xml:space="preserve"> drufrutore që shpronësohen për interes publik, në rastet kur mungojnë treguesit e deklaruar të shitblerjes”</w:t>
            </w:r>
            <w:r w:rsidR="00FA53ED">
              <w:rPr>
                <w:rFonts w:ascii="Garamond" w:eastAsia="Times New Roman" w:hAnsi="Garamond" w:cs="Arial"/>
                <w:b/>
                <w:bCs/>
                <w:sz w:val="12"/>
                <w:szCs w:val="12"/>
                <w:bdr w:val="none" w:sz="0" w:space="0" w:color="auto"/>
              </w:rPr>
              <w:t>.</w:t>
            </w:r>
          </w:p>
        </w:tc>
      </w:tr>
    </w:tbl>
    <w:p w14:paraId="0B49DCAE" w14:textId="77777777" w:rsidR="002F7D63" w:rsidRPr="00FA53ED" w:rsidRDefault="002F7D63" w:rsidP="00DF4C98">
      <w:pPr>
        <w:pStyle w:val="BodyA"/>
        <w:ind w:firstLine="284"/>
        <w:jc w:val="center"/>
        <w:rPr>
          <w:rFonts w:ascii="Garamond" w:hAnsi="Garamond"/>
          <w:lang w:val="sq-AL"/>
        </w:rPr>
      </w:pPr>
    </w:p>
    <w:sectPr w:rsidR="002F7D63" w:rsidRPr="00FA53ED" w:rsidSect="002F7D63">
      <w:pgSz w:w="16838" w:h="11906" w:orient="landscape"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91374" w14:textId="77777777" w:rsidR="00B80414" w:rsidRDefault="00B80414">
      <w:r>
        <w:separator/>
      </w:r>
    </w:p>
  </w:endnote>
  <w:endnote w:type="continuationSeparator" w:id="0">
    <w:p w14:paraId="4323D895" w14:textId="77777777" w:rsidR="00B80414" w:rsidRDefault="00B80414">
      <w:r>
        <w:continuationSeparator/>
      </w:r>
    </w:p>
  </w:endnote>
  <w:endnote w:type="continuationNotice" w:id="1">
    <w:p w14:paraId="0397A00A" w14:textId="77777777" w:rsidR="00B80414" w:rsidRDefault="00B80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FDDC9" w14:textId="1407EF9D" w:rsidR="00B80414" w:rsidRDefault="00B80414">
    <w:pPr>
      <w:pStyle w:val="Footer"/>
      <w:jc w:val="right"/>
    </w:pPr>
  </w:p>
  <w:p w14:paraId="72CFDDCA" w14:textId="77777777" w:rsidR="00B80414" w:rsidRDefault="00B80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EFB58" w14:textId="77777777" w:rsidR="00B80414" w:rsidRDefault="00B80414">
      <w:r>
        <w:separator/>
      </w:r>
    </w:p>
  </w:footnote>
  <w:footnote w:type="continuationSeparator" w:id="0">
    <w:p w14:paraId="6E31CE7B" w14:textId="77777777" w:rsidR="00B80414" w:rsidRDefault="00B80414">
      <w:r>
        <w:continuationSeparator/>
      </w:r>
    </w:p>
  </w:footnote>
  <w:footnote w:type="continuationNotice" w:id="1">
    <w:p w14:paraId="1A35E033" w14:textId="77777777" w:rsidR="00B80414" w:rsidRDefault="00B804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4375A"/>
    <w:multiLevelType w:val="hybridMultilevel"/>
    <w:tmpl w:val="4B8A49F2"/>
    <w:styleLink w:val="ImportedStyle2"/>
    <w:lvl w:ilvl="0" w:tplc="26E474A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B8D2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560D0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D16C8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12C586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88039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E2003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2216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B8C3AE">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6EE79A2"/>
    <w:multiLevelType w:val="hybridMultilevel"/>
    <w:tmpl w:val="70DAF200"/>
    <w:numStyleLink w:val="ImportedStyle1"/>
  </w:abstractNum>
  <w:abstractNum w:abstractNumId="2" w15:restartNumberingAfterBreak="0">
    <w:nsid w:val="392A3B79"/>
    <w:multiLevelType w:val="hybridMultilevel"/>
    <w:tmpl w:val="4B8A49F2"/>
    <w:numStyleLink w:val="ImportedStyle2"/>
  </w:abstractNum>
  <w:abstractNum w:abstractNumId="3" w15:restartNumberingAfterBreak="0">
    <w:nsid w:val="668B2630"/>
    <w:multiLevelType w:val="hybridMultilevel"/>
    <w:tmpl w:val="70DAF200"/>
    <w:styleLink w:val="ImportedStyle1"/>
    <w:lvl w:ilvl="0" w:tplc="82A0B8F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0500DF8">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8643AB2">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4EA80DE">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D8C64A4">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95CDEFE">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6BF05682">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A26438A">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C849AFC">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lvlOverride w:ilvl="0">
      <w:lvl w:ilvl="0" w:tplc="BE80BBD0">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3">
    <w:abstractNumId w:val="3"/>
  </w:num>
  <w:num w:numId="4">
    <w:abstractNumId w:val="1"/>
  </w:num>
  <w:num w:numId="5">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36"/>
    <w:rsid w:val="000071AA"/>
    <w:rsid w:val="00010159"/>
    <w:rsid w:val="00033C73"/>
    <w:rsid w:val="00056B44"/>
    <w:rsid w:val="0006415F"/>
    <w:rsid w:val="000A23FE"/>
    <w:rsid w:val="000B3361"/>
    <w:rsid w:val="000C6556"/>
    <w:rsid w:val="000E043C"/>
    <w:rsid w:val="000E4746"/>
    <w:rsid w:val="001119A3"/>
    <w:rsid w:val="001271CD"/>
    <w:rsid w:val="00151AA5"/>
    <w:rsid w:val="0015646F"/>
    <w:rsid w:val="00181646"/>
    <w:rsid w:val="00183594"/>
    <w:rsid w:val="001902AC"/>
    <w:rsid w:val="001A7605"/>
    <w:rsid w:val="001B6700"/>
    <w:rsid w:val="001E0AC2"/>
    <w:rsid w:val="002468B5"/>
    <w:rsid w:val="00264F72"/>
    <w:rsid w:val="00282559"/>
    <w:rsid w:val="00285E2B"/>
    <w:rsid w:val="0029518D"/>
    <w:rsid w:val="002C1275"/>
    <w:rsid w:val="002E248E"/>
    <w:rsid w:val="002F177E"/>
    <w:rsid w:val="002F7D63"/>
    <w:rsid w:val="00333D10"/>
    <w:rsid w:val="00355DD8"/>
    <w:rsid w:val="003632C6"/>
    <w:rsid w:val="00367852"/>
    <w:rsid w:val="00391DEC"/>
    <w:rsid w:val="0041551D"/>
    <w:rsid w:val="0044023A"/>
    <w:rsid w:val="004B26B0"/>
    <w:rsid w:val="004D50D8"/>
    <w:rsid w:val="00513D4D"/>
    <w:rsid w:val="0052038F"/>
    <w:rsid w:val="005D28EF"/>
    <w:rsid w:val="006203AE"/>
    <w:rsid w:val="00623F91"/>
    <w:rsid w:val="006A402D"/>
    <w:rsid w:val="006B47C3"/>
    <w:rsid w:val="006E7FB5"/>
    <w:rsid w:val="007E487F"/>
    <w:rsid w:val="008243F5"/>
    <w:rsid w:val="00831AF2"/>
    <w:rsid w:val="00836525"/>
    <w:rsid w:val="00857B58"/>
    <w:rsid w:val="008C639B"/>
    <w:rsid w:val="008D7798"/>
    <w:rsid w:val="008E55F2"/>
    <w:rsid w:val="00943E43"/>
    <w:rsid w:val="00983CFF"/>
    <w:rsid w:val="00984F7E"/>
    <w:rsid w:val="00985E34"/>
    <w:rsid w:val="009A5CF6"/>
    <w:rsid w:val="009F3407"/>
    <w:rsid w:val="009F55B8"/>
    <w:rsid w:val="00A3429A"/>
    <w:rsid w:val="00A84E25"/>
    <w:rsid w:val="00AB61D5"/>
    <w:rsid w:val="00AB784B"/>
    <w:rsid w:val="00AD7535"/>
    <w:rsid w:val="00B07892"/>
    <w:rsid w:val="00B60D59"/>
    <w:rsid w:val="00B644E8"/>
    <w:rsid w:val="00B80414"/>
    <w:rsid w:val="00BA1E82"/>
    <w:rsid w:val="00C14161"/>
    <w:rsid w:val="00C21681"/>
    <w:rsid w:val="00C23F98"/>
    <w:rsid w:val="00C35E55"/>
    <w:rsid w:val="00C52F52"/>
    <w:rsid w:val="00D21D43"/>
    <w:rsid w:val="00D63CD6"/>
    <w:rsid w:val="00D77F62"/>
    <w:rsid w:val="00D93708"/>
    <w:rsid w:val="00DF4C98"/>
    <w:rsid w:val="00E11C50"/>
    <w:rsid w:val="00E22DEF"/>
    <w:rsid w:val="00E3154E"/>
    <w:rsid w:val="00E31BE1"/>
    <w:rsid w:val="00E86671"/>
    <w:rsid w:val="00E90015"/>
    <w:rsid w:val="00E913DD"/>
    <w:rsid w:val="00EA1A8E"/>
    <w:rsid w:val="00EA265E"/>
    <w:rsid w:val="00EA3538"/>
    <w:rsid w:val="00EB05B9"/>
    <w:rsid w:val="00EC12FF"/>
    <w:rsid w:val="00EC32CA"/>
    <w:rsid w:val="00EE53B3"/>
    <w:rsid w:val="00EF4B1B"/>
    <w:rsid w:val="00F16FF4"/>
    <w:rsid w:val="00F34F38"/>
    <w:rsid w:val="00F529E8"/>
    <w:rsid w:val="00F62236"/>
    <w:rsid w:val="00F96D06"/>
    <w:rsid w:val="00FA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DDC3"/>
  <w15:docId w15:val="{44B12AF9-6743-E549-BF8D-98C360C7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eastAsia="en-US"/>
    </w:rPr>
  </w:style>
  <w:style w:type="paragraph" w:styleId="Heading5">
    <w:name w:val="heading 5"/>
    <w:basedOn w:val="Normal"/>
    <w:next w:val="Normal"/>
    <w:link w:val="Heading5Char"/>
    <w:qFormat/>
    <w:rsid w:val="00B644E8"/>
    <w:pPr>
      <w:keepNext/>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MS Mincho"/>
      <w:sz w:val="28"/>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14:textOutline w14:w="12700" w14:cap="flat" w14:cmpd="sng" w14:algn="ctr">
        <w14:noFill/>
        <w14:prstDash w14:val="solid"/>
        <w14:miter w14:lim="400000"/>
      </w14:textOutline>
    </w:rPr>
  </w:style>
  <w:style w:type="paragraph" w:styleId="ListParagraph">
    <w:name w:val="List Paragraph"/>
    <w:pPr>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 w:type="numbering" w:customStyle="1" w:styleId="ImportedStyle1">
    <w:name w:val="Imported Style 1"/>
    <w:pPr>
      <w:numPr>
        <w:numId w:val="3"/>
      </w:numPr>
    </w:pPr>
  </w:style>
  <w:style w:type="paragraph" w:styleId="NoSpacing">
    <w:name w:val="No Spacing"/>
    <w:rPr>
      <w:rFonts w:ascii="Calibri" w:hAnsi="Calibri" w:cs="Arial Unicode MS"/>
      <w:color w:val="000000"/>
      <w:sz w:val="22"/>
      <w:szCs w:val="22"/>
      <w:u w:color="000000"/>
      <w:lang w:val="da-DK"/>
    </w:rPr>
  </w:style>
  <w:style w:type="paragraph" w:styleId="Revision">
    <w:name w:val="Revision"/>
    <w:hidden/>
    <w:uiPriority w:val="99"/>
    <w:semiHidden/>
    <w:rsid w:val="0001015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5Char">
    <w:name w:val="Heading 5 Char"/>
    <w:basedOn w:val="DefaultParagraphFont"/>
    <w:link w:val="Heading5"/>
    <w:rsid w:val="00B644E8"/>
    <w:rPr>
      <w:rFonts w:eastAsia="MS Mincho"/>
      <w:sz w:val="28"/>
      <w:bdr w:val="none" w:sz="0" w:space="0" w:color="auto"/>
      <w:lang w:val="sq-AL" w:eastAsia="en-US"/>
    </w:rPr>
  </w:style>
  <w:style w:type="paragraph" w:styleId="BalloonText">
    <w:name w:val="Balloon Text"/>
    <w:basedOn w:val="Normal"/>
    <w:link w:val="BalloonTextChar"/>
    <w:uiPriority w:val="99"/>
    <w:semiHidden/>
    <w:unhideWhenUsed/>
    <w:rsid w:val="009A5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CF6"/>
    <w:rPr>
      <w:rFonts w:ascii="Segoe UI" w:hAnsi="Segoe UI" w:cs="Segoe UI"/>
      <w:sz w:val="18"/>
      <w:szCs w:val="18"/>
      <w:lang w:eastAsia="en-US"/>
    </w:rPr>
  </w:style>
  <w:style w:type="paragraph" w:styleId="Header">
    <w:name w:val="header"/>
    <w:basedOn w:val="Normal"/>
    <w:link w:val="HeaderChar"/>
    <w:uiPriority w:val="99"/>
    <w:unhideWhenUsed/>
    <w:rsid w:val="001A7605"/>
    <w:pPr>
      <w:tabs>
        <w:tab w:val="center" w:pos="4680"/>
        <w:tab w:val="right" w:pos="9360"/>
      </w:tabs>
    </w:pPr>
  </w:style>
  <w:style w:type="character" w:customStyle="1" w:styleId="HeaderChar">
    <w:name w:val="Header Char"/>
    <w:basedOn w:val="DefaultParagraphFont"/>
    <w:link w:val="Header"/>
    <w:uiPriority w:val="99"/>
    <w:rsid w:val="001A7605"/>
    <w:rPr>
      <w:sz w:val="24"/>
      <w:szCs w:val="24"/>
      <w:lang w:eastAsia="en-US"/>
    </w:rPr>
  </w:style>
  <w:style w:type="paragraph" w:styleId="Footer">
    <w:name w:val="footer"/>
    <w:basedOn w:val="Normal"/>
    <w:link w:val="FooterChar"/>
    <w:uiPriority w:val="99"/>
    <w:unhideWhenUsed/>
    <w:rsid w:val="001A7605"/>
    <w:pPr>
      <w:tabs>
        <w:tab w:val="center" w:pos="4680"/>
        <w:tab w:val="right" w:pos="9360"/>
      </w:tabs>
    </w:pPr>
  </w:style>
  <w:style w:type="character" w:customStyle="1" w:styleId="FooterChar">
    <w:name w:val="Footer Char"/>
    <w:basedOn w:val="DefaultParagraphFont"/>
    <w:link w:val="Footer"/>
    <w:uiPriority w:val="99"/>
    <w:rsid w:val="001A7605"/>
    <w:rPr>
      <w:sz w:val="24"/>
      <w:szCs w:val="24"/>
      <w:lang w:eastAsia="en-US"/>
    </w:rPr>
  </w:style>
  <w:style w:type="paragraph" w:styleId="NormalWeb">
    <w:name w:val="Normal (Web)"/>
    <w:basedOn w:val="Normal"/>
    <w:uiPriority w:val="99"/>
    <w:rsid w:val="00DF4C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00" w:after="100" w:line="310" w:lineRule="atLeast"/>
    </w:pPr>
    <w:rPr>
      <w:rFonts w:ascii="Calibri" w:hAnsi="Calibri" w:cs="Calibri"/>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645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558DBD171C44F858801BB24FBA3C0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798</Nr_x002e__x0020_akti>
    <Data_x0020_e_x0020_Krijimit xmlns="0e656187-b300-4fb0-8bf4-3a50f872073c">2023-12-29T16:08:57Z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Për disa shtesa dhe ndryshime në vendimin nr. 699, datë 5.10.2016, të Këshillit të Ministrave, "Për shpronësimin, për interes publik, të pronarëve të pasurive të paluajtshme, pronë private, që preken nga ndërtimi i segmentit rrugor "By-Pass" Vlorë (shtesa)", të ndryshuar</Titulli>
    <Modifikuesi xmlns="0e656187-b300-4fb0-8bf4-3a50f872073c">Etlevahaxhia</Modifikuesi>
    <Nr_x002e__x0020_prot_x0020_QBZ xmlns="0e656187-b300-4fb0-8bf4-3a50f872073c">17</Nr_x002e__x0020_prot_x0020_QBZ>
    <Data_x0020_e_x0020_Modifikimit xmlns="0e656187-b300-4fb0-8bf4-3a50f872073c">2024-01-05T10:08:33Z</Data_x0020_e_x0020_Modifikimit>
    <Dekretuar xmlns="0e656187-b300-4fb0-8bf4-3a50f872073c">false</Dekretuar>
    <Data xmlns="0e656187-b300-4fb0-8bf4-3a50f872073c">2023-12-28T00:00:00Z</Data>
    <Nr_x002e__x0020_protokolli_x0020_i_x0020_aktit xmlns="0e656187-b300-4fb0-8bf4-3a50f872073c">1938/5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558DBD171C44F858801BB24FBA3C0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E4579-DC3F-4EA2-9A19-3C7ACE5AA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56B97D-5831-44F4-831A-C2BBAB3AA6E4}">
  <ds:schemaRef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0e656187-b300-4fb0-8bf4-3a50f872073c"/>
    <ds:schemaRef ds:uri="http://www.w3.org/XML/1998/namespace"/>
    <ds:schemaRef ds:uri="http://purl.org/dc/elements/1.1/"/>
    <ds:schemaRef ds:uri="http://purl.org/dc/terms/"/>
  </ds:schemaRefs>
</ds:datastoreItem>
</file>

<file path=customXml/itemProps3.xml><?xml version="1.0" encoding="utf-8"?>
<ds:datastoreItem xmlns:ds="http://schemas.openxmlformats.org/officeDocument/2006/customXml" ds:itemID="{5B81C510-9E65-46AA-A3C2-CFA426F33368}">
  <ds:schemaRefs>
    <ds:schemaRef ds:uri="http://schemas.microsoft.com/sharepoint/v3/contenttype/forms"/>
  </ds:schemaRefs>
</ds:datastoreItem>
</file>

<file path=customXml/itemProps4.xml><?xml version="1.0" encoding="utf-8"?>
<ds:datastoreItem xmlns:ds="http://schemas.openxmlformats.org/officeDocument/2006/customXml" ds:itemID="{052F8F62-6C96-457D-97CE-D584BE0206D9}">
  <ds:schemaRefs>
    <ds:schemaRef ds:uri="http://schemas.microsoft.com/sharepoint/v3/contenttype/forms"/>
  </ds:schemaRefs>
</ds:datastoreItem>
</file>

<file path=customXml/itemProps5.xml><?xml version="1.0" encoding="utf-8"?>
<ds:datastoreItem xmlns:ds="http://schemas.openxmlformats.org/officeDocument/2006/customXml" ds:itemID="{76CAFDC9-B767-4AF0-867E-30BA0CADB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4509479-D3C0-42C8-9557-E543717D1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disa shtesa dhe ndryshime në vendimin nr. 699, datë 5.10.2016, të Këshillit të Ministrave, "Për shpronësimin, për interes publik, të pronarëve të pasurive të paluajtshme, pronë private, që preken nga ndërtimi i segmentit rrugor "By-Pass" Vlorë (shtesa</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699, datë 5.10.2016, të Këshillit të Ministrave, "Për shpronësimin, për interes publik, të pronarëve të pasurive të paluajtshme, pronë private, që preken nga ndërtimi i segmentit rrugor "By-Pass" Vlorë (shtesa)", të ndryshuar</dc:title>
  <dc:creator>Alda Klosi</dc:creator>
  <cp:lastModifiedBy>Amarilda Muja</cp:lastModifiedBy>
  <cp:revision>13</cp:revision>
  <cp:lastPrinted>2023-12-26T12:00:00Z</cp:lastPrinted>
  <dcterms:created xsi:type="dcterms:W3CDTF">2023-12-29T15:01:00Z</dcterms:created>
  <dcterms:modified xsi:type="dcterms:W3CDTF">2024-01-05T10:50:00Z</dcterms:modified>
</cp:coreProperties>
</file>