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EE7CFC" w14:textId="77777777" w:rsidR="009807B9" w:rsidRPr="006D6BE5" w:rsidRDefault="009807B9" w:rsidP="00A7241A">
      <w:pPr>
        <w:autoSpaceDE w:val="0"/>
        <w:autoSpaceDN w:val="0"/>
        <w:adjustRightInd w:val="0"/>
        <w:ind w:firstLine="284"/>
        <w:jc w:val="center"/>
        <w:rPr>
          <w:rFonts w:ascii="Garamond" w:eastAsiaTheme="minorHAnsi" w:hAnsi="Garamond"/>
          <w:b/>
          <w:bCs/>
          <w:color w:val="000000"/>
          <w:lang w:val="sq-AL"/>
        </w:rPr>
      </w:pPr>
      <w:r w:rsidRPr="006D6BE5">
        <w:rPr>
          <w:rFonts w:ascii="Garamond" w:eastAsiaTheme="minorHAnsi" w:hAnsi="Garamond"/>
          <w:b/>
          <w:bCs/>
          <w:color w:val="000000"/>
          <w:lang w:val="sq-AL"/>
        </w:rPr>
        <w:t>VENDIM</w:t>
      </w:r>
    </w:p>
    <w:p w14:paraId="003DB0E2" w14:textId="4BDDD582" w:rsidR="009807B9" w:rsidRPr="006D6BE5" w:rsidRDefault="009807B9" w:rsidP="00A7241A">
      <w:pPr>
        <w:autoSpaceDE w:val="0"/>
        <w:autoSpaceDN w:val="0"/>
        <w:adjustRightInd w:val="0"/>
        <w:ind w:firstLine="284"/>
        <w:jc w:val="center"/>
        <w:rPr>
          <w:rFonts w:ascii="Garamond" w:eastAsiaTheme="minorHAnsi" w:hAnsi="Garamond"/>
          <w:b/>
          <w:bCs/>
          <w:color w:val="000000"/>
          <w:lang w:val="sq-AL"/>
        </w:rPr>
      </w:pPr>
      <w:r w:rsidRPr="006D6BE5">
        <w:rPr>
          <w:rFonts w:ascii="Garamond" w:eastAsiaTheme="minorHAnsi" w:hAnsi="Garamond"/>
          <w:b/>
          <w:bCs/>
          <w:color w:val="000000"/>
          <w:lang w:val="sq-AL"/>
        </w:rPr>
        <w:t>Nr.</w:t>
      </w:r>
      <w:r w:rsidR="009F5D25" w:rsidRPr="006D6BE5">
        <w:rPr>
          <w:rFonts w:ascii="Garamond" w:eastAsiaTheme="minorHAnsi" w:hAnsi="Garamond"/>
          <w:b/>
          <w:bCs/>
          <w:color w:val="000000"/>
          <w:lang w:val="sq-AL"/>
        </w:rPr>
        <w:t xml:space="preserve"> 16</w:t>
      </w:r>
      <w:r w:rsidRPr="006D6BE5">
        <w:rPr>
          <w:rFonts w:ascii="Garamond" w:eastAsiaTheme="minorHAnsi" w:hAnsi="Garamond"/>
          <w:b/>
          <w:bCs/>
          <w:color w:val="000000"/>
          <w:lang w:val="sq-AL"/>
        </w:rPr>
        <w:t xml:space="preserve">, datë </w:t>
      </w:r>
      <w:r w:rsidR="00E63D69">
        <w:rPr>
          <w:rFonts w:ascii="Garamond" w:eastAsiaTheme="minorHAnsi" w:hAnsi="Garamond"/>
          <w:b/>
          <w:bCs/>
          <w:color w:val="000000"/>
          <w:lang w:val="sq-AL"/>
        </w:rPr>
        <w:t>11.1.</w:t>
      </w:r>
      <w:bookmarkStart w:id="0" w:name="_GoBack"/>
      <w:bookmarkEnd w:id="0"/>
      <w:r w:rsidR="009F5D25" w:rsidRPr="006D6BE5">
        <w:rPr>
          <w:rFonts w:ascii="Garamond" w:eastAsiaTheme="minorHAnsi" w:hAnsi="Garamond"/>
          <w:b/>
          <w:bCs/>
          <w:color w:val="000000"/>
          <w:lang w:val="sq-AL"/>
        </w:rPr>
        <w:t>2024</w:t>
      </w:r>
    </w:p>
    <w:p w14:paraId="59B77FB4" w14:textId="77777777" w:rsidR="009807B9" w:rsidRPr="006D6BE5" w:rsidRDefault="009807B9" w:rsidP="00A7241A">
      <w:pPr>
        <w:autoSpaceDE w:val="0"/>
        <w:autoSpaceDN w:val="0"/>
        <w:adjustRightInd w:val="0"/>
        <w:ind w:firstLine="284"/>
        <w:jc w:val="center"/>
        <w:rPr>
          <w:rFonts w:ascii="Garamond" w:eastAsiaTheme="minorHAnsi" w:hAnsi="Garamond"/>
          <w:b/>
          <w:bCs/>
          <w:color w:val="000000"/>
          <w:lang w:val="sq-AL"/>
        </w:rPr>
      </w:pPr>
    </w:p>
    <w:p w14:paraId="6FAAFFAB" w14:textId="2BD7D062" w:rsidR="009807B9" w:rsidRPr="006D6BE5" w:rsidRDefault="009807B9" w:rsidP="00A7241A">
      <w:pPr>
        <w:autoSpaceDE w:val="0"/>
        <w:autoSpaceDN w:val="0"/>
        <w:adjustRightInd w:val="0"/>
        <w:ind w:firstLine="284"/>
        <w:jc w:val="center"/>
        <w:rPr>
          <w:rFonts w:ascii="Garamond" w:eastAsiaTheme="minorHAnsi" w:hAnsi="Garamond"/>
          <w:color w:val="000000"/>
          <w:lang w:val="sq-AL"/>
        </w:rPr>
      </w:pPr>
      <w:r w:rsidRPr="006D6BE5">
        <w:rPr>
          <w:rFonts w:ascii="Garamond" w:eastAsiaTheme="minorHAnsi" w:hAnsi="Garamond"/>
          <w:b/>
          <w:bCs/>
          <w:color w:val="000000"/>
          <w:lang w:val="sq-AL"/>
        </w:rPr>
        <w:t>PËR MIRATIMIN E PLANIT KOMBËTAR PËR INTEGRIMIN EVROPIAN 2024–2026</w:t>
      </w:r>
    </w:p>
    <w:p w14:paraId="0E1F4533" w14:textId="77777777" w:rsidR="009807B9" w:rsidRPr="006D6BE5" w:rsidRDefault="009807B9" w:rsidP="00A7241A">
      <w:pPr>
        <w:autoSpaceDE w:val="0"/>
        <w:autoSpaceDN w:val="0"/>
        <w:adjustRightInd w:val="0"/>
        <w:ind w:firstLine="284"/>
        <w:jc w:val="both"/>
        <w:rPr>
          <w:rFonts w:ascii="Garamond" w:eastAsiaTheme="minorHAnsi" w:hAnsi="Garamond"/>
          <w:color w:val="000000"/>
          <w:lang w:val="sq-AL"/>
        </w:rPr>
      </w:pPr>
    </w:p>
    <w:p w14:paraId="60AE7597" w14:textId="77777777" w:rsidR="009807B9" w:rsidRPr="006D6BE5" w:rsidRDefault="009807B9" w:rsidP="00A7241A">
      <w:pPr>
        <w:autoSpaceDE w:val="0"/>
        <w:autoSpaceDN w:val="0"/>
        <w:adjustRightInd w:val="0"/>
        <w:ind w:firstLine="284"/>
        <w:jc w:val="both"/>
        <w:rPr>
          <w:rFonts w:ascii="Garamond" w:eastAsiaTheme="minorHAnsi" w:hAnsi="Garamond"/>
          <w:color w:val="000000"/>
          <w:lang w:val="sq-AL"/>
        </w:rPr>
      </w:pPr>
      <w:r w:rsidRPr="006D6BE5">
        <w:rPr>
          <w:rFonts w:ascii="Garamond" w:eastAsiaTheme="minorHAnsi" w:hAnsi="Garamond"/>
          <w:color w:val="000000"/>
          <w:lang w:val="sq-AL"/>
        </w:rPr>
        <w:t>Në mbështetje të nenit 100 të Kushtetutës, me propozimin e ministrit të Shtetit dhe Kryenegociator, Këshilli i Ministrave</w:t>
      </w:r>
    </w:p>
    <w:p w14:paraId="1FE20750" w14:textId="77777777" w:rsidR="009807B9" w:rsidRPr="006D6BE5" w:rsidRDefault="009807B9" w:rsidP="00A7241A">
      <w:pPr>
        <w:autoSpaceDE w:val="0"/>
        <w:autoSpaceDN w:val="0"/>
        <w:adjustRightInd w:val="0"/>
        <w:ind w:firstLine="284"/>
        <w:rPr>
          <w:rFonts w:ascii="Garamond" w:eastAsiaTheme="minorHAnsi" w:hAnsi="Garamond"/>
          <w:color w:val="000000"/>
          <w:lang w:val="sq-AL"/>
        </w:rPr>
      </w:pPr>
    </w:p>
    <w:p w14:paraId="3D3F394A" w14:textId="77777777" w:rsidR="009807B9" w:rsidRPr="006D6BE5" w:rsidRDefault="009807B9" w:rsidP="00A7241A">
      <w:pPr>
        <w:autoSpaceDE w:val="0"/>
        <w:autoSpaceDN w:val="0"/>
        <w:adjustRightInd w:val="0"/>
        <w:ind w:firstLine="284"/>
        <w:jc w:val="center"/>
        <w:rPr>
          <w:rFonts w:ascii="Garamond" w:eastAsiaTheme="minorHAnsi" w:hAnsi="Garamond"/>
          <w:bCs/>
          <w:color w:val="000000"/>
          <w:lang w:val="sq-AL"/>
        </w:rPr>
      </w:pPr>
      <w:r w:rsidRPr="006D6BE5">
        <w:rPr>
          <w:rFonts w:ascii="Garamond" w:eastAsiaTheme="minorHAnsi" w:hAnsi="Garamond"/>
          <w:bCs/>
          <w:color w:val="000000"/>
          <w:lang w:val="sq-AL"/>
        </w:rPr>
        <w:t>VENDOSI:</w:t>
      </w:r>
    </w:p>
    <w:p w14:paraId="3D85B2AF" w14:textId="77777777" w:rsidR="009807B9" w:rsidRPr="006D6BE5" w:rsidRDefault="009807B9" w:rsidP="00A7241A">
      <w:pPr>
        <w:autoSpaceDE w:val="0"/>
        <w:autoSpaceDN w:val="0"/>
        <w:adjustRightInd w:val="0"/>
        <w:ind w:firstLine="284"/>
        <w:jc w:val="both"/>
        <w:rPr>
          <w:rFonts w:ascii="Garamond" w:eastAsiaTheme="minorHAnsi" w:hAnsi="Garamond"/>
          <w:color w:val="000000"/>
          <w:lang w:val="sq-AL"/>
        </w:rPr>
      </w:pPr>
    </w:p>
    <w:p w14:paraId="4D24C581" w14:textId="454BD187" w:rsidR="009807B9" w:rsidRPr="006D6BE5" w:rsidRDefault="009807B9" w:rsidP="00A7241A">
      <w:pPr>
        <w:autoSpaceDE w:val="0"/>
        <w:autoSpaceDN w:val="0"/>
        <w:adjustRightInd w:val="0"/>
        <w:ind w:firstLine="284"/>
        <w:jc w:val="both"/>
        <w:rPr>
          <w:rFonts w:ascii="Garamond" w:eastAsia="Arial Unicode MS" w:hAnsi="Garamond" w:cs="Arial Unicode MS"/>
          <w:lang w:val="sq-AL"/>
        </w:rPr>
      </w:pPr>
      <w:r w:rsidRPr="006D6BE5">
        <w:rPr>
          <w:rFonts w:ascii="Garamond" w:eastAsia="Arial Unicode MS" w:hAnsi="Garamond" w:cs="Arial Unicode MS"/>
          <w:color w:val="000000"/>
          <w:lang w:val="sq-AL"/>
        </w:rPr>
        <w:t xml:space="preserve">1. Miratimin e Planit Kombëtar për Integrimin Evropian </w:t>
      </w:r>
      <w:r w:rsidR="00CC331B">
        <w:rPr>
          <w:rFonts w:ascii="Garamond" w:eastAsia="Arial Unicode MS" w:hAnsi="Garamond" w:cs="Arial Unicode MS"/>
          <w:color w:val="000000"/>
          <w:lang w:val="sq-AL"/>
        </w:rPr>
        <w:t>2024–2026</w:t>
      </w:r>
      <w:r w:rsidRPr="006D6BE5">
        <w:rPr>
          <w:rFonts w:ascii="Garamond" w:eastAsia="Arial Unicode MS" w:hAnsi="Garamond" w:cs="Arial Unicode MS"/>
          <w:color w:val="000000"/>
          <w:lang w:val="sq-AL"/>
        </w:rPr>
        <w:t>, sipas tekstit dhe shtojcës që i bashkëlidhen këtij vendimi.</w:t>
      </w:r>
    </w:p>
    <w:p w14:paraId="16B9CF37" w14:textId="32800FEF" w:rsidR="009807B9" w:rsidRPr="006D6BE5" w:rsidRDefault="009807B9" w:rsidP="00A7241A">
      <w:pPr>
        <w:autoSpaceDE w:val="0"/>
        <w:autoSpaceDN w:val="0"/>
        <w:adjustRightInd w:val="0"/>
        <w:ind w:firstLine="284"/>
        <w:jc w:val="both"/>
        <w:rPr>
          <w:rFonts w:ascii="Garamond" w:eastAsia="Arial Unicode MS" w:hAnsi="Garamond" w:cs="Arial Unicode MS"/>
          <w:lang w:val="sq-AL"/>
        </w:rPr>
      </w:pPr>
      <w:r w:rsidRPr="006D6BE5">
        <w:rPr>
          <w:rFonts w:ascii="Garamond" w:eastAsia="Arial Unicode MS" w:hAnsi="Garamond" w:cs="Arial Unicode MS"/>
          <w:lang w:val="sq-AL"/>
        </w:rPr>
        <w:t xml:space="preserve">2. Ministri i Shtetit dhe Kryenegociator ngarkohet të bashkërendojë zbatimin e Planit Kombëtar për Integrimin Evropian </w:t>
      </w:r>
      <w:r w:rsidR="00CC331B">
        <w:rPr>
          <w:rFonts w:ascii="Garamond" w:eastAsia="Arial Unicode MS" w:hAnsi="Garamond" w:cs="Arial Unicode MS"/>
          <w:lang w:val="sq-AL"/>
        </w:rPr>
        <w:t>2024–2026</w:t>
      </w:r>
      <w:r w:rsidRPr="006D6BE5">
        <w:rPr>
          <w:rFonts w:ascii="Garamond" w:eastAsia="Arial Unicode MS" w:hAnsi="Garamond" w:cs="Arial Unicode MS"/>
          <w:lang w:val="sq-AL"/>
        </w:rPr>
        <w:t xml:space="preserve"> me ministrat dhe/ose drejtuesit e institucioneve përgjegjëse për kryesimin e grupeve ndërinstitucionale të punës për integrimin evropian (GNPIE), si dhe negociatorin përgjegjës të secilit kriter dhe/ose kapitull të </w:t>
      </w:r>
      <w:r w:rsidRPr="006D6BE5">
        <w:rPr>
          <w:rFonts w:ascii="Garamond" w:eastAsia="Arial Unicode MS" w:hAnsi="Garamond" w:cs="Arial Unicode MS"/>
          <w:i/>
          <w:iCs/>
          <w:lang w:val="sq-AL"/>
        </w:rPr>
        <w:t>acquis</w:t>
      </w:r>
      <w:r w:rsidRPr="006D6BE5">
        <w:rPr>
          <w:rFonts w:ascii="Garamond" w:eastAsia="Arial Unicode MS" w:hAnsi="Garamond" w:cs="Arial Unicode MS"/>
          <w:lang w:val="sq-AL"/>
        </w:rPr>
        <w:t xml:space="preserve"> të Bashkimit Evropian. </w:t>
      </w:r>
    </w:p>
    <w:p w14:paraId="714F334A" w14:textId="5386BC25" w:rsidR="009807B9" w:rsidRPr="006D6BE5" w:rsidRDefault="009807B9" w:rsidP="00A7241A">
      <w:pPr>
        <w:autoSpaceDE w:val="0"/>
        <w:autoSpaceDN w:val="0"/>
        <w:adjustRightInd w:val="0"/>
        <w:ind w:firstLine="284"/>
        <w:jc w:val="both"/>
        <w:rPr>
          <w:rFonts w:ascii="Garamond" w:eastAsia="Arial Unicode MS" w:hAnsi="Garamond" w:cs="Arial Unicode MS"/>
          <w:lang w:val="sq-AL"/>
        </w:rPr>
      </w:pPr>
      <w:r w:rsidRPr="006D6BE5">
        <w:rPr>
          <w:rFonts w:ascii="Garamond" w:eastAsia="Arial Unicode MS" w:hAnsi="Garamond" w:cs="Arial Unicode MS"/>
          <w:lang w:val="sq-AL"/>
        </w:rPr>
        <w:t xml:space="preserve">3. Negociatori përgjegjës për kriterin dhe/ose kapitullin e </w:t>
      </w:r>
      <w:r w:rsidRPr="006D6BE5">
        <w:rPr>
          <w:rFonts w:ascii="Garamond" w:eastAsia="Arial Unicode MS" w:hAnsi="Garamond" w:cs="Arial Unicode MS"/>
          <w:i/>
          <w:iCs/>
          <w:lang w:val="sq-AL"/>
        </w:rPr>
        <w:t>acquis</w:t>
      </w:r>
      <w:r w:rsidRPr="006D6BE5">
        <w:rPr>
          <w:rFonts w:ascii="Garamond" w:eastAsia="Arial Unicode MS" w:hAnsi="Garamond" w:cs="Arial Unicode MS"/>
          <w:lang w:val="sq-AL"/>
        </w:rPr>
        <w:t xml:space="preserve"> të Bashkimit Evropian, i caktuar sipas parashikimeve të vendimit nr.</w:t>
      </w:r>
      <w:r w:rsidR="00F70BA8">
        <w:rPr>
          <w:rFonts w:ascii="Garamond" w:eastAsia="Arial Unicode MS" w:hAnsi="Garamond" w:cs="Arial Unicode MS"/>
          <w:lang w:val="sq-AL"/>
        </w:rPr>
        <w:t xml:space="preserve"> </w:t>
      </w:r>
      <w:r w:rsidRPr="006D6BE5">
        <w:rPr>
          <w:rFonts w:ascii="Garamond" w:eastAsia="Arial Unicode MS" w:hAnsi="Garamond" w:cs="Arial Unicode MS"/>
          <w:lang w:val="sq-AL"/>
        </w:rPr>
        <w:t xml:space="preserve">422, datë 6.5.2020, të Këshillit të Ministrave, “Për përbërjen, rregullat e funksionimit dhe trajtimin financiar të grupit negociator dhe detyrat e kryenegociatorit për zhvillimin e negociatave të aderimit të Republikës së Shqipërisë në Bashkimin Evropian”, të ndryshuar, raporton në mënyrë periodike pranë ministrit të Shtetit dhe Kryenegociator për ecurinë e zbatimit të Planit Kombëtar për Integrimin Evropian </w:t>
      </w:r>
      <w:r w:rsidR="00CC331B">
        <w:rPr>
          <w:rFonts w:ascii="Garamond" w:eastAsia="Arial Unicode MS" w:hAnsi="Garamond" w:cs="Arial Unicode MS"/>
          <w:lang w:val="sq-AL"/>
        </w:rPr>
        <w:t>2024–2026</w:t>
      </w:r>
      <w:r w:rsidRPr="006D6BE5">
        <w:rPr>
          <w:rFonts w:ascii="Garamond" w:eastAsia="Arial Unicode MS" w:hAnsi="Garamond" w:cs="Arial Unicode MS"/>
          <w:lang w:val="sq-AL"/>
        </w:rPr>
        <w:t>.</w:t>
      </w:r>
    </w:p>
    <w:p w14:paraId="066F9493" w14:textId="334E079C" w:rsidR="009807B9" w:rsidRPr="006D6BE5" w:rsidRDefault="009807B9" w:rsidP="00A7241A">
      <w:pPr>
        <w:autoSpaceDE w:val="0"/>
        <w:autoSpaceDN w:val="0"/>
        <w:adjustRightInd w:val="0"/>
        <w:ind w:firstLine="284"/>
        <w:jc w:val="both"/>
        <w:rPr>
          <w:rFonts w:ascii="Garamond" w:eastAsia="Arial Unicode MS" w:hAnsi="Garamond" w:cs="Arial Unicode MS"/>
          <w:lang w:val="sq-AL"/>
        </w:rPr>
      </w:pPr>
      <w:r w:rsidRPr="006D6BE5">
        <w:rPr>
          <w:rFonts w:ascii="Garamond" w:eastAsia="Arial Unicode MS" w:hAnsi="Garamond" w:cs="Arial Unicode MS"/>
          <w:lang w:val="sq-AL"/>
        </w:rPr>
        <w:t>4. Vendimi nr.</w:t>
      </w:r>
      <w:r w:rsidR="00F70BA8">
        <w:rPr>
          <w:rFonts w:ascii="Garamond" w:eastAsia="Arial Unicode MS" w:hAnsi="Garamond" w:cs="Arial Unicode MS"/>
          <w:lang w:val="sq-AL"/>
        </w:rPr>
        <w:t xml:space="preserve"> </w:t>
      </w:r>
      <w:r w:rsidRPr="006D6BE5">
        <w:rPr>
          <w:rFonts w:ascii="Garamond" w:eastAsia="Arial Unicode MS" w:hAnsi="Garamond" w:cs="Arial Unicode MS"/>
          <w:lang w:val="sq-AL"/>
        </w:rPr>
        <w:t>122, datë 1.3.2023, i Këshillit të Ministrave, “Për miratimin e Planit Kombëtar për Integrimin Evropian, 2023–2025”, shfuqizohet.</w:t>
      </w:r>
    </w:p>
    <w:p w14:paraId="01A37418" w14:textId="5E3CD33D" w:rsidR="009807B9" w:rsidRPr="006D6BE5" w:rsidRDefault="009807B9" w:rsidP="00A7241A">
      <w:pPr>
        <w:autoSpaceDE w:val="0"/>
        <w:autoSpaceDN w:val="0"/>
        <w:adjustRightInd w:val="0"/>
        <w:ind w:firstLine="284"/>
        <w:jc w:val="both"/>
        <w:rPr>
          <w:rFonts w:ascii="Garamond" w:eastAsia="Arial Unicode MS" w:hAnsi="Garamond" w:cs="Arial Unicode MS"/>
          <w:lang w:val="sq-AL"/>
        </w:rPr>
      </w:pPr>
      <w:r w:rsidRPr="006D6BE5">
        <w:rPr>
          <w:rFonts w:ascii="Garamond" w:eastAsia="Arial Unicode MS" w:hAnsi="Garamond" w:cs="Arial Unicode MS"/>
          <w:lang w:val="sq-AL"/>
        </w:rPr>
        <w:t xml:space="preserve">5. Ngarkohen të gjitha institucionet, në përbërje të grupeve ndërinstitucionale të punës për integrimin evropian, për të cilat në Planin Kombëtar për Integrimin Evropian </w:t>
      </w:r>
      <w:r w:rsidR="00CC331B">
        <w:rPr>
          <w:rFonts w:ascii="Garamond" w:eastAsia="Arial Unicode MS" w:hAnsi="Garamond" w:cs="Arial Unicode MS"/>
          <w:lang w:val="sq-AL"/>
        </w:rPr>
        <w:t>2024–2026</w:t>
      </w:r>
      <w:r w:rsidRPr="006D6BE5">
        <w:rPr>
          <w:rFonts w:ascii="Garamond" w:eastAsia="Arial Unicode MS" w:hAnsi="Garamond" w:cs="Arial Unicode MS"/>
          <w:lang w:val="sq-AL"/>
        </w:rPr>
        <w:t xml:space="preserve"> janë përcaktuar detyra të veçanta për zbatimin e këtij vendimi. </w:t>
      </w:r>
    </w:p>
    <w:p w14:paraId="76A96208" w14:textId="192D6FDB" w:rsidR="009807B9" w:rsidRPr="006D6BE5" w:rsidRDefault="009807B9" w:rsidP="00A7241A">
      <w:pPr>
        <w:autoSpaceDE w:val="0"/>
        <w:autoSpaceDN w:val="0"/>
        <w:adjustRightInd w:val="0"/>
        <w:ind w:firstLine="284"/>
        <w:jc w:val="both"/>
        <w:rPr>
          <w:rFonts w:ascii="Garamond" w:eastAsiaTheme="minorHAnsi" w:hAnsi="Garamond"/>
          <w:color w:val="000000"/>
          <w:lang w:val="sq-AL"/>
        </w:rPr>
      </w:pPr>
      <w:r w:rsidRPr="006D6BE5">
        <w:rPr>
          <w:rFonts w:ascii="Garamond" w:eastAsiaTheme="minorHAnsi" w:hAnsi="Garamond"/>
          <w:color w:val="000000"/>
          <w:lang w:val="sq-AL"/>
        </w:rPr>
        <w:t xml:space="preserve">Ky vendim hyn në fuqi menjëherë dhe botohet në Fletoren </w:t>
      </w:r>
      <w:r w:rsidR="00F70BA8" w:rsidRPr="006D6BE5">
        <w:rPr>
          <w:rFonts w:ascii="Garamond" w:eastAsiaTheme="minorHAnsi" w:hAnsi="Garamond"/>
          <w:color w:val="000000"/>
          <w:lang w:val="sq-AL"/>
        </w:rPr>
        <w:t>Zyrtare</w:t>
      </w:r>
      <w:r w:rsidRPr="006D6BE5">
        <w:rPr>
          <w:rFonts w:ascii="Garamond" w:eastAsiaTheme="minorHAnsi" w:hAnsi="Garamond"/>
          <w:color w:val="000000"/>
          <w:lang w:val="sq-AL"/>
        </w:rPr>
        <w:t>.</w:t>
      </w:r>
    </w:p>
    <w:p w14:paraId="5B22B847" w14:textId="77777777" w:rsidR="009807B9" w:rsidRPr="006D6BE5" w:rsidRDefault="009807B9" w:rsidP="00A7241A">
      <w:pPr>
        <w:autoSpaceDE w:val="0"/>
        <w:autoSpaceDN w:val="0"/>
        <w:adjustRightInd w:val="0"/>
        <w:ind w:firstLine="284"/>
        <w:jc w:val="right"/>
        <w:rPr>
          <w:rFonts w:ascii="Garamond" w:eastAsiaTheme="minorHAnsi" w:hAnsi="Garamond"/>
          <w:color w:val="000000"/>
          <w:lang w:val="sq-AL"/>
        </w:rPr>
      </w:pPr>
    </w:p>
    <w:p w14:paraId="5E046C69" w14:textId="77777777" w:rsidR="009807B9" w:rsidRPr="006D6BE5" w:rsidRDefault="009807B9" w:rsidP="00A7241A">
      <w:pPr>
        <w:autoSpaceDE w:val="0"/>
        <w:autoSpaceDN w:val="0"/>
        <w:adjustRightInd w:val="0"/>
        <w:ind w:firstLine="284"/>
        <w:jc w:val="right"/>
        <w:rPr>
          <w:rFonts w:ascii="Garamond" w:eastAsiaTheme="minorHAnsi" w:hAnsi="Garamond"/>
          <w:bCs/>
          <w:color w:val="000000"/>
          <w:lang w:val="sq-AL"/>
        </w:rPr>
      </w:pPr>
      <w:r w:rsidRPr="006D6BE5">
        <w:rPr>
          <w:rFonts w:ascii="Garamond" w:eastAsiaTheme="minorHAnsi" w:hAnsi="Garamond"/>
          <w:bCs/>
          <w:color w:val="000000"/>
          <w:lang w:val="sq-AL"/>
        </w:rPr>
        <w:t>KRYEMINISTËR</w:t>
      </w:r>
    </w:p>
    <w:p w14:paraId="6ABFD235" w14:textId="77777777" w:rsidR="00F61C9D" w:rsidRPr="006D6BE5" w:rsidRDefault="009807B9" w:rsidP="00A7241A">
      <w:pPr>
        <w:autoSpaceDE w:val="0"/>
        <w:autoSpaceDN w:val="0"/>
        <w:adjustRightInd w:val="0"/>
        <w:ind w:firstLine="284"/>
        <w:jc w:val="right"/>
        <w:rPr>
          <w:rFonts w:ascii="Garamond" w:eastAsiaTheme="minorHAnsi" w:hAnsi="Garamond"/>
          <w:b/>
          <w:bCs/>
          <w:color w:val="000000"/>
          <w:lang w:val="sq-AL"/>
        </w:rPr>
      </w:pPr>
      <w:r w:rsidRPr="006D6BE5">
        <w:rPr>
          <w:rFonts w:ascii="Garamond" w:eastAsiaTheme="minorHAnsi" w:hAnsi="Garamond"/>
          <w:b/>
          <w:bCs/>
          <w:color w:val="000000"/>
          <w:lang w:val="sq-AL"/>
        </w:rPr>
        <w:t>Edi Rama</w:t>
      </w:r>
    </w:p>
    <w:p w14:paraId="5BF021D4" w14:textId="77777777" w:rsidR="00C034C4" w:rsidRPr="006D6BE5" w:rsidRDefault="00C034C4" w:rsidP="00A7241A">
      <w:pPr>
        <w:autoSpaceDE w:val="0"/>
        <w:autoSpaceDN w:val="0"/>
        <w:adjustRightInd w:val="0"/>
        <w:ind w:firstLine="284"/>
        <w:jc w:val="right"/>
        <w:rPr>
          <w:rFonts w:ascii="Garamond" w:hAnsi="Garamond"/>
          <w:lang w:val="sq-AL"/>
        </w:rPr>
      </w:pPr>
    </w:p>
    <w:p w14:paraId="264EB568" w14:textId="257AABEB" w:rsidR="00C034C4" w:rsidRPr="006D6BE5" w:rsidRDefault="00C034C4" w:rsidP="00A7241A">
      <w:pPr>
        <w:ind w:firstLine="284"/>
        <w:jc w:val="center"/>
        <w:rPr>
          <w:rFonts w:ascii="Garamond" w:hAnsi="Garamond"/>
          <w:lang w:val="sq-AL"/>
        </w:rPr>
      </w:pPr>
      <w:r w:rsidRPr="006D6BE5">
        <w:rPr>
          <w:rFonts w:ascii="Garamond" w:hAnsi="Garamond"/>
          <w:lang w:val="sq-AL"/>
        </w:rPr>
        <w:t>PLANI KOMBËTAR PËR INTEGRIMIN EVROPIAN 2024</w:t>
      </w:r>
      <w:r w:rsidR="006D6BE5" w:rsidRPr="006D6BE5">
        <w:rPr>
          <w:rFonts w:ascii="Garamond" w:hAnsi="Garamond"/>
          <w:lang w:val="sq-AL"/>
        </w:rPr>
        <w:t>–</w:t>
      </w:r>
      <w:r w:rsidRPr="006D6BE5">
        <w:rPr>
          <w:rFonts w:ascii="Garamond" w:hAnsi="Garamond"/>
          <w:lang w:val="sq-AL"/>
        </w:rPr>
        <w:t>2026</w:t>
      </w:r>
      <w:r w:rsidR="006D6BE5" w:rsidRPr="006D6BE5">
        <w:rPr>
          <w:rFonts w:ascii="Garamond" w:hAnsi="Garamond"/>
          <w:lang w:val="sq-AL"/>
        </w:rPr>
        <w:t xml:space="preserve"> </w:t>
      </w:r>
    </w:p>
    <w:p w14:paraId="34922622" w14:textId="77777777" w:rsidR="00C034C4" w:rsidRPr="006D6BE5" w:rsidRDefault="00C034C4" w:rsidP="00A7241A">
      <w:pPr>
        <w:ind w:firstLine="284"/>
        <w:jc w:val="center"/>
        <w:rPr>
          <w:rFonts w:ascii="Garamond" w:hAnsi="Garamond"/>
          <w:i/>
          <w:lang w:val="sq-AL"/>
        </w:rPr>
      </w:pPr>
      <w:r w:rsidRPr="006D6BE5">
        <w:rPr>
          <w:rFonts w:ascii="Garamond" w:hAnsi="Garamond"/>
          <w:i/>
          <w:lang w:val="sq-AL"/>
        </w:rPr>
        <w:t>Janar 2024</w:t>
      </w:r>
    </w:p>
    <w:p w14:paraId="65CDA78A" w14:textId="77777777" w:rsidR="00C034C4" w:rsidRPr="006D6BE5" w:rsidRDefault="00C034C4" w:rsidP="00A7241A">
      <w:pPr>
        <w:ind w:firstLine="284"/>
        <w:jc w:val="center"/>
        <w:rPr>
          <w:rFonts w:ascii="Garamond" w:hAnsi="Garamond"/>
          <w:lang w:val="sq-AL"/>
        </w:rPr>
      </w:pPr>
    </w:p>
    <w:p w14:paraId="1DA13406" w14:textId="77777777" w:rsidR="00C034C4" w:rsidRPr="006D6BE5" w:rsidRDefault="00C034C4" w:rsidP="00A7241A">
      <w:pPr>
        <w:ind w:firstLine="284"/>
        <w:jc w:val="center"/>
        <w:rPr>
          <w:rFonts w:ascii="Garamond" w:hAnsi="Garamond"/>
          <w:lang w:val="sq-AL"/>
        </w:rPr>
      </w:pPr>
      <w:r w:rsidRPr="006D6BE5">
        <w:rPr>
          <w:rFonts w:ascii="Garamond" w:hAnsi="Garamond"/>
          <w:b/>
          <w:lang w:val="sq-AL"/>
        </w:rPr>
        <w:t>Përmbledhje</w:t>
      </w:r>
    </w:p>
    <w:p w14:paraId="4C558A51" w14:textId="77777777" w:rsidR="00C034C4" w:rsidRPr="006D6BE5" w:rsidRDefault="00C034C4" w:rsidP="00A7241A">
      <w:pPr>
        <w:ind w:firstLine="284"/>
        <w:jc w:val="both"/>
        <w:rPr>
          <w:rFonts w:ascii="Garamond" w:hAnsi="Garamond"/>
          <w:lang w:val="sq-AL"/>
        </w:rPr>
      </w:pPr>
    </w:p>
    <w:p w14:paraId="08A831DA" w14:textId="77777777" w:rsidR="00C034C4" w:rsidRPr="006D6BE5" w:rsidRDefault="00C034C4" w:rsidP="00A7241A">
      <w:pPr>
        <w:ind w:firstLine="284"/>
        <w:jc w:val="both"/>
        <w:rPr>
          <w:rFonts w:ascii="Garamond" w:hAnsi="Garamond"/>
          <w:lang w:val="sq-AL"/>
        </w:rPr>
      </w:pPr>
      <w:r w:rsidRPr="006D6BE5">
        <w:rPr>
          <w:rFonts w:ascii="Garamond" w:hAnsi="Garamond"/>
          <w:lang w:val="sq-AL"/>
        </w:rPr>
        <w:t>Anëtarësimi i Republikës së Shqipërisë në Bashkimin Evropian mbetet objektivi kryesor strategjik i Republikës së Shqipërisë. Qeveria shqiptare në programin e saj qeverisës ka përcaktuar se “</w:t>
      </w:r>
      <w:r w:rsidRPr="006D6BE5">
        <w:rPr>
          <w:rFonts w:ascii="Garamond" w:hAnsi="Garamond"/>
          <w:i/>
          <w:iCs/>
          <w:lang w:val="sq-AL"/>
        </w:rPr>
        <w:t>Europa e Bashkuar është busulla jonë dhe familja natyrale të cilës i përkasim, por ku ende mungojmë</w:t>
      </w:r>
      <w:r w:rsidRPr="006D6BE5">
        <w:rPr>
          <w:rFonts w:ascii="Garamond" w:hAnsi="Garamond"/>
          <w:lang w:val="sq-AL"/>
        </w:rPr>
        <w:t>”.</w:t>
      </w:r>
      <w:r w:rsidRPr="006D6BE5">
        <w:rPr>
          <w:rStyle w:val="FootnoteReference"/>
          <w:rFonts w:ascii="Garamond" w:hAnsi="Garamond"/>
          <w:lang w:val="sq-AL"/>
        </w:rPr>
        <w:footnoteReference w:id="2"/>
      </w:r>
    </w:p>
    <w:p w14:paraId="00DCAA38" w14:textId="77777777" w:rsidR="00C034C4" w:rsidRPr="006D6BE5" w:rsidRDefault="00C034C4" w:rsidP="00A7241A">
      <w:pPr>
        <w:pStyle w:val="NormalWeb"/>
        <w:spacing w:beforeAutospacing="0" w:afterAutospacing="0"/>
        <w:ind w:firstLine="284"/>
        <w:jc w:val="both"/>
        <w:rPr>
          <w:rFonts w:ascii="Garamond" w:hAnsi="Garamond"/>
          <w:lang w:val="sq-AL"/>
        </w:rPr>
      </w:pPr>
      <w:r w:rsidRPr="006D6BE5">
        <w:rPr>
          <w:rFonts w:ascii="Garamond" w:hAnsi="Garamond" w:cs="Times New Roman"/>
          <w:color w:val="000000"/>
          <w:lang w:val="sq-AL"/>
        </w:rPr>
        <w:t>Integrimi Evropian është synimi politik dhe strategjik më i rëndësishëm i Shqipërisë dhe i sistemeve të saj ligjore, ekonomike dhe institucionale. Procesi i integrimit në BE përfaqëson mbështetjen për demokratizimin e Shqipërisë, konsolidimin e institucioneve dhe të sundimit të ligjit dhe proceseve të vazhdueshme të reformave themelore në drejtim të Bashkimit Evropian dhe anëtarësimit të plotë.</w:t>
      </w:r>
    </w:p>
    <w:p w14:paraId="2C7AD4BA" w14:textId="2A8B07E2" w:rsidR="00C034C4" w:rsidRPr="006D6BE5" w:rsidRDefault="00C034C4" w:rsidP="00A7241A">
      <w:pPr>
        <w:pStyle w:val="NormalWeb"/>
        <w:spacing w:beforeAutospacing="0" w:afterAutospacing="0"/>
        <w:ind w:firstLine="284"/>
        <w:jc w:val="both"/>
        <w:rPr>
          <w:rFonts w:ascii="Garamond" w:hAnsi="Garamond"/>
          <w:lang w:val="sq-AL"/>
        </w:rPr>
      </w:pPr>
      <w:r w:rsidRPr="006D6BE5">
        <w:rPr>
          <w:rFonts w:ascii="Garamond" w:hAnsi="Garamond" w:cs="Times New Roman"/>
          <w:color w:val="000000"/>
          <w:lang w:val="sq-AL"/>
        </w:rPr>
        <w:t xml:space="preserve">Vizioni dhe objektivat strategjikë kombëtarë për Integrimin Evropian përcaktohen në Strategjinë Kombëtare për Zhvillim dhe Integrimin Evropian (SKZHIE) </w:t>
      </w:r>
      <w:r w:rsidR="004A2AAA">
        <w:rPr>
          <w:rFonts w:ascii="Garamond" w:hAnsi="Garamond" w:cs="Times New Roman"/>
          <w:color w:val="000000"/>
          <w:lang w:val="sq-AL"/>
        </w:rPr>
        <w:t>2024–2026</w:t>
      </w:r>
      <w:r w:rsidRPr="006D6BE5">
        <w:rPr>
          <w:rFonts w:ascii="Garamond" w:hAnsi="Garamond" w:cs="Times New Roman"/>
          <w:color w:val="000000"/>
          <w:lang w:val="sq-AL"/>
        </w:rPr>
        <w:t>.</w:t>
      </w:r>
      <w:r w:rsidRPr="006D6BE5">
        <w:rPr>
          <w:rFonts w:ascii="Garamond" w:eastAsia="Times New Roman" w:hAnsi="Garamond" w:cs="Times New Roman"/>
          <w:lang w:val="sq-AL"/>
        </w:rPr>
        <w:t xml:space="preserve"> Strategjia Kombëtare për Zhvillim dhe Integrim Evropian si dokumenti bazë strategjik i Republikës së Shqipërisë përcakton se vizioni i Republikës së Shqipërisë për periudhën </w:t>
      </w:r>
      <w:r w:rsidR="004A2AAA">
        <w:rPr>
          <w:rFonts w:ascii="Garamond" w:eastAsia="Times New Roman" w:hAnsi="Garamond" w:cs="Times New Roman"/>
          <w:lang w:val="sq-AL"/>
        </w:rPr>
        <w:t>2024–2026</w:t>
      </w:r>
      <w:r w:rsidRPr="006D6BE5">
        <w:rPr>
          <w:rFonts w:ascii="Garamond" w:eastAsia="Times New Roman" w:hAnsi="Garamond" w:cs="Times New Roman"/>
          <w:lang w:val="sq-AL"/>
        </w:rPr>
        <w:t xml:space="preserve"> është </w:t>
      </w:r>
      <w:r w:rsidRPr="006D6BE5">
        <w:rPr>
          <w:rFonts w:ascii="Garamond" w:eastAsia="Times New Roman" w:hAnsi="Garamond" w:cs="Times New Roman"/>
          <w:lang w:val="sq-AL"/>
        </w:rPr>
        <w:lastRenderedPageBreak/>
        <w:t>“</w:t>
      </w:r>
      <w:r w:rsidRPr="006D6BE5">
        <w:rPr>
          <w:rFonts w:ascii="Garamond" w:eastAsia="Times New Roman" w:hAnsi="Garamond" w:cs="Times New Roman"/>
          <w:i/>
          <w:iCs/>
          <w:lang w:val="sq-AL"/>
        </w:rPr>
        <w:t>Shqipëria 2030: Një ekonomi dinamike, pjesë e Bashkimit Evropian dhe rajonit, që ofron kushte të barabarta për rritjen e mirëqenies së të gjithë qytetarëve të saj mbështetur në një demokraci funksionale që garanton të drejtat themelore dhe liritë e njeriut</w:t>
      </w:r>
      <w:r w:rsidRPr="006D6BE5">
        <w:rPr>
          <w:rFonts w:ascii="Garamond" w:eastAsia="Times New Roman" w:hAnsi="Garamond" w:cs="Times New Roman"/>
          <w:lang w:val="sq-AL"/>
        </w:rPr>
        <w:t>”</w:t>
      </w:r>
      <w:r w:rsidRPr="006D6BE5">
        <w:rPr>
          <w:rStyle w:val="FootnoteReference"/>
          <w:rFonts w:ascii="Garamond" w:eastAsia="Times New Roman" w:hAnsi="Garamond" w:cs="Times New Roman"/>
          <w:lang w:val="sq-AL"/>
        </w:rPr>
        <w:footnoteReference w:id="3"/>
      </w:r>
      <w:r w:rsidRPr="006D6BE5">
        <w:rPr>
          <w:rFonts w:ascii="Garamond" w:eastAsia="Times New Roman" w:hAnsi="Garamond" w:cs="Times New Roman"/>
          <w:lang w:val="sq-AL"/>
        </w:rPr>
        <w:t>. Ky vizion do të arrihet përmes politikave dhe përparësive që synojnë transformimin e gjithanshëm të Shqipërisë drejt një vendi me standarde që mundësojnë anëtarësimin në Bashkimin Evropian.</w:t>
      </w:r>
    </w:p>
    <w:p w14:paraId="481387B1" w14:textId="77777777" w:rsidR="00C034C4" w:rsidRPr="006D6BE5" w:rsidRDefault="00C034C4" w:rsidP="00A7241A">
      <w:pPr>
        <w:pStyle w:val="NormalWeb"/>
        <w:spacing w:beforeAutospacing="0" w:afterAutospacing="0"/>
        <w:ind w:firstLine="284"/>
        <w:jc w:val="both"/>
        <w:rPr>
          <w:rFonts w:ascii="Garamond" w:hAnsi="Garamond"/>
          <w:lang w:val="sq-AL"/>
        </w:rPr>
      </w:pPr>
      <w:r w:rsidRPr="006D6BE5">
        <w:rPr>
          <w:rFonts w:ascii="Garamond" w:hAnsi="Garamond" w:cs="Times New Roman"/>
          <w:color w:val="000000"/>
          <w:lang w:val="sq-AL"/>
        </w:rPr>
        <w:t>Zhvillimi i Konferencës së Parë Ndërqeveritare, më 19 korrik 2022, shënoi fillimin zyrtar të negociatave të anëtarësimit në Bashkimin Evropian. Hapja e negociatave mbi bazë merite ishte një arritje historike për Shqipërinë, por në të njëjtën kohë ajo shënoi edhe fillimin e një procesi transformues të gjithanshëm për Shqipërinë.</w:t>
      </w:r>
    </w:p>
    <w:p w14:paraId="30497B2D" w14:textId="77777777" w:rsidR="00C034C4" w:rsidRPr="006D6BE5" w:rsidRDefault="00C034C4" w:rsidP="00A7241A">
      <w:pPr>
        <w:pStyle w:val="NormalWeb"/>
        <w:spacing w:beforeAutospacing="0" w:afterAutospacing="0"/>
        <w:ind w:firstLine="284"/>
        <w:jc w:val="both"/>
        <w:rPr>
          <w:rFonts w:ascii="Garamond" w:hAnsi="Garamond"/>
          <w:lang w:val="sq-AL"/>
        </w:rPr>
      </w:pPr>
      <w:r w:rsidRPr="006D6BE5">
        <w:rPr>
          <w:rFonts w:ascii="Garamond" w:hAnsi="Garamond" w:cs="Times New Roman"/>
          <w:color w:val="000000"/>
          <w:lang w:val="sq-AL"/>
        </w:rPr>
        <w:t>Procesi i negociatave dhe, më pas, anëtarësimi në Bashkimin Evropian, do të mbështesë më tej demokratizimin dhe forcimin e shtetit të së drejtës në Shqipëri, do të nxisë konsolidimin e institucioneve publike dhe vazhdimin e proceseve reformuese, duke përshpejtuar zhvillimin ekonomik dhe përqasjen me nivelet më të mira evropiane të mirëqenies, konvergjencës dhe gjithëpërfshirjes sociale.</w:t>
      </w:r>
    </w:p>
    <w:p w14:paraId="0E073A14" w14:textId="77777777" w:rsidR="00C034C4" w:rsidRPr="006D6BE5" w:rsidRDefault="00C034C4" w:rsidP="00A7241A">
      <w:pPr>
        <w:ind w:firstLine="284"/>
        <w:jc w:val="both"/>
        <w:rPr>
          <w:rFonts w:ascii="Garamond" w:hAnsi="Garamond"/>
          <w:lang w:val="sq-AL"/>
        </w:rPr>
      </w:pPr>
      <w:r w:rsidRPr="006D6BE5">
        <w:rPr>
          <w:rFonts w:ascii="Garamond" w:hAnsi="Garamond"/>
          <w:lang w:val="sq-AL"/>
        </w:rPr>
        <w:t>Neni 70 i Marrëveshjes së Stabilizim-Asociimit përcakton angazhimin e Republikës së Shqipërisë për të përafruar legjislacionin shqiptar me legjislacionin e Bashkimit Evropian</w:t>
      </w:r>
      <w:r w:rsidRPr="006D6BE5">
        <w:rPr>
          <w:rStyle w:val="FootnoteReference"/>
          <w:rFonts w:ascii="Garamond" w:hAnsi="Garamond"/>
          <w:lang w:val="sq-AL"/>
        </w:rPr>
        <w:footnoteReference w:id="4"/>
      </w:r>
      <w:r w:rsidRPr="006D6BE5">
        <w:rPr>
          <w:rFonts w:ascii="Garamond" w:hAnsi="Garamond"/>
          <w:lang w:val="sq-AL"/>
        </w:rPr>
        <w:t xml:space="preserve">. Pika 1 e tij përcakton “Palët njohin rëndësinë e përafrimit të legjislacionit ekzistues shqiptar me atë të Komunitetit dhe zbatimin e tij me efektivitet. Shqipëria do të përpiqet të sigurojë që ligjet e saj ekzistuese dhe legjislacioni i ardhshëm të shkojë gradualisht drejt përputhjes me </w:t>
      </w:r>
      <w:r w:rsidRPr="006D6BE5">
        <w:rPr>
          <w:rFonts w:ascii="Garamond" w:hAnsi="Garamond"/>
          <w:i/>
          <w:iCs/>
          <w:lang w:val="sq-AL"/>
        </w:rPr>
        <w:t>acquis</w:t>
      </w:r>
      <w:r w:rsidRPr="006D6BE5">
        <w:rPr>
          <w:rFonts w:ascii="Garamond" w:hAnsi="Garamond"/>
          <w:lang w:val="sq-AL"/>
        </w:rPr>
        <w:t xml:space="preserve"> e Komunitetit. Shqipëria do të sigurojë që legjislacioni ekzistues dhe i ardhshëm të zbatohet dhe imponohet si duhet.</w:t>
      </w:r>
    </w:p>
    <w:p w14:paraId="63C77EB2" w14:textId="253806D7" w:rsidR="00C034C4" w:rsidRPr="006D6BE5" w:rsidRDefault="00C034C4" w:rsidP="00A7241A">
      <w:pPr>
        <w:ind w:firstLine="284"/>
        <w:jc w:val="both"/>
        <w:rPr>
          <w:rFonts w:ascii="Garamond" w:hAnsi="Garamond"/>
          <w:lang w:val="sq-AL"/>
        </w:rPr>
      </w:pPr>
      <w:r w:rsidRPr="006D6BE5">
        <w:rPr>
          <w:rFonts w:ascii="Garamond" w:hAnsi="Garamond"/>
          <w:lang w:val="sq-AL"/>
        </w:rPr>
        <w:t xml:space="preserve">Njëkohësisht, përafrimi i legjislacionit shqiptar me legjislacionin e Bashkimit Evropian, dhe zbatimi i plotë dhe efektiv i tij, janë një nga kriteret e </w:t>
      </w:r>
      <w:r w:rsidR="00554A2C" w:rsidRPr="006D6BE5">
        <w:rPr>
          <w:rFonts w:ascii="Garamond" w:hAnsi="Garamond"/>
          <w:lang w:val="sq-AL"/>
        </w:rPr>
        <w:t>Kopenhagë</w:t>
      </w:r>
      <w:r w:rsidR="00554A2C">
        <w:rPr>
          <w:rFonts w:ascii="Garamond" w:hAnsi="Garamond"/>
          <w:lang w:val="sq-AL"/>
        </w:rPr>
        <w:t>s</w:t>
      </w:r>
      <w:r w:rsidRPr="006D6BE5">
        <w:rPr>
          <w:rFonts w:ascii="Garamond" w:hAnsi="Garamond"/>
          <w:lang w:val="sq-AL"/>
        </w:rPr>
        <w:t xml:space="preserve"> për anëtarësimin në Bashkimin Evropian. Procesi i negociatave të anëtarësimit është në vetvete procesi i përafrimit të legjislacionit shqiptar me legjislacionin e Bashkimit Evropian, si dhe i përmbushjes së piketave hapëse, të ndërmjetme dhe mbyllëse të negociatave të anëtarësimit dhe kritereve për anëtarësim.</w:t>
      </w:r>
    </w:p>
    <w:p w14:paraId="77544C0D" w14:textId="51406EAF" w:rsidR="00C034C4" w:rsidRPr="006D6BE5" w:rsidRDefault="00C034C4" w:rsidP="00A7241A">
      <w:pPr>
        <w:ind w:firstLine="284"/>
        <w:jc w:val="both"/>
        <w:rPr>
          <w:rFonts w:ascii="Garamond" w:hAnsi="Garamond"/>
          <w:lang w:val="sq-AL"/>
        </w:rPr>
      </w:pPr>
      <w:r w:rsidRPr="006D6BE5">
        <w:rPr>
          <w:rFonts w:ascii="Garamond" w:hAnsi="Garamond"/>
          <w:lang w:val="sq-AL"/>
        </w:rPr>
        <w:t xml:space="preserve">Plani Kombëtar për Integrimin Evropian (në vijim </w:t>
      </w:r>
      <w:r w:rsidR="00554A2C">
        <w:rPr>
          <w:rFonts w:ascii="Garamond" w:hAnsi="Garamond"/>
          <w:lang w:val="sq-AL"/>
        </w:rPr>
        <w:t>“</w:t>
      </w:r>
      <w:r w:rsidRPr="006D6BE5">
        <w:rPr>
          <w:rFonts w:ascii="Garamond" w:hAnsi="Garamond"/>
          <w:lang w:val="sq-AL"/>
        </w:rPr>
        <w:t>PKIE</w:t>
      </w:r>
      <w:r w:rsidR="00554A2C">
        <w:rPr>
          <w:rFonts w:ascii="Garamond" w:hAnsi="Garamond"/>
          <w:lang w:val="sq-AL"/>
        </w:rPr>
        <w:t>”</w:t>
      </w:r>
      <w:r w:rsidRPr="006D6BE5">
        <w:rPr>
          <w:rFonts w:ascii="Garamond" w:hAnsi="Garamond"/>
          <w:lang w:val="sq-AL"/>
        </w:rPr>
        <w:t xml:space="preserve">) ka si synim të adresojë përmes masave të politikës (dokumenteve strategjike) dhe ligjore, institucionale dhe zbatuese linjëzimin e kuadrit rregullator vendas me </w:t>
      </w:r>
      <w:r w:rsidRPr="006D6BE5">
        <w:rPr>
          <w:rFonts w:ascii="Garamond" w:hAnsi="Garamond"/>
          <w:i/>
          <w:iCs/>
          <w:lang w:val="sq-AL"/>
        </w:rPr>
        <w:t>acquis</w:t>
      </w:r>
      <w:r w:rsidRPr="006D6BE5">
        <w:rPr>
          <w:rFonts w:ascii="Garamond" w:hAnsi="Garamond"/>
          <w:lang w:val="sq-AL"/>
        </w:rPr>
        <w:t xml:space="preserve"> të BE-së, si dhe zbatimin efektiv të tij. </w:t>
      </w:r>
    </w:p>
    <w:p w14:paraId="77F6834F" w14:textId="1D2B8681" w:rsidR="00C034C4" w:rsidRPr="006D6BE5" w:rsidRDefault="00C034C4" w:rsidP="00A7241A">
      <w:pPr>
        <w:ind w:firstLine="284"/>
        <w:jc w:val="both"/>
        <w:rPr>
          <w:rFonts w:ascii="Garamond" w:hAnsi="Garamond"/>
          <w:lang w:val="sq-AL"/>
        </w:rPr>
      </w:pPr>
      <w:r w:rsidRPr="006D6BE5">
        <w:rPr>
          <w:rFonts w:ascii="Garamond" w:hAnsi="Garamond"/>
          <w:lang w:val="sq-AL"/>
        </w:rPr>
        <w:t>PKIE</w:t>
      </w:r>
      <w:r w:rsidR="00554A2C">
        <w:rPr>
          <w:rFonts w:ascii="Garamond" w:hAnsi="Garamond"/>
          <w:lang w:val="sq-AL"/>
        </w:rPr>
        <w:t>-ja</w:t>
      </w:r>
      <w:r w:rsidRPr="006D6BE5">
        <w:rPr>
          <w:rFonts w:ascii="Garamond" w:hAnsi="Garamond"/>
          <w:lang w:val="sq-AL"/>
        </w:rPr>
        <w:t xml:space="preserve"> është e lidhur me ciklin e programimit të Programit Buxhetor Afatmesëm (PBA) dhe në të njëjtën linjë m</w:t>
      </w:r>
      <w:r w:rsidR="00554A2C">
        <w:rPr>
          <w:rFonts w:ascii="Garamond" w:hAnsi="Garamond"/>
          <w:lang w:val="sq-AL"/>
        </w:rPr>
        <w:t>e</w:t>
      </w:r>
      <w:r w:rsidRPr="006D6BE5">
        <w:rPr>
          <w:rFonts w:ascii="Garamond" w:hAnsi="Garamond"/>
          <w:lang w:val="sq-AL"/>
        </w:rPr>
        <w:t xml:space="preserve"> PBA mbulon një periudhë 3</w:t>
      </w:r>
      <w:r w:rsidR="00554A2C">
        <w:rPr>
          <w:rFonts w:ascii="Garamond" w:hAnsi="Garamond"/>
          <w:lang w:val="sq-AL"/>
        </w:rPr>
        <w:t>-</w:t>
      </w:r>
      <w:r w:rsidRPr="006D6BE5">
        <w:rPr>
          <w:rFonts w:ascii="Garamond" w:hAnsi="Garamond"/>
          <w:lang w:val="sq-AL"/>
        </w:rPr>
        <w:t xml:space="preserve">vjeçare buxhetimi dhe përditësohet çdo vit. </w:t>
      </w:r>
    </w:p>
    <w:p w14:paraId="47185FD1" w14:textId="77777777" w:rsidR="00C034C4" w:rsidRPr="006D6BE5" w:rsidRDefault="00C034C4" w:rsidP="00A7241A">
      <w:pPr>
        <w:ind w:firstLine="284"/>
        <w:jc w:val="both"/>
        <w:rPr>
          <w:rFonts w:ascii="Garamond" w:hAnsi="Garamond"/>
          <w:lang w:val="sq-AL"/>
        </w:rPr>
      </w:pPr>
      <w:r w:rsidRPr="006D6BE5">
        <w:rPr>
          <w:rFonts w:ascii="Garamond" w:hAnsi="Garamond"/>
          <w:lang w:val="sq-AL"/>
        </w:rPr>
        <w:t>Gjithashtu çdo projektvendim i Këshillit të Ministrave dhe projektligj i planifikuar në PKIE-në, duhet të jetë pjesë e listës së akteve që janë parashikuar për miratim në Programin e Përgjithshëm Analitik të Projektakteve.</w:t>
      </w:r>
    </w:p>
    <w:p w14:paraId="0D20A0FB" w14:textId="13F2E1CD" w:rsidR="00C034C4" w:rsidRPr="006D6BE5" w:rsidRDefault="00C034C4" w:rsidP="00A7241A">
      <w:pPr>
        <w:ind w:firstLine="284"/>
        <w:jc w:val="both"/>
        <w:rPr>
          <w:rFonts w:ascii="Garamond" w:hAnsi="Garamond"/>
          <w:lang w:val="sq-AL"/>
        </w:rPr>
      </w:pPr>
      <w:r w:rsidRPr="006D6BE5">
        <w:rPr>
          <w:rFonts w:ascii="Garamond" w:hAnsi="Garamond"/>
          <w:lang w:val="sq-AL"/>
        </w:rPr>
        <w:t>Cikli i hartimi dhe monitorimit të PKIE</w:t>
      </w:r>
      <w:r w:rsidR="00554A2C">
        <w:rPr>
          <w:rFonts w:ascii="Garamond" w:hAnsi="Garamond"/>
          <w:lang w:val="sq-AL"/>
        </w:rPr>
        <w:t>-së</w:t>
      </w:r>
      <w:r w:rsidRPr="006D6BE5">
        <w:rPr>
          <w:rFonts w:ascii="Garamond" w:hAnsi="Garamond"/>
          <w:lang w:val="sq-AL"/>
        </w:rPr>
        <w:t xml:space="preserve"> përbëhet nga këto procese:</w:t>
      </w:r>
    </w:p>
    <w:p w14:paraId="37CC7EAC"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1. Puna përgatitore;</w:t>
      </w:r>
    </w:p>
    <w:p w14:paraId="3B245CE2"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2. Analiza e mangësive;</w:t>
      </w:r>
    </w:p>
    <w:p w14:paraId="7D0C201E"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3. Planifikimi;</w:t>
      </w:r>
    </w:p>
    <w:p w14:paraId="55390CD1"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4. Hartimi dhe kontrolli i cilësisë;</w:t>
      </w:r>
    </w:p>
    <w:p w14:paraId="08AD99C0"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5. Konsultimi dhe miratimi;</w:t>
      </w:r>
    </w:p>
    <w:p w14:paraId="06F01CD7" w14:textId="77777777" w:rsidR="00C034C4" w:rsidRPr="006D6BE5" w:rsidRDefault="00C034C4" w:rsidP="00A7241A">
      <w:pPr>
        <w:tabs>
          <w:tab w:val="left" w:pos="0"/>
        </w:tabs>
        <w:autoSpaceDE w:val="0"/>
        <w:autoSpaceDN w:val="0"/>
        <w:adjustRightInd w:val="0"/>
        <w:ind w:firstLine="284"/>
        <w:jc w:val="both"/>
        <w:rPr>
          <w:rFonts w:ascii="Garamond" w:hAnsi="Garamond"/>
          <w:color w:val="000000"/>
          <w:lang w:val="sq-AL"/>
        </w:rPr>
      </w:pPr>
      <w:r w:rsidRPr="006D6BE5">
        <w:rPr>
          <w:rFonts w:ascii="Garamond" w:hAnsi="Garamond"/>
          <w:color w:val="000000"/>
          <w:lang w:val="sq-AL"/>
        </w:rPr>
        <w:t>6. Monitorimi, raportimi, dhe vlerësimi.</w:t>
      </w:r>
    </w:p>
    <w:p w14:paraId="448F1F86"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Veçanërisht të rëndësishme në këtë cikël planifikimi dhe monitorimi janë fazat e analizës së mangësive dhe planifikimit. </w:t>
      </w:r>
    </w:p>
    <w:p w14:paraId="41B93318" w14:textId="77777777" w:rsidR="00C034C4" w:rsidRPr="006D6BE5" w:rsidRDefault="00C034C4" w:rsidP="00A7241A">
      <w:pPr>
        <w:ind w:firstLine="284"/>
        <w:jc w:val="both"/>
        <w:rPr>
          <w:rFonts w:ascii="Garamond" w:hAnsi="Garamond"/>
          <w:lang w:val="sq-AL"/>
        </w:rPr>
      </w:pPr>
      <w:r w:rsidRPr="006D6BE5">
        <w:rPr>
          <w:rFonts w:ascii="Garamond" w:hAnsi="Garamond"/>
          <w:lang w:val="sq-AL"/>
        </w:rPr>
        <w:t>Në analizën e mangësive ligjore dhe përcaktimin e masave prioritare në PKIE, institucionet përgjegjëse kanë pasur në vëmendje të veçantë:</w:t>
      </w:r>
    </w:p>
    <w:p w14:paraId="78E9EA45"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 angazhimet e marra në kuadër të procesit </w:t>
      </w:r>
      <w:r w:rsidRPr="006D6BE5">
        <w:rPr>
          <w:rFonts w:ascii="Garamond" w:hAnsi="Garamond"/>
          <w:i/>
          <w:iCs/>
          <w:lang w:val="sq-AL"/>
        </w:rPr>
        <w:t>screening</w:t>
      </w:r>
      <w:r w:rsidRPr="006D6BE5">
        <w:rPr>
          <w:rFonts w:ascii="Garamond" w:hAnsi="Garamond"/>
          <w:lang w:val="sq-AL"/>
        </w:rPr>
        <w:t xml:space="preserve"> tashmë të përmbyllur më datë 24.11.2023;</w:t>
      </w:r>
    </w:p>
    <w:p w14:paraId="40CD4F01" w14:textId="2BD4E308" w:rsidR="00C034C4" w:rsidRPr="006D6BE5" w:rsidRDefault="00C034C4" w:rsidP="00A7241A">
      <w:pPr>
        <w:ind w:firstLine="284"/>
        <w:jc w:val="both"/>
        <w:rPr>
          <w:rFonts w:ascii="Garamond" w:hAnsi="Garamond"/>
          <w:lang w:val="sq-AL"/>
        </w:rPr>
      </w:pPr>
      <w:r w:rsidRPr="006D6BE5">
        <w:rPr>
          <w:rFonts w:ascii="Garamond" w:hAnsi="Garamond"/>
          <w:lang w:val="sq-AL"/>
        </w:rPr>
        <w:t xml:space="preserve">- rekomandimet e Komisionit në projektraportin </w:t>
      </w:r>
      <w:r w:rsidRPr="006D6BE5">
        <w:rPr>
          <w:rFonts w:ascii="Garamond" w:hAnsi="Garamond"/>
          <w:i/>
          <w:iCs/>
          <w:lang w:val="sq-AL"/>
        </w:rPr>
        <w:t>screening</w:t>
      </w:r>
      <w:r w:rsidRPr="006D6BE5">
        <w:rPr>
          <w:rFonts w:ascii="Garamond" w:hAnsi="Garamond"/>
          <w:lang w:val="sq-AL"/>
        </w:rPr>
        <w:t xml:space="preserve"> (aktualisht i përgatitur për </w:t>
      </w:r>
      <w:r w:rsidR="00050A09">
        <w:rPr>
          <w:rFonts w:ascii="Garamond" w:hAnsi="Garamond"/>
          <w:lang w:val="sq-AL"/>
        </w:rPr>
        <w:t>g</w:t>
      </w:r>
      <w:r w:rsidRPr="006D6BE5">
        <w:rPr>
          <w:rFonts w:ascii="Garamond" w:hAnsi="Garamond"/>
          <w:lang w:val="sq-AL"/>
        </w:rPr>
        <w:t>rupkapitullin 1 “Themelorët” dhe në pritje për grupkapitujt e tjerë);</w:t>
      </w:r>
    </w:p>
    <w:p w14:paraId="1F5CAF9C" w14:textId="753F6549" w:rsidR="00C034C4" w:rsidRPr="006D6BE5" w:rsidRDefault="00C034C4" w:rsidP="00A7241A">
      <w:pPr>
        <w:ind w:firstLine="284"/>
        <w:jc w:val="both"/>
        <w:rPr>
          <w:rFonts w:ascii="Garamond" w:hAnsi="Garamond"/>
          <w:lang w:val="sq-AL"/>
        </w:rPr>
      </w:pPr>
      <w:r w:rsidRPr="006D6BE5">
        <w:rPr>
          <w:rFonts w:ascii="Garamond" w:hAnsi="Garamond"/>
          <w:lang w:val="sq-AL"/>
        </w:rPr>
        <w:t xml:space="preserve">- angazhimet e marra në udhërrëfyesit përkatës për </w:t>
      </w:r>
      <w:r w:rsidR="00050A09">
        <w:rPr>
          <w:rFonts w:ascii="Garamond" w:hAnsi="Garamond"/>
          <w:lang w:val="sq-AL"/>
        </w:rPr>
        <w:t>g</w:t>
      </w:r>
      <w:r w:rsidRPr="006D6BE5">
        <w:rPr>
          <w:rFonts w:ascii="Garamond" w:hAnsi="Garamond"/>
          <w:lang w:val="sq-AL"/>
        </w:rPr>
        <w:t>rupkapitullin 1 “Themeloret” (“Shteti i së Drejtës”; “Reforma në Administratën Publike”; Funksionimi i Institucioneve Demokratike);</w:t>
      </w:r>
    </w:p>
    <w:p w14:paraId="41C9A9C5" w14:textId="77777777" w:rsidR="00C034C4" w:rsidRPr="006D6BE5" w:rsidRDefault="00C034C4" w:rsidP="00A7241A">
      <w:pPr>
        <w:ind w:firstLine="284"/>
        <w:jc w:val="both"/>
        <w:rPr>
          <w:rFonts w:ascii="Garamond" w:hAnsi="Garamond"/>
          <w:lang w:val="sq-AL"/>
        </w:rPr>
      </w:pPr>
      <w:r w:rsidRPr="006D6BE5">
        <w:rPr>
          <w:rFonts w:ascii="Garamond" w:hAnsi="Garamond"/>
          <w:lang w:val="sq-AL"/>
        </w:rPr>
        <w:t>- rekomandimet e Komisionit në Raportin e vitit 2023 për Shqipërinë;</w:t>
      </w:r>
    </w:p>
    <w:p w14:paraId="7082C9F3" w14:textId="77777777" w:rsidR="00C034C4" w:rsidRPr="006D6BE5" w:rsidRDefault="00C034C4" w:rsidP="00A7241A">
      <w:pPr>
        <w:ind w:firstLine="284"/>
        <w:jc w:val="both"/>
        <w:rPr>
          <w:rFonts w:ascii="Garamond" w:hAnsi="Garamond"/>
          <w:lang w:val="sq-AL"/>
        </w:rPr>
      </w:pPr>
      <w:r w:rsidRPr="006D6BE5">
        <w:rPr>
          <w:rFonts w:ascii="Garamond" w:hAnsi="Garamond"/>
          <w:lang w:val="sq-AL"/>
        </w:rPr>
        <w:t>- rekomandimet e dhëna në kuadër të takimeve dhe mekanizmave të përbashkëta të ngritura në kuadër të Marrëveshjes së Stabilizim-Asociimit;</w:t>
      </w:r>
    </w:p>
    <w:p w14:paraId="648A51E2" w14:textId="0818C4BF" w:rsidR="00C034C4" w:rsidRPr="006D6BE5" w:rsidRDefault="00C034C4" w:rsidP="00A7241A">
      <w:pPr>
        <w:ind w:firstLine="284"/>
        <w:jc w:val="both"/>
        <w:rPr>
          <w:rFonts w:ascii="Garamond" w:hAnsi="Garamond"/>
          <w:lang w:val="sq-AL"/>
        </w:rPr>
      </w:pPr>
      <w:r w:rsidRPr="006D6BE5">
        <w:rPr>
          <w:rFonts w:ascii="Garamond" w:hAnsi="Garamond"/>
          <w:lang w:val="sq-AL"/>
        </w:rPr>
        <w:t>- përputhshmërinë me objektivat strategjikë të Strategjinë Kombëtare për Zhvillim dhe Integrim Evropian 2022–2030</w:t>
      </w:r>
      <w:r w:rsidRPr="006D6BE5">
        <w:rPr>
          <w:rStyle w:val="FootnoteReference"/>
          <w:rFonts w:ascii="Garamond" w:hAnsi="Garamond"/>
          <w:lang w:val="sq-AL"/>
        </w:rPr>
        <w:footnoteReference w:id="5"/>
      </w:r>
      <w:r w:rsidRPr="006D6BE5">
        <w:rPr>
          <w:rFonts w:ascii="Garamond" w:hAnsi="Garamond"/>
          <w:lang w:val="sq-AL"/>
        </w:rPr>
        <w:t xml:space="preserve"> dhe Programin e Qeverisë shqiptare</w:t>
      </w:r>
      <w:r w:rsidRPr="006D6BE5">
        <w:rPr>
          <w:rStyle w:val="FootnoteReference"/>
          <w:rFonts w:ascii="Garamond" w:hAnsi="Garamond"/>
          <w:lang w:val="sq-AL"/>
        </w:rPr>
        <w:footnoteReference w:id="6"/>
      </w:r>
      <w:r w:rsidRPr="006D6BE5">
        <w:rPr>
          <w:rFonts w:ascii="Garamond" w:hAnsi="Garamond"/>
          <w:lang w:val="sq-AL"/>
        </w:rPr>
        <w:t xml:space="preserve"> si dhe dokumentet e tjera strategjike të miratuara.</w:t>
      </w:r>
    </w:p>
    <w:p w14:paraId="039AC0EA" w14:textId="742A02A4" w:rsidR="00C034C4" w:rsidRPr="006D6BE5" w:rsidRDefault="00C034C4" w:rsidP="00A7241A">
      <w:pPr>
        <w:ind w:firstLine="284"/>
        <w:jc w:val="both"/>
        <w:rPr>
          <w:rFonts w:ascii="Garamond" w:hAnsi="Garamond"/>
          <w:lang w:val="sq-AL"/>
        </w:rPr>
      </w:pPr>
      <w:r w:rsidRPr="006D6BE5">
        <w:rPr>
          <w:rFonts w:ascii="Garamond" w:hAnsi="Garamond"/>
          <w:lang w:val="sq-AL"/>
        </w:rPr>
        <w:t xml:space="preserve">Në bazë të </w:t>
      </w:r>
      <w:r w:rsidR="00CC331B">
        <w:rPr>
          <w:rFonts w:ascii="Garamond" w:hAnsi="Garamond"/>
          <w:lang w:val="sq-AL"/>
        </w:rPr>
        <w:t>u</w:t>
      </w:r>
      <w:r w:rsidRPr="006D6BE5">
        <w:rPr>
          <w:rFonts w:ascii="Garamond" w:hAnsi="Garamond"/>
          <w:lang w:val="sq-AL"/>
        </w:rPr>
        <w:t xml:space="preserve">rdhrit të Kryeministrit </w:t>
      </w:r>
      <w:r w:rsidR="00CC331B">
        <w:rPr>
          <w:rFonts w:ascii="Garamond" w:hAnsi="Garamond"/>
          <w:lang w:val="sq-AL"/>
        </w:rPr>
        <w:t>n</w:t>
      </w:r>
      <w:r w:rsidRPr="006D6BE5">
        <w:rPr>
          <w:rFonts w:ascii="Garamond" w:hAnsi="Garamond"/>
          <w:lang w:val="sq-AL"/>
        </w:rPr>
        <w:t xml:space="preserve">r. 94, datë 20.5.2019, grupet ndërinstitucionale të punës për integrimin evropian, janë përgjegjëse për bashkërendimin e hartimit dhe përditësimit të kapitullit përkatës të PKIE-së. Për këtë arsye, hartimi i projektakteve dhe monitorimi i procesit të finalizimit të tyre me procedura miratuese duhet të bëhet në konsultim të vazhdueshëm me ministrinë/ institucionin koordinues lider dhe anëtarët e tjerë të grupit ndërinstitucional të punës. </w:t>
      </w:r>
    </w:p>
    <w:p w14:paraId="62E7805C" w14:textId="06D54DA7" w:rsidR="00C034C4" w:rsidRPr="006D6BE5" w:rsidRDefault="00C034C4" w:rsidP="00A7241A">
      <w:pPr>
        <w:ind w:firstLine="284"/>
        <w:jc w:val="both"/>
        <w:rPr>
          <w:rFonts w:ascii="Garamond" w:hAnsi="Garamond"/>
          <w:lang w:val="sq-AL"/>
        </w:rPr>
      </w:pPr>
      <w:r w:rsidRPr="006D6BE5">
        <w:rPr>
          <w:rFonts w:ascii="Garamond" w:hAnsi="Garamond"/>
          <w:lang w:val="sq-AL"/>
        </w:rPr>
        <w:t xml:space="preserve">Raportet e monitorimit të realizimit të PKIE-së janë pjesë e raportimeve 4-mujore në bazë kapitulli të negociatorëve drejt </w:t>
      </w:r>
      <w:r w:rsidR="001C16C5">
        <w:rPr>
          <w:rFonts w:ascii="Garamond" w:hAnsi="Garamond"/>
          <w:lang w:val="sq-AL"/>
        </w:rPr>
        <w:t>m</w:t>
      </w:r>
      <w:r w:rsidRPr="006D6BE5">
        <w:rPr>
          <w:rFonts w:ascii="Garamond" w:hAnsi="Garamond"/>
          <w:lang w:val="sq-AL"/>
        </w:rPr>
        <w:t xml:space="preserve">inistrit të Shtetit dhe </w:t>
      </w:r>
      <w:r w:rsidR="001C16C5">
        <w:rPr>
          <w:rFonts w:ascii="Garamond" w:hAnsi="Garamond"/>
          <w:lang w:val="sq-AL"/>
        </w:rPr>
        <w:t>k</w:t>
      </w:r>
      <w:r w:rsidRPr="006D6BE5">
        <w:rPr>
          <w:rFonts w:ascii="Garamond" w:hAnsi="Garamond"/>
          <w:lang w:val="sq-AL"/>
        </w:rPr>
        <w:t xml:space="preserve">ryenegociator dhe të këtij të fundit drejt Këshillit të Ministrave. Gjithashtu ato shërbejnë për raportet periodike për Kuvendin e Shqipërisë, bazuar në </w:t>
      </w:r>
      <w:r w:rsidR="00CC331B" w:rsidRPr="006D6BE5">
        <w:rPr>
          <w:rFonts w:ascii="Garamond" w:hAnsi="Garamond"/>
          <w:lang w:val="sq-AL"/>
        </w:rPr>
        <w:t xml:space="preserve">ligjin </w:t>
      </w:r>
      <w:r w:rsidRPr="006D6BE5">
        <w:rPr>
          <w:rFonts w:ascii="Garamond" w:hAnsi="Garamond"/>
          <w:lang w:val="sq-AL"/>
        </w:rPr>
        <w:t>nr. 15/2015 “Për rolin e Kuvendit në procesin e integrimit të Republikës së Shqipërisë në Bashkimin Evropian”.</w:t>
      </w:r>
    </w:p>
    <w:p w14:paraId="663441D4" w14:textId="77777777" w:rsidR="00C034C4" w:rsidRPr="006D6BE5" w:rsidRDefault="00C034C4" w:rsidP="00A7241A">
      <w:pPr>
        <w:ind w:firstLine="284"/>
        <w:jc w:val="both"/>
        <w:rPr>
          <w:rFonts w:ascii="Garamond" w:hAnsi="Garamond"/>
          <w:b/>
          <w:lang w:val="sq-AL"/>
        </w:rPr>
      </w:pPr>
      <w:r w:rsidRPr="006D6BE5">
        <w:rPr>
          <w:rFonts w:ascii="Garamond" w:hAnsi="Garamond"/>
          <w:b/>
          <w:lang w:val="sq-AL"/>
        </w:rPr>
        <w:t>Drejtimet kryesore të punës</w:t>
      </w:r>
    </w:p>
    <w:p w14:paraId="7DCE5E3E" w14:textId="2D0FC347" w:rsidR="00C034C4" w:rsidRPr="006D6BE5" w:rsidRDefault="00C034C4" w:rsidP="00A7241A">
      <w:pPr>
        <w:ind w:firstLine="284"/>
        <w:jc w:val="both"/>
        <w:rPr>
          <w:rFonts w:ascii="Garamond" w:hAnsi="Garamond"/>
          <w:lang w:val="sq-AL"/>
        </w:rPr>
      </w:pPr>
      <w:r w:rsidRPr="006D6BE5">
        <w:rPr>
          <w:rFonts w:ascii="Garamond" w:hAnsi="Garamond"/>
          <w:lang w:val="sq-AL"/>
        </w:rPr>
        <w:t xml:space="preserve">Plani Kombëtar për Integrimin Evropian (PKIE) </w:t>
      </w:r>
      <w:r w:rsidR="00CC331B">
        <w:rPr>
          <w:rFonts w:ascii="Garamond" w:hAnsi="Garamond"/>
          <w:lang w:val="sq-AL"/>
        </w:rPr>
        <w:t>2024–2026</w:t>
      </w:r>
      <w:r w:rsidRPr="006D6BE5">
        <w:rPr>
          <w:rFonts w:ascii="Garamond" w:hAnsi="Garamond"/>
          <w:lang w:val="sq-AL"/>
        </w:rPr>
        <w:t xml:space="preserve"> përfshin masa ligjore dhe të politikave, masa institucionale dhe administrative, dhe masa zbatuese që shtrihen deri në vitin 2026, duke synuar përafrimin gradual të legjislacionit shqiptar me </w:t>
      </w:r>
      <w:r w:rsidRPr="006D6BE5">
        <w:rPr>
          <w:rFonts w:ascii="Garamond" w:hAnsi="Garamond"/>
          <w:i/>
          <w:iCs/>
          <w:lang w:val="sq-AL"/>
        </w:rPr>
        <w:t>acquis</w:t>
      </w:r>
      <w:r w:rsidRPr="006D6BE5">
        <w:rPr>
          <w:rFonts w:ascii="Garamond" w:hAnsi="Garamond"/>
          <w:lang w:val="sq-AL"/>
        </w:rPr>
        <w:t xml:space="preserve"> e Bashkimit Evropian, si dhe forcimin e kapaciteteve dhe zbatimin e tij.</w:t>
      </w:r>
    </w:p>
    <w:p w14:paraId="710276DE" w14:textId="6F9E4783" w:rsidR="00C034C4" w:rsidRPr="006D6BE5" w:rsidRDefault="00C034C4" w:rsidP="00A7241A">
      <w:pPr>
        <w:ind w:firstLine="284"/>
        <w:jc w:val="both"/>
        <w:rPr>
          <w:rFonts w:ascii="Garamond" w:hAnsi="Garamond"/>
          <w:lang w:val="sq-AL"/>
        </w:rPr>
      </w:pPr>
      <w:r w:rsidRPr="006D6BE5">
        <w:rPr>
          <w:rFonts w:ascii="Garamond" w:hAnsi="Garamond"/>
          <w:b/>
          <w:bCs/>
          <w:lang w:val="sq-AL"/>
        </w:rPr>
        <w:t xml:space="preserve">Në Planin Kombëtar për Integrimin Evropian </w:t>
      </w:r>
      <w:r w:rsidR="00CC331B">
        <w:rPr>
          <w:rFonts w:ascii="Garamond" w:hAnsi="Garamond"/>
          <w:b/>
          <w:bCs/>
          <w:lang w:val="sq-AL"/>
        </w:rPr>
        <w:t>2024–2026</w:t>
      </w:r>
      <w:r w:rsidRPr="006D6BE5">
        <w:rPr>
          <w:rFonts w:ascii="Garamond" w:hAnsi="Garamond"/>
          <w:b/>
          <w:bCs/>
          <w:lang w:val="sq-AL"/>
        </w:rPr>
        <w:t xml:space="preserve"> janë planifikuar në total 236 masa ligjore</w:t>
      </w:r>
      <w:r w:rsidRPr="006D6BE5">
        <w:rPr>
          <w:rFonts w:ascii="Garamond" w:hAnsi="Garamond"/>
          <w:lang w:val="sq-AL"/>
        </w:rPr>
        <w:t xml:space="preserve"> të detajuara sipas tabelës bashkëlidhur.</w:t>
      </w:r>
    </w:p>
    <w:p w14:paraId="6D4F2BE4" w14:textId="77777777" w:rsidR="00C034C4" w:rsidRPr="006D6BE5" w:rsidRDefault="00C034C4" w:rsidP="00A7241A">
      <w:pPr>
        <w:ind w:firstLine="284"/>
        <w:jc w:val="both"/>
        <w:rPr>
          <w:rFonts w:ascii="Garamond" w:hAnsi="Garamond"/>
          <w:lang w:val="sq-AL"/>
        </w:rPr>
      </w:pPr>
      <w:r w:rsidRPr="006D6BE5">
        <w:rPr>
          <w:rFonts w:ascii="Garamond" w:hAnsi="Garamond"/>
          <w:b/>
          <w:bCs/>
          <w:lang w:val="sq-AL"/>
        </w:rPr>
        <w:t>Për vitin 2024, janë planifikuar 102 masave ligjore</w:t>
      </w:r>
      <w:r w:rsidRPr="006D6BE5">
        <w:rPr>
          <w:rFonts w:ascii="Garamond" w:hAnsi="Garamond"/>
          <w:lang w:val="sq-AL"/>
        </w:rPr>
        <w:t xml:space="preserve"> të kategorizuara si më poshtë:</w:t>
      </w:r>
    </w:p>
    <w:p w14:paraId="1153B9A0"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- 29 projektligje;</w:t>
      </w:r>
    </w:p>
    <w:p w14:paraId="5404E2E6"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- 35 projektvendime të Këshillit të Ministrave;</w:t>
      </w:r>
    </w:p>
    <w:p w14:paraId="5A817F19"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- 38 projekturdhra apo akte të tjera nënligjore.</w:t>
      </w:r>
    </w:p>
    <w:p w14:paraId="34F5D15A"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Ndër aktet më të rëndësishme që synohet përafrimi me </w:t>
      </w:r>
      <w:r w:rsidRPr="006D6BE5">
        <w:rPr>
          <w:rFonts w:ascii="Garamond" w:hAnsi="Garamond"/>
          <w:i/>
          <w:iCs/>
          <w:lang w:val="sq-AL"/>
        </w:rPr>
        <w:t>acquis</w:t>
      </w:r>
      <w:r w:rsidRPr="006D6BE5">
        <w:rPr>
          <w:rFonts w:ascii="Garamond" w:hAnsi="Garamond"/>
          <w:lang w:val="sq-AL"/>
        </w:rPr>
        <w:t xml:space="preserve"> të Bashkimit Evropian gjatë vitit 2024 mund të përmendim:</w:t>
      </w:r>
    </w:p>
    <w:p w14:paraId="556D396B"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1 “Themelorët: projektligjin “Kodi Penal i Republikës së Shqipërisë”, projektligjin “Për krijimin e Zyrës së Rikuperimit të Aseteve”, projektligji “Për mbrojtjen e të dhënave personale”, dhe projektligjin “Për koncesionet dhe partneritetin publik privat”.</w:t>
      </w:r>
    </w:p>
    <w:p w14:paraId="5A40A1E6" w14:textId="0CF17DDB"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xml:space="preserve">- Në grupkapitullin 2 “Tregu i brendshëm”, mund të përmendim, projektligjin “Për markat tregtare, projektligjin “Për patentat, modelet e përdorimit dhe certifikatat e mbrojtjes shtesë”, si dhe projektligjin “Për disa shtesa dhe ndryshime në </w:t>
      </w:r>
      <w:r w:rsidR="00CC331B" w:rsidRPr="006D6BE5">
        <w:rPr>
          <w:rFonts w:ascii="Garamond" w:hAnsi="Garamond"/>
          <w:lang w:val="sq-AL"/>
        </w:rPr>
        <w:t xml:space="preserve">ligjin </w:t>
      </w:r>
      <w:r w:rsidRPr="006D6BE5">
        <w:rPr>
          <w:rFonts w:ascii="Garamond" w:hAnsi="Garamond"/>
          <w:lang w:val="sq-AL"/>
        </w:rPr>
        <w:t>nr. 52, datë 22.5.2014 “Për veprimtarinë e sigurimit dhe risigurimit”.</w:t>
      </w:r>
    </w:p>
    <w:p w14:paraId="7C8FE133"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3 “Konkurrueshmëria dhe rritja gjithëpërfshirëse”, është parashikuar të miratohen projektligji “Për sigurinë kibernetike”, projektligji “Për identifikimin elektronik dhe shërbimet e besuara” dhe projektligji “Për shkencën”.</w:t>
      </w:r>
    </w:p>
    <w:p w14:paraId="36BF49E7" w14:textId="4B86C99E"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xml:space="preserve">- Në grupkapitullin 4 “Agjenda e gjelbër dhe konektiviteti i qëndrueshëm”, është parashikuar miratimi i ndryshimeve në </w:t>
      </w:r>
      <w:r w:rsidR="00CC331B" w:rsidRPr="006D6BE5">
        <w:rPr>
          <w:rFonts w:ascii="Garamond" w:hAnsi="Garamond"/>
          <w:lang w:val="sq-AL"/>
        </w:rPr>
        <w:t xml:space="preserve">ligjin nr. </w:t>
      </w:r>
      <w:r w:rsidRPr="006D6BE5">
        <w:rPr>
          <w:rFonts w:ascii="Garamond" w:hAnsi="Garamond"/>
          <w:lang w:val="sq-AL"/>
        </w:rPr>
        <w:t xml:space="preserve">8378, datë 22.7.1998, “Kodi Rrugor i Republikës së Shqipërisë”, në </w:t>
      </w:r>
      <w:r w:rsidR="00CC331B" w:rsidRPr="006D6BE5">
        <w:rPr>
          <w:rFonts w:ascii="Garamond" w:hAnsi="Garamond"/>
          <w:lang w:val="sq-AL"/>
        </w:rPr>
        <w:t>ligjin nr</w:t>
      </w:r>
      <w:r w:rsidRPr="006D6BE5">
        <w:rPr>
          <w:rFonts w:ascii="Garamond" w:hAnsi="Garamond"/>
          <w:lang w:val="sq-AL"/>
        </w:rPr>
        <w:t>. 43/2015 “Për sektorin e energjisë”, projektligji “Për efi</w:t>
      </w:r>
      <w:r w:rsidR="00CC331B">
        <w:rPr>
          <w:rFonts w:ascii="Garamond" w:hAnsi="Garamond"/>
          <w:lang w:val="sq-AL"/>
        </w:rPr>
        <w:t>ci</w:t>
      </w:r>
      <w:r w:rsidRPr="006D6BE5">
        <w:rPr>
          <w:rFonts w:ascii="Garamond" w:hAnsi="Garamond"/>
          <w:lang w:val="sq-AL"/>
        </w:rPr>
        <w:t>encën e energjisë” dhe projektligji “Për etiketimin e produkteve me ndikim në energji”.</w:t>
      </w:r>
    </w:p>
    <w:p w14:paraId="6382FDCE"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5 “Burimet, bujqësia dhe kohezioni”, është parashikuar miratimi i projektligjit “Për prodhimin biologjik dhe etiketimin e produkteve biologjike”, projektligjit “Për shëndetin e bimëve” dhe projektligjit “Për shëndetin e kafshëve”.</w:t>
      </w:r>
    </w:p>
    <w:p w14:paraId="334FAE57" w14:textId="77777777" w:rsidR="00C034C4" w:rsidRPr="006D6BE5" w:rsidRDefault="00C034C4" w:rsidP="00A7241A">
      <w:pPr>
        <w:ind w:firstLine="284"/>
        <w:jc w:val="both"/>
        <w:rPr>
          <w:rFonts w:ascii="Garamond" w:hAnsi="Garamond"/>
          <w:lang w:val="sq-AL"/>
        </w:rPr>
      </w:pPr>
      <w:r w:rsidRPr="006D6BE5">
        <w:rPr>
          <w:rFonts w:ascii="Garamond" w:hAnsi="Garamond"/>
          <w:lang w:val="sq-AL"/>
        </w:rPr>
        <w:t>Për vitin 2024, janë planifikuar edhe 20 masa institucionale dhe zbatuese.</w:t>
      </w:r>
    </w:p>
    <w:p w14:paraId="12E005AB" w14:textId="77777777" w:rsidR="00C034C4" w:rsidRPr="006D6BE5" w:rsidRDefault="00C034C4" w:rsidP="00A7241A">
      <w:pPr>
        <w:ind w:firstLine="284"/>
        <w:jc w:val="both"/>
        <w:rPr>
          <w:rFonts w:ascii="Garamond" w:hAnsi="Garamond"/>
          <w:lang w:val="sq-AL"/>
        </w:rPr>
      </w:pPr>
      <w:r w:rsidRPr="006D6BE5">
        <w:rPr>
          <w:rFonts w:ascii="Garamond" w:hAnsi="Garamond"/>
          <w:lang w:val="sq-AL"/>
        </w:rPr>
        <w:t>Ndër masat institucionale dhe zbatuese më të rëndësishme gjatë vitit 2024 mund të përmendim:</w:t>
      </w:r>
    </w:p>
    <w:p w14:paraId="37461E3B"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1 “Themelorët” mund të përmendim zbatimin e fazës pilot të Planit të miratuar të garancisë rinore, trajnime për oficerët e parregullsive në programimin dhe implementimin e asistencës së Bashkimit Evropian.</w:t>
      </w:r>
    </w:p>
    <w:p w14:paraId="18027E40"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2 “Tregu i brendshëm”, është parashikuar ofrimi i informacionit të dedikuar për punëtorët nga Bashkimi Evropian që punojnë ose qëndrojnë për motive pune në territorin e Republikës së Shqipërisë dhe analiza e legjislacionit shqiptar në fushën e lëvizjes së lirë të punëtorëve, si dhe analiza e ligjit nr. 105/2014 “Për barnat dhe shërbimin farmaceutik”.</w:t>
      </w:r>
    </w:p>
    <w:p w14:paraId="32B2154C"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3 “Konkurrueshmëria dhe rritja gjithëpërfshirëse”, janë parashikuar të zbatohen masa në lidhje me promovimin e investimeve në rrjetin 5G, zgjerimin e rrjetit të internetit, trajnimi i personelit të AKCESK për sigurinë kibernetike dhe investime të mëtejshme për sigurinë kibernetike.</w:t>
      </w:r>
    </w:p>
    <w:p w14:paraId="74E7D95A"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4 “Agjenda e gjelbër dhe konektiviteti i qëndrueshëm”, është parashikuar zbatimi i masave për forcimin e kapaciteteve dhe bashkërendimit në sektorin e transportit hekurudhor.</w:t>
      </w:r>
    </w:p>
    <w:p w14:paraId="7D8A3C3D"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5 “Burimet, bujqësia dhe kohezioni”, është parashikuar ngritja e Komitetit Kombëtar për Bashkëpunimin Territorial Evropian dhe metodologjisë së forcimit të kapaciteteve për të mbuluar objektivat e politikave të kohezionit.</w:t>
      </w:r>
    </w:p>
    <w:p w14:paraId="3B35FBC1"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6 “Marrëdhëniet me jashtë” është parashikuar hartimi i kuadrit rregullator për bashkëpunimin ndërkombëtar për zhvillim dhe ndihmë humanitare.</w:t>
      </w:r>
    </w:p>
    <w:p w14:paraId="2107DDE0" w14:textId="77777777" w:rsidR="00C034C4" w:rsidRPr="006D6BE5" w:rsidRDefault="00C034C4" w:rsidP="00A7241A">
      <w:pPr>
        <w:ind w:firstLine="284"/>
        <w:jc w:val="both"/>
        <w:rPr>
          <w:rFonts w:ascii="Garamond" w:hAnsi="Garamond"/>
          <w:lang w:val="sq-AL"/>
        </w:rPr>
      </w:pPr>
      <w:r w:rsidRPr="006D6BE5">
        <w:rPr>
          <w:rFonts w:ascii="Garamond" w:hAnsi="Garamond"/>
          <w:b/>
          <w:bCs/>
          <w:lang w:val="sq-AL"/>
        </w:rPr>
        <w:t>Për vitin 2025 është parashikuar miratimi i 91 masave ligjore</w:t>
      </w:r>
      <w:r w:rsidRPr="006D6BE5">
        <w:rPr>
          <w:rFonts w:ascii="Garamond" w:hAnsi="Garamond"/>
          <w:lang w:val="sq-AL"/>
        </w:rPr>
        <w:t>:</w:t>
      </w:r>
    </w:p>
    <w:p w14:paraId="45D7AE25"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- 23 projektligjeve;</w:t>
      </w:r>
    </w:p>
    <w:p w14:paraId="7E409E20"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- 37 projektvendimeve të Këshillit të Ministrave;</w:t>
      </w:r>
    </w:p>
    <w:p w14:paraId="0FFF25EB"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- 31 projekturdhra apo akte të tjera nënligjore.</w:t>
      </w:r>
    </w:p>
    <w:p w14:paraId="4A5E5840"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Ndër aktet më të rëndësishme që synohet përafrimi me </w:t>
      </w:r>
      <w:r w:rsidRPr="006D6BE5">
        <w:rPr>
          <w:rFonts w:ascii="Garamond" w:hAnsi="Garamond"/>
          <w:i/>
          <w:iCs/>
          <w:lang w:val="sq-AL"/>
        </w:rPr>
        <w:t>acquis</w:t>
      </w:r>
      <w:r w:rsidRPr="006D6BE5">
        <w:rPr>
          <w:rFonts w:ascii="Garamond" w:hAnsi="Garamond"/>
          <w:lang w:val="sq-AL"/>
        </w:rPr>
        <w:t xml:space="preserve"> të Bashkimit Evropian gjatë vitit 2025 mund të përmendim:</w:t>
      </w:r>
    </w:p>
    <w:p w14:paraId="206C6BB7" w14:textId="3ED0159B"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xml:space="preserve">- Në grupkapitullin 1 “Themelorët: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60/2016 “Për sinjalizimin dhe mbrojtjen e sinjalizuesve” dhe projektligji “Për disa shtesa dhe ndryshime në </w:t>
      </w:r>
      <w:r w:rsidR="00CC331B" w:rsidRPr="006D6BE5">
        <w:rPr>
          <w:rFonts w:ascii="Garamond" w:hAnsi="Garamond"/>
          <w:lang w:val="sq-AL"/>
        </w:rPr>
        <w:t xml:space="preserve">ligjin </w:t>
      </w:r>
      <w:r w:rsidRPr="006D6BE5">
        <w:rPr>
          <w:rFonts w:ascii="Garamond" w:hAnsi="Garamond"/>
          <w:lang w:val="sq-AL"/>
        </w:rPr>
        <w:t>nr. 9970, datë 24.7.2008 “Për barazinë gjinore në shoqëri”.</w:t>
      </w:r>
    </w:p>
    <w:p w14:paraId="7A6D047F"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2 “Tregu i brendshëm”, mund të përmendim, projektligjin “Për disenjot industriale”, projektligjin “Për produktet e ndërtimit”, dhe projektligjin “Për disa shtesa dhe ndryshime në Ligjin nr. 66/2016 “Për shërbimet”.</w:t>
      </w:r>
    </w:p>
    <w:p w14:paraId="4352851B" w14:textId="4672D0A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xml:space="preserve">- Në grupkapitullin 3 “Konkurrueshmëria dhe rritja gjithëpërfshirëse”, është parashikuar të miratohen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75/2019 “Për rininë” dhe projektligji “Për disa shtesa dhe ndryshime në </w:t>
      </w:r>
      <w:r w:rsidR="00CC331B" w:rsidRPr="006D6BE5">
        <w:rPr>
          <w:rFonts w:ascii="Garamond" w:hAnsi="Garamond"/>
          <w:lang w:val="sq-AL"/>
        </w:rPr>
        <w:t xml:space="preserve">ligjin </w:t>
      </w:r>
      <w:r w:rsidRPr="006D6BE5">
        <w:rPr>
          <w:rFonts w:ascii="Garamond" w:hAnsi="Garamond"/>
          <w:lang w:val="sq-AL"/>
        </w:rPr>
        <w:t>nr. 45/2016 “Për vullnetarizmin”.</w:t>
      </w:r>
    </w:p>
    <w:p w14:paraId="4FC93825"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4 “Agjenda e gjelbër dhe konektiviteti i qëndrueshëm”, parashikohet miratimi i projektligjit “Për krijimin, mirëmbajtjen dhe menaxhimin e rezervave minimale të sigurisë së naftës bruto dhe produkteve të naftës”, projektligjit “Për lejet e mjedisit” dhe projektligjit “Për menaxhimin e integruar të mbetjeve”.</w:t>
      </w:r>
    </w:p>
    <w:p w14:paraId="757BCD63"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5 “Burimet, bujqësia dhe kohezioni”, është parashikuar miratimi i projektligjit “Për disa shtesa dhe ndryshime në ligjin nr. 8337, datë 30.4.1998, “Për kalimin në pronësi të tokës bujqësore, pyjore, livadheve dhe kullotave”.</w:t>
      </w:r>
    </w:p>
    <w:p w14:paraId="29834906" w14:textId="77777777" w:rsidR="00C034C4" w:rsidRPr="006D6BE5" w:rsidRDefault="00C034C4" w:rsidP="00A7241A">
      <w:pPr>
        <w:ind w:firstLine="284"/>
        <w:jc w:val="both"/>
        <w:rPr>
          <w:rFonts w:ascii="Garamond" w:hAnsi="Garamond"/>
          <w:lang w:val="sq-AL"/>
        </w:rPr>
      </w:pPr>
      <w:r w:rsidRPr="006D6BE5">
        <w:rPr>
          <w:rFonts w:ascii="Garamond" w:hAnsi="Garamond"/>
          <w:lang w:val="sq-AL"/>
        </w:rPr>
        <w:t>Për vitin 2025, janë planifikuar edhe 21 masa institucionale dhe zbatuese.</w:t>
      </w:r>
    </w:p>
    <w:p w14:paraId="2C9540F9" w14:textId="77777777" w:rsidR="00C034C4" w:rsidRPr="006D6BE5" w:rsidRDefault="00C034C4" w:rsidP="00A7241A">
      <w:pPr>
        <w:ind w:firstLine="284"/>
        <w:jc w:val="both"/>
        <w:rPr>
          <w:rFonts w:ascii="Garamond" w:hAnsi="Garamond"/>
          <w:lang w:val="sq-AL"/>
        </w:rPr>
      </w:pPr>
      <w:r w:rsidRPr="006D6BE5">
        <w:rPr>
          <w:rFonts w:ascii="Garamond" w:hAnsi="Garamond"/>
          <w:lang w:val="sq-AL"/>
        </w:rPr>
        <w:t>Ndër masat institucionale dhe zbatuese më të rëndësishme gjatë vitit 2024 mund të përmendim:</w:t>
      </w:r>
    </w:p>
    <w:p w14:paraId="74EA6978"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2 “Tregu i brendshëm”, është parashikuar analiza e legjislacionit shqiptar në fushën e lëvizjes së lirë të punëtorëve, si dhe analiza e ligjit nr. 89/2014 “Për pajisjet mjekësore: dhe ligjit nr. 105/2014 “Për barnat dhe shërbimin farmaceutik”.</w:t>
      </w:r>
    </w:p>
    <w:p w14:paraId="5FDD18B4" w14:textId="77777777" w:rsidR="00C034C4" w:rsidRPr="006D6BE5" w:rsidRDefault="00C034C4" w:rsidP="00A7241A">
      <w:pPr>
        <w:ind w:firstLine="284"/>
        <w:jc w:val="both"/>
        <w:rPr>
          <w:rFonts w:ascii="Garamond" w:hAnsi="Garamond"/>
          <w:lang w:val="sq-AL"/>
        </w:rPr>
      </w:pPr>
      <w:r w:rsidRPr="006D6BE5">
        <w:rPr>
          <w:rFonts w:ascii="Garamond" w:hAnsi="Garamond"/>
          <w:lang w:val="sq-AL"/>
        </w:rPr>
        <w:t>- Në grupkapitullin 3 “Konkurrueshmëria dhe rritja gjithëpërfshirëse”, janë parashikuar të zbatohen masa në lidhje me promovimin e investimeve dhe sigurisë kibernetike në rrjetin 5G, hartimi i projektligjit “Për qarkullimin e lirë të të dhënave jopersonale”, hartimi i një plani veprimi për sigurinë e profesionistëve të medias në Shqipëri, trajnimi i stafit të Autoritetit të Medias Audiovizive dhe forcimi i kapaciteteve për negociatat në Kapitullin 20.</w:t>
      </w:r>
    </w:p>
    <w:p w14:paraId="400991D3"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4 “Agjenda e gjelbër dhe konektiviteti i qëndrueshëm”, është parashikuar zbatimi i masave për forcimin e kapaciteteve dhe bashkërendimit në sektorin e transportit hekurudhor.</w:t>
      </w:r>
    </w:p>
    <w:p w14:paraId="4A2C1CB9"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5 “Burimet, bujqësia dhe kohezioni”, është parashikuar ngritja e Bordit të Monitorimit për Zhvillimin Rajonal, strukturave koordinuese me Komisionin Evropian për asistencën e Bashkimit Evropian dhe metodologjia e trajtimit të parregullsive në përdorimin e fondeve.</w:t>
      </w:r>
    </w:p>
    <w:p w14:paraId="1956D394" w14:textId="77777777" w:rsidR="00C034C4" w:rsidRPr="006D6BE5" w:rsidRDefault="00C034C4" w:rsidP="00A7241A">
      <w:pPr>
        <w:ind w:firstLine="284"/>
        <w:jc w:val="both"/>
        <w:rPr>
          <w:rFonts w:ascii="Garamond" w:hAnsi="Garamond"/>
          <w:lang w:val="sq-AL"/>
        </w:rPr>
      </w:pPr>
      <w:r w:rsidRPr="006D6BE5">
        <w:rPr>
          <w:rFonts w:ascii="Garamond" w:hAnsi="Garamond"/>
          <w:b/>
          <w:bCs/>
          <w:lang w:val="sq-AL"/>
        </w:rPr>
        <w:t>Për vitin 2026 është parashikuar miratimi i 43 masave ligjore</w:t>
      </w:r>
      <w:r w:rsidRPr="006D6BE5">
        <w:rPr>
          <w:rFonts w:ascii="Garamond" w:hAnsi="Garamond"/>
          <w:lang w:val="sq-AL"/>
        </w:rPr>
        <w:t>:</w:t>
      </w:r>
    </w:p>
    <w:p w14:paraId="32FF9D99"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- 11 projektligjeve;</w:t>
      </w:r>
    </w:p>
    <w:p w14:paraId="134DBF57"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- 13 projektvendimeve të Këshillit të Ministrave;</w:t>
      </w:r>
    </w:p>
    <w:p w14:paraId="28B22E65"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- 19 projekturdhra apo akte të tjera nënligjore.</w:t>
      </w:r>
    </w:p>
    <w:p w14:paraId="56AA9E99"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Ndër aktet më të rëndësishme që synohet përafrimi me </w:t>
      </w:r>
      <w:r w:rsidRPr="006D6BE5">
        <w:rPr>
          <w:rFonts w:ascii="Garamond" w:hAnsi="Garamond"/>
          <w:i/>
          <w:iCs/>
          <w:lang w:val="sq-AL"/>
        </w:rPr>
        <w:t>acquis</w:t>
      </w:r>
      <w:r w:rsidRPr="006D6BE5">
        <w:rPr>
          <w:rFonts w:ascii="Garamond" w:hAnsi="Garamond"/>
          <w:lang w:val="sq-AL"/>
        </w:rPr>
        <w:t xml:space="preserve"> të Bashkimit Evropian gjatë vitit 2026 mund të përmendim:</w:t>
      </w:r>
    </w:p>
    <w:p w14:paraId="6A933F7A" w14:textId="7060F4A5" w:rsidR="00C034C4" w:rsidRPr="006D6BE5" w:rsidRDefault="00C034C4" w:rsidP="00A7241A">
      <w:pPr>
        <w:ind w:firstLine="284"/>
        <w:jc w:val="both"/>
        <w:rPr>
          <w:rFonts w:ascii="Garamond" w:hAnsi="Garamond"/>
          <w:lang w:val="sq-AL"/>
        </w:rPr>
      </w:pPr>
      <w:r w:rsidRPr="006D6BE5">
        <w:rPr>
          <w:rFonts w:ascii="Garamond" w:hAnsi="Garamond"/>
          <w:lang w:val="sq-AL"/>
        </w:rPr>
        <w:t xml:space="preserve">- Në grupkapitullin 1 “Themelorët: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36/2020 “Për prokurimet në fushën e mbrojtjes dhe të sigurisë”,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10193, datë 3.12.2009 “Për marrëdhëniet juridiksionale me autoritetet e huaja në çështjet penale”,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111/2017 “Për ndihmën juridike të garantuar nga shteti”, projektligji “Për disa shtesa dhe ndryshime në </w:t>
      </w:r>
      <w:r w:rsidR="00CC331B" w:rsidRPr="006D6BE5">
        <w:rPr>
          <w:rFonts w:ascii="Garamond" w:hAnsi="Garamond"/>
          <w:lang w:val="sq-AL"/>
        </w:rPr>
        <w:t xml:space="preserve">ligjin </w:t>
      </w:r>
      <w:r w:rsidRPr="006D6BE5">
        <w:rPr>
          <w:rFonts w:ascii="Garamond" w:hAnsi="Garamond"/>
          <w:lang w:val="sq-AL"/>
        </w:rPr>
        <w:t xml:space="preserve">nr. 37/2017 “Kodi i Drejtësisë Penale për të Miturit”, si dhe projektligji “Për disa shtesa dhe ndryshime në </w:t>
      </w:r>
      <w:r w:rsidR="00CC331B" w:rsidRPr="006D6BE5">
        <w:rPr>
          <w:rFonts w:ascii="Garamond" w:hAnsi="Garamond"/>
          <w:lang w:val="sq-AL"/>
        </w:rPr>
        <w:t xml:space="preserve">ligjin </w:t>
      </w:r>
      <w:r w:rsidRPr="006D6BE5">
        <w:rPr>
          <w:rFonts w:ascii="Garamond" w:hAnsi="Garamond"/>
          <w:lang w:val="sq-AL"/>
        </w:rPr>
        <w:t>nr. 49/2012 “Për organizimin dhe funksionimin e gjykatave administrative dhe gjykimin e mosmarrëveshjeve administrative”.</w:t>
      </w:r>
    </w:p>
    <w:p w14:paraId="2DF71ABD" w14:textId="77777777" w:rsidR="00C034C4" w:rsidRPr="006D6BE5" w:rsidRDefault="00C034C4" w:rsidP="00A7241A">
      <w:pPr>
        <w:ind w:firstLine="284"/>
        <w:jc w:val="both"/>
        <w:rPr>
          <w:rFonts w:ascii="Garamond" w:hAnsi="Garamond"/>
          <w:lang w:val="sq-AL"/>
        </w:rPr>
      </w:pPr>
      <w:r w:rsidRPr="006D6BE5">
        <w:rPr>
          <w:rFonts w:ascii="Garamond" w:hAnsi="Garamond"/>
          <w:lang w:val="sq-AL"/>
        </w:rPr>
        <w:t>- Në grupkapitullin 3 “Konkurrueshmëria dhe rritja gjithëpërfshirëse”, është parashikuar të miratohet projektligji “Për krijimin e një fondi garancie për punëmarrësit në rast falimentimi të punëdhënësit të tyre”.</w:t>
      </w:r>
    </w:p>
    <w:p w14:paraId="7BC9A251" w14:textId="77777777" w:rsidR="00C034C4" w:rsidRPr="006D6BE5" w:rsidRDefault="00C034C4" w:rsidP="00A7241A">
      <w:pPr>
        <w:ind w:firstLine="284"/>
        <w:jc w:val="both"/>
        <w:rPr>
          <w:rFonts w:ascii="Garamond" w:hAnsi="Garamond"/>
          <w:lang w:val="sq-AL"/>
        </w:rPr>
      </w:pPr>
      <w:r w:rsidRPr="006D6BE5">
        <w:rPr>
          <w:rFonts w:ascii="Garamond" w:hAnsi="Garamond"/>
          <w:lang w:val="sq-AL"/>
        </w:rPr>
        <w:t>- Në grupkapitullin 4 “Agjenda e gjelbër dhe konektiviteti i qëndrueshëm”, është parashikuar miratimi i projektligjit “Për monitorimin, raportimin dhe verifikimin e emetimeve të dyoksidit të karbonit nga transporti detar” dhe i projektligjit “Për uljen e përmbajtjes së squfurit në lëndë djegëse të caktuara të lëngshme.</w:t>
      </w:r>
    </w:p>
    <w:p w14:paraId="0164FF95" w14:textId="6C88F5AD" w:rsidR="00C034C4" w:rsidRPr="006D6BE5" w:rsidRDefault="00C034C4" w:rsidP="00A7241A">
      <w:pPr>
        <w:ind w:firstLine="284"/>
        <w:jc w:val="both"/>
        <w:rPr>
          <w:rFonts w:ascii="Garamond" w:hAnsi="Garamond"/>
          <w:lang w:val="sq-AL"/>
        </w:rPr>
      </w:pPr>
      <w:r w:rsidRPr="006D6BE5">
        <w:rPr>
          <w:rFonts w:ascii="Garamond" w:hAnsi="Garamond"/>
          <w:lang w:val="sq-AL"/>
        </w:rPr>
        <w:t xml:space="preserve">- Në grupkapitullin 6 “Marrëdhëniet me jashtë”, është parashikuar miratimi i projektligjit “Për disa shtesa dhe ndryshime në </w:t>
      </w:r>
      <w:r w:rsidR="00CC331B" w:rsidRPr="006D6BE5">
        <w:rPr>
          <w:rFonts w:ascii="Garamond" w:hAnsi="Garamond"/>
          <w:lang w:val="sq-AL"/>
        </w:rPr>
        <w:t xml:space="preserve">ligjin </w:t>
      </w:r>
      <w:r w:rsidRPr="006D6BE5">
        <w:rPr>
          <w:rFonts w:ascii="Garamond" w:hAnsi="Garamond"/>
          <w:lang w:val="sq-AL"/>
        </w:rPr>
        <w:t>nr. 46/2018 “Për transferimin ndërkombëtar të mallrave ushtarake dhe mallrave dhe teknologjive me përdorim të dyfishtë”.</w:t>
      </w:r>
    </w:p>
    <w:p w14:paraId="1AAD97E0" w14:textId="77777777" w:rsidR="00C034C4" w:rsidRPr="006D6BE5" w:rsidRDefault="00C034C4" w:rsidP="00A7241A">
      <w:pPr>
        <w:ind w:firstLine="284"/>
        <w:jc w:val="both"/>
        <w:rPr>
          <w:rFonts w:ascii="Garamond" w:hAnsi="Garamond"/>
          <w:lang w:val="sq-AL"/>
        </w:rPr>
      </w:pPr>
      <w:r w:rsidRPr="006D6BE5">
        <w:rPr>
          <w:rFonts w:ascii="Garamond" w:hAnsi="Garamond"/>
          <w:lang w:val="sq-AL"/>
        </w:rPr>
        <w:t>Për vitin 2026, janë planifikuar edhe 7 masa institucionale dhe zbatuese.</w:t>
      </w:r>
    </w:p>
    <w:p w14:paraId="10A82E51" w14:textId="77777777" w:rsidR="00C034C4" w:rsidRPr="006D6BE5" w:rsidRDefault="00C034C4" w:rsidP="00A7241A">
      <w:pPr>
        <w:ind w:firstLine="284"/>
        <w:jc w:val="both"/>
        <w:rPr>
          <w:rFonts w:ascii="Garamond" w:hAnsi="Garamond"/>
          <w:lang w:val="sq-AL"/>
        </w:rPr>
      </w:pPr>
      <w:r w:rsidRPr="006D6BE5">
        <w:rPr>
          <w:rFonts w:ascii="Garamond" w:hAnsi="Garamond"/>
          <w:lang w:val="sq-AL"/>
        </w:rPr>
        <w:t>Ndër masat institucionale dhe zbatuese më të rëndësishme gjatë vitit 2024 mund të përmendim:</w:t>
      </w:r>
    </w:p>
    <w:p w14:paraId="1F059269" w14:textId="77777777" w:rsidR="00C034C4" w:rsidRPr="006D6BE5" w:rsidRDefault="00C034C4" w:rsidP="00A7241A">
      <w:pPr>
        <w:ind w:firstLine="284"/>
        <w:jc w:val="both"/>
        <w:rPr>
          <w:rFonts w:ascii="Garamond" w:hAnsi="Garamond"/>
          <w:lang w:val="sq-AL"/>
        </w:rPr>
      </w:pPr>
      <w:r w:rsidRPr="006D6BE5">
        <w:rPr>
          <w:rFonts w:ascii="Garamond" w:hAnsi="Garamond"/>
          <w:lang w:val="sq-AL"/>
        </w:rPr>
        <w:t>- Në grupkapitullin 2 “Tregu i brendshëm”, është parashikuar rishikimi i ligjit nr. 105/2014 “Për barnat dhe shërbimin farmaceutik” dhe përmirësimi i organizimit dhe funksionimit të Qendrës Kombëtare të Transfuzionit të Gjakut.</w:t>
      </w:r>
    </w:p>
    <w:p w14:paraId="33CE9216" w14:textId="77777777" w:rsidR="00C034C4" w:rsidRPr="006D6BE5" w:rsidRDefault="00C034C4" w:rsidP="00A7241A">
      <w:pPr>
        <w:pStyle w:val="ListParagraph"/>
        <w:ind w:left="0" w:firstLine="284"/>
        <w:jc w:val="both"/>
        <w:rPr>
          <w:rFonts w:ascii="Garamond" w:hAnsi="Garamond"/>
          <w:lang w:val="sq-AL"/>
        </w:rPr>
      </w:pPr>
      <w:r w:rsidRPr="006D6BE5">
        <w:rPr>
          <w:rFonts w:ascii="Garamond" w:hAnsi="Garamond"/>
          <w:lang w:val="sq-AL"/>
        </w:rPr>
        <w:t>- Në grupkapitullin 4 “Agjenda e gjelbër dhe konektiviteti i qëndrueshëm”, është parashikuar zbatimi i masave për forcimin e kapaciteteve dhe ndërveprueshmërisë në sektorin e transportit hekurudhor.</w:t>
      </w:r>
    </w:p>
    <w:p w14:paraId="16C72036" w14:textId="77777777" w:rsidR="00C034C4" w:rsidRPr="006D6BE5" w:rsidRDefault="00C034C4" w:rsidP="00A7241A">
      <w:pPr>
        <w:ind w:firstLine="284"/>
        <w:jc w:val="both"/>
        <w:rPr>
          <w:rFonts w:ascii="Garamond" w:hAnsi="Garamond"/>
          <w:lang w:val="sq-AL"/>
        </w:rPr>
      </w:pPr>
      <w:r w:rsidRPr="006D6BE5">
        <w:rPr>
          <w:rFonts w:ascii="Garamond" w:hAnsi="Garamond"/>
          <w:lang w:val="sq-AL"/>
        </w:rPr>
        <w:t xml:space="preserve">Plani Kombëtar për Integrimin Evropian do të rishikohet në fund të vitit 2024 për të pasqyruar edhe gjetjet dhe rekomandimet e shërbimeve të Komisionit Evropian në raportet </w:t>
      </w:r>
      <w:r w:rsidRPr="006D6BE5">
        <w:rPr>
          <w:rFonts w:ascii="Garamond" w:hAnsi="Garamond"/>
          <w:i/>
          <w:iCs/>
          <w:lang w:val="sq-AL"/>
        </w:rPr>
        <w:t>screening</w:t>
      </w:r>
      <w:r w:rsidRPr="006D6BE5">
        <w:rPr>
          <w:rFonts w:ascii="Garamond" w:hAnsi="Garamond"/>
          <w:lang w:val="sq-AL"/>
        </w:rPr>
        <w:t xml:space="preserve"> për çdo grupkapitull.</w:t>
      </w:r>
    </w:p>
    <w:p w14:paraId="702B7B03" w14:textId="77777777" w:rsidR="00C034C4" w:rsidRPr="006D6BE5" w:rsidRDefault="00C034C4" w:rsidP="00C034C4">
      <w:pPr>
        <w:autoSpaceDE w:val="0"/>
        <w:autoSpaceDN w:val="0"/>
        <w:adjustRightInd w:val="0"/>
        <w:ind w:firstLine="284"/>
        <w:jc w:val="both"/>
        <w:rPr>
          <w:rFonts w:ascii="Garamond" w:hAnsi="Garamond"/>
          <w:lang w:val="sq-AL"/>
        </w:rPr>
      </w:pPr>
    </w:p>
    <w:p w14:paraId="4F1B1DE9" w14:textId="77777777" w:rsidR="00482167" w:rsidRPr="006D6BE5" w:rsidRDefault="00482167" w:rsidP="00C034C4">
      <w:pPr>
        <w:autoSpaceDE w:val="0"/>
        <w:autoSpaceDN w:val="0"/>
        <w:adjustRightInd w:val="0"/>
        <w:ind w:firstLine="284"/>
        <w:jc w:val="both"/>
        <w:rPr>
          <w:rFonts w:ascii="Garamond" w:hAnsi="Garamond"/>
          <w:lang w:val="sq-AL"/>
        </w:rPr>
      </w:pPr>
    </w:p>
    <w:p w14:paraId="5E574098" w14:textId="77777777" w:rsidR="00482167" w:rsidRPr="006D6BE5" w:rsidRDefault="00482167" w:rsidP="00C034C4">
      <w:pPr>
        <w:autoSpaceDE w:val="0"/>
        <w:autoSpaceDN w:val="0"/>
        <w:adjustRightInd w:val="0"/>
        <w:ind w:firstLine="284"/>
        <w:jc w:val="both"/>
        <w:rPr>
          <w:rFonts w:ascii="Garamond" w:hAnsi="Garamond"/>
          <w:lang w:val="sq-AL"/>
        </w:rPr>
        <w:sectPr w:rsidR="00482167" w:rsidRPr="006D6BE5" w:rsidSect="00C81D1E">
          <w:pgSz w:w="11906" w:h="16838" w:code="9"/>
          <w:pgMar w:top="1418" w:right="1418" w:bottom="1418" w:left="1418" w:header="1304" w:footer="1134" w:gutter="0"/>
          <w:cols w:space="708"/>
          <w:docGrid w:linePitch="360"/>
        </w:sectPr>
      </w:pPr>
    </w:p>
    <w:p w14:paraId="5455F5F6" w14:textId="63F17351" w:rsidR="00C92A2D" w:rsidRPr="006D6BE5" w:rsidRDefault="00C92A2D" w:rsidP="00C92A2D">
      <w:pPr>
        <w:jc w:val="both"/>
        <w:rPr>
          <w:rFonts w:ascii="Garamond" w:hAnsi="Garamond" w:cs="Arial"/>
          <w:b/>
          <w:bCs/>
          <w:sz w:val="20"/>
          <w:lang w:val="sq-AL"/>
        </w:rPr>
      </w:pPr>
      <w:r w:rsidRPr="006D6BE5">
        <w:rPr>
          <w:rFonts w:ascii="Garamond" w:hAnsi="Garamond" w:cs="Arial"/>
          <w:b/>
          <w:bCs/>
          <w:sz w:val="20"/>
          <w:lang w:val="sq-AL"/>
        </w:rPr>
        <w:t>Plani Kombëtar për Integrimin Evropian 2024</w:t>
      </w:r>
      <w:r w:rsidR="006D6BE5" w:rsidRPr="006D6BE5">
        <w:rPr>
          <w:rFonts w:ascii="Garamond" w:hAnsi="Garamond" w:cs="Arial"/>
          <w:b/>
          <w:bCs/>
          <w:sz w:val="20"/>
          <w:lang w:val="sq-AL"/>
        </w:rPr>
        <w:t>–</w:t>
      </w:r>
      <w:r w:rsidRPr="006D6BE5">
        <w:rPr>
          <w:rFonts w:ascii="Garamond" w:hAnsi="Garamond" w:cs="Arial"/>
          <w:b/>
          <w:bCs/>
          <w:sz w:val="20"/>
          <w:lang w:val="sq-AL"/>
        </w:rPr>
        <w:t>2026</w:t>
      </w:r>
      <w:r w:rsidR="006D6BE5" w:rsidRPr="006D6BE5">
        <w:rPr>
          <w:rFonts w:ascii="Garamond" w:hAnsi="Garamond" w:cs="Arial"/>
          <w:b/>
          <w:bCs/>
          <w:sz w:val="20"/>
          <w:lang w:val="sq-AL"/>
        </w:rPr>
        <w:t xml:space="preserve"> </w:t>
      </w:r>
    </w:p>
    <w:tbl>
      <w:tblPr>
        <w:tblW w:w="5007" w:type="pct"/>
        <w:tblInd w:w="-10" w:type="dxa"/>
        <w:tblLayout w:type="fixed"/>
        <w:tblLook w:val="04A0" w:firstRow="1" w:lastRow="0" w:firstColumn="1" w:lastColumn="0" w:noHBand="0" w:noVBand="1"/>
      </w:tblPr>
      <w:tblGrid>
        <w:gridCol w:w="462"/>
        <w:gridCol w:w="403"/>
        <w:gridCol w:w="462"/>
        <w:gridCol w:w="479"/>
        <w:gridCol w:w="1851"/>
        <w:gridCol w:w="1871"/>
        <w:gridCol w:w="1417"/>
        <w:gridCol w:w="1560"/>
        <w:gridCol w:w="924"/>
        <w:gridCol w:w="353"/>
        <w:gridCol w:w="409"/>
        <w:gridCol w:w="462"/>
        <w:gridCol w:w="316"/>
        <w:gridCol w:w="389"/>
        <w:gridCol w:w="361"/>
        <w:gridCol w:w="336"/>
        <w:gridCol w:w="353"/>
        <w:gridCol w:w="328"/>
        <w:gridCol w:w="361"/>
        <w:gridCol w:w="311"/>
        <w:gridCol w:w="311"/>
        <w:gridCol w:w="283"/>
      </w:tblGrid>
      <w:tr w:rsidR="00482167" w:rsidRPr="006D6BE5" w14:paraId="32810B01" w14:textId="77777777" w:rsidTr="00A7241A">
        <w:trPr>
          <w:trHeight w:val="20"/>
        </w:trPr>
        <w:tc>
          <w:tcPr>
            <w:tcW w:w="645" w:type="pct"/>
            <w:gridSpan w:val="4"/>
            <w:vMerge w:val="restart"/>
            <w:tcBorders>
              <w:top w:val="single" w:sz="8" w:space="0" w:color="auto"/>
              <w:left w:val="single" w:sz="8" w:space="0" w:color="auto"/>
              <w:bottom w:val="single" w:sz="8" w:space="0" w:color="000000"/>
              <w:right w:val="single" w:sz="8" w:space="0" w:color="000000"/>
            </w:tcBorders>
            <w:shd w:val="clear" w:color="000000" w:fill="A6A6A6"/>
            <w:vAlign w:val="center"/>
            <w:hideMark/>
          </w:tcPr>
          <w:p w14:paraId="00C9CA0B"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STRUKTURA E KAPITULLIT</w:t>
            </w:r>
          </w:p>
        </w:tc>
        <w:tc>
          <w:tcPr>
            <w:tcW w:w="1329" w:type="pct"/>
            <w:gridSpan w:val="2"/>
            <w:vMerge w:val="restart"/>
            <w:tcBorders>
              <w:top w:val="single" w:sz="8" w:space="0" w:color="auto"/>
              <w:left w:val="single" w:sz="8" w:space="0" w:color="auto"/>
              <w:bottom w:val="single" w:sz="8" w:space="0" w:color="000000"/>
              <w:right w:val="nil"/>
            </w:tcBorders>
            <w:shd w:val="clear" w:color="000000" w:fill="A6A6A6"/>
            <w:vAlign w:val="center"/>
            <w:hideMark/>
          </w:tcPr>
          <w:p w14:paraId="5858BC25"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EU Acquis që përafrohen</w:t>
            </w:r>
          </w:p>
        </w:tc>
        <w:tc>
          <w:tcPr>
            <w:tcW w:w="2082" w:type="pct"/>
            <w:gridSpan w:val="8"/>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14:paraId="5F36C177"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PLANIFIKIMI</w:t>
            </w:r>
          </w:p>
        </w:tc>
        <w:tc>
          <w:tcPr>
            <w:tcW w:w="944" w:type="pct"/>
            <w:gridSpan w:val="8"/>
            <w:tcBorders>
              <w:top w:val="single" w:sz="8" w:space="0" w:color="auto"/>
              <w:left w:val="nil"/>
              <w:bottom w:val="single" w:sz="8" w:space="0" w:color="auto"/>
              <w:right w:val="single" w:sz="8" w:space="0" w:color="auto"/>
            </w:tcBorders>
            <w:shd w:val="clear" w:color="000000" w:fill="A6A6A6"/>
            <w:vAlign w:val="center"/>
            <w:hideMark/>
          </w:tcPr>
          <w:p w14:paraId="52A8D85B"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BUXHETI</w:t>
            </w:r>
          </w:p>
        </w:tc>
      </w:tr>
      <w:tr w:rsidR="00482167" w:rsidRPr="006D6BE5" w14:paraId="2813B5AA" w14:textId="77777777" w:rsidTr="00A7241A">
        <w:trPr>
          <w:trHeight w:val="20"/>
        </w:trPr>
        <w:tc>
          <w:tcPr>
            <w:tcW w:w="645" w:type="pct"/>
            <w:gridSpan w:val="4"/>
            <w:vMerge/>
            <w:tcBorders>
              <w:top w:val="single" w:sz="8" w:space="0" w:color="auto"/>
              <w:left w:val="single" w:sz="8" w:space="0" w:color="auto"/>
              <w:bottom w:val="single" w:sz="8" w:space="0" w:color="000000"/>
              <w:right w:val="single" w:sz="8" w:space="0" w:color="000000"/>
            </w:tcBorders>
            <w:vAlign w:val="center"/>
            <w:hideMark/>
          </w:tcPr>
          <w:p w14:paraId="1B8FE714" w14:textId="77777777" w:rsidR="00482167" w:rsidRPr="006D6BE5" w:rsidRDefault="00482167" w:rsidP="00A7241A">
            <w:pPr>
              <w:rPr>
                <w:rFonts w:ascii="Arial" w:hAnsi="Arial" w:cs="Arial"/>
                <w:b/>
                <w:bCs/>
                <w:sz w:val="4"/>
                <w:szCs w:val="8"/>
                <w:lang w:val="sq-AL"/>
              </w:rPr>
            </w:pPr>
          </w:p>
        </w:tc>
        <w:tc>
          <w:tcPr>
            <w:tcW w:w="1329" w:type="pct"/>
            <w:gridSpan w:val="2"/>
            <w:vMerge/>
            <w:tcBorders>
              <w:top w:val="single" w:sz="8" w:space="0" w:color="auto"/>
              <w:left w:val="single" w:sz="8" w:space="0" w:color="auto"/>
              <w:bottom w:val="single" w:sz="8" w:space="0" w:color="000000"/>
              <w:right w:val="nil"/>
            </w:tcBorders>
            <w:vAlign w:val="center"/>
            <w:hideMark/>
          </w:tcPr>
          <w:p w14:paraId="7AA0A934" w14:textId="77777777" w:rsidR="00482167" w:rsidRPr="006D6BE5" w:rsidRDefault="00482167" w:rsidP="00A7241A">
            <w:pPr>
              <w:rPr>
                <w:rFonts w:ascii="Arial" w:hAnsi="Arial" w:cs="Arial"/>
                <w:b/>
                <w:bCs/>
                <w:sz w:val="4"/>
                <w:szCs w:val="8"/>
                <w:lang w:val="sq-AL"/>
              </w:rPr>
            </w:pPr>
          </w:p>
        </w:tc>
        <w:tc>
          <w:tcPr>
            <w:tcW w:w="2082" w:type="pct"/>
            <w:gridSpan w:val="8"/>
            <w:vMerge/>
            <w:tcBorders>
              <w:top w:val="single" w:sz="8" w:space="0" w:color="auto"/>
              <w:left w:val="single" w:sz="8" w:space="0" w:color="auto"/>
              <w:bottom w:val="single" w:sz="8" w:space="0" w:color="auto"/>
              <w:right w:val="single" w:sz="8" w:space="0" w:color="auto"/>
            </w:tcBorders>
            <w:vAlign w:val="center"/>
            <w:hideMark/>
          </w:tcPr>
          <w:p w14:paraId="00881FEA" w14:textId="77777777" w:rsidR="00482167" w:rsidRPr="006D6BE5" w:rsidRDefault="00482167" w:rsidP="00A7241A">
            <w:pPr>
              <w:rPr>
                <w:rFonts w:ascii="Arial" w:hAnsi="Arial" w:cs="Arial"/>
                <w:b/>
                <w:bCs/>
                <w:sz w:val="4"/>
                <w:szCs w:val="8"/>
                <w:lang w:val="sq-AL"/>
              </w:rPr>
            </w:pPr>
          </w:p>
        </w:tc>
        <w:tc>
          <w:tcPr>
            <w:tcW w:w="492" w:type="pct"/>
            <w:gridSpan w:val="4"/>
            <w:tcBorders>
              <w:top w:val="single" w:sz="8" w:space="0" w:color="auto"/>
              <w:left w:val="nil"/>
              <w:bottom w:val="single" w:sz="8" w:space="0" w:color="auto"/>
              <w:right w:val="single" w:sz="8" w:space="0" w:color="auto"/>
            </w:tcBorders>
            <w:shd w:val="clear" w:color="000000" w:fill="A6A6A6"/>
            <w:vAlign w:val="center"/>
            <w:hideMark/>
          </w:tcPr>
          <w:p w14:paraId="013CF667"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Ekzistues</w:t>
            </w:r>
          </w:p>
        </w:tc>
        <w:tc>
          <w:tcPr>
            <w:tcW w:w="452" w:type="pct"/>
            <w:gridSpan w:val="4"/>
            <w:tcBorders>
              <w:top w:val="single" w:sz="8" w:space="0" w:color="auto"/>
              <w:left w:val="nil"/>
              <w:bottom w:val="single" w:sz="8" w:space="0" w:color="auto"/>
              <w:right w:val="single" w:sz="8" w:space="0" w:color="auto"/>
            </w:tcBorders>
            <w:shd w:val="clear" w:color="000000" w:fill="A6A6A6"/>
            <w:vAlign w:val="center"/>
            <w:hideMark/>
          </w:tcPr>
          <w:p w14:paraId="1AC58F35"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Nevoja shtesë</w:t>
            </w:r>
          </w:p>
        </w:tc>
      </w:tr>
      <w:tr w:rsidR="00482167" w:rsidRPr="006D6BE5" w14:paraId="44669D59" w14:textId="77777777" w:rsidTr="00A7241A">
        <w:trPr>
          <w:trHeight w:val="20"/>
        </w:trPr>
        <w:tc>
          <w:tcPr>
            <w:tcW w:w="165" w:type="pct"/>
            <w:tcBorders>
              <w:top w:val="nil"/>
              <w:left w:val="single" w:sz="8" w:space="0" w:color="auto"/>
              <w:bottom w:val="single" w:sz="8" w:space="0" w:color="auto"/>
              <w:right w:val="single" w:sz="8" w:space="0" w:color="auto"/>
            </w:tcBorders>
            <w:shd w:val="clear" w:color="000000" w:fill="A6A6A6"/>
            <w:vAlign w:val="center"/>
            <w:hideMark/>
          </w:tcPr>
          <w:p w14:paraId="172CF7F1"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Kapitulli</w:t>
            </w:r>
          </w:p>
        </w:tc>
        <w:tc>
          <w:tcPr>
            <w:tcW w:w="144" w:type="pct"/>
            <w:tcBorders>
              <w:top w:val="nil"/>
              <w:left w:val="nil"/>
              <w:bottom w:val="single" w:sz="8" w:space="0" w:color="auto"/>
              <w:right w:val="single" w:sz="8" w:space="0" w:color="auto"/>
            </w:tcBorders>
            <w:shd w:val="clear" w:color="000000" w:fill="A6A6A6"/>
            <w:vAlign w:val="center"/>
            <w:hideMark/>
          </w:tcPr>
          <w:p w14:paraId="333084B9"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Institucioni Lider</w:t>
            </w:r>
          </w:p>
        </w:tc>
        <w:tc>
          <w:tcPr>
            <w:tcW w:w="165" w:type="pct"/>
            <w:tcBorders>
              <w:top w:val="nil"/>
              <w:left w:val="nil"/>
              <w:bottom w:val="single" w:sz="8" w:space="0" w:color="auto"/>
              <w:right w:val="single" w:sz="8" w:space="0" w:color="auto"/>
            </w:tcBorders>
            <w:shd w:val="clear" w:color="000000" w:fill="A6A6A6"/>
            <w:vAlign w:val="center"/>
            <w:hideMark/>
          </w:tcPr>
          <w:p w14:paraId="676076D2"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Nën-Kapitulli</w:t>
            </w:r>
          </w:p>
        </w:tc>
        <w:tc>
          <w:tcPr>
            <w:tcW w:w="171" w:type="pct"/>
            <w:tcBorders>
              <w:top w:val="nil"/>
              <w:left w:val="nil"/>
              <w:bottom w:val="single" w:sz="8" w:space="0" w:color="auto"/>
              <w:right w:val="single" w:sz="8" w:space="0" w:color="auto"/>
            </w:tcBorders>
            <w:shd w:val="clear" w:color="000000" w:fill="A6A6A6"/>
            <w:vAlign w:val="center"/>
            <w:hideMark/>
          </w:tcPr>
          <w:p w14:paraId="7ABB5507"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Çështja</w:t>
            </w:r>
          </w:p>
        </w:tc>
        <w:tc>
          <w:tcPr>
            <w:tcW w:w="661" w:type="pct"/>
            <w:tcBorders>
              <w:top w:val="nil"/>
              <w:left w:val="nil"/>
              <w:bottom w:val="single" w:sz="8" w:space="0" w:color="auto"/>
              <w:right w:val="single" w:sz="8" w:space="0" w:color="auto"/>
            </w:tcBorders>
            <w:shd w:val="clear" w:color="000000" w:fill="A6A6A6"/>
            <w:vAlign w:val="center"/>
            <w:hideMark/>
          </w:tcPr>
          <w:p w14:paraId="7FB9E3ED"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Titulli i EU Acquis / Rekomandimit</w:t>
            </w:r>
          </w:p>
        </w:tc>
        <w:tc>
          <w:tcPr>
            <w:tcW w:w="668" w:type="pct"/>
            <w:tcBorders>
              <w:top w:val="nil"/>
              <w:left w:val="nil"/>
              <w:bottom w:val="single" w:sz="8" w:space="0" w:color="auto"/>
              <w:right w:val="single" w:sz="8" w:space="0" w:color="auto"/>
            </w:tcBorders>
            <w:shd w:val="clear" w:color="000000" w:fill="A6A6A6"/>
            <w:vAlign w:val="center"/>
            <w:hideMark/>
          </w:tcPr>
          <w:p w14:paraId="1969FB01"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ELI</w:t>
            </w:r>
          </w:p>
        </w:tc>
        <w:tc>
          <w:tcPr>
            <w:tcW w:w="506" w:type="pct"/>
            <w:tcBorders>
              <w:top w:val="nil"/>
              <w:left w:val="nil"/>
              <w:bottom w:val="single" w:sz="8" w:space="0" w:color="auto"/>
              <w:right w:val="single" w:sz="8" w:space="0" w:color="auto"/>
            </w:tcBorders>
            <w:shd w:val="clear" w:color="000000" w:fill="A6A6A6"/>
            <w:vAlign w:val="center"/>
            <w:hideMark/>
          </w:tcPr>
          <w:p w14:paraId="11CF0B3D"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Lloji i masës së planifikuar</w:t>
            </w:r>
          </w:p>
        </w:tc>
        <w:tc>
          <w:tcPr>
            <w:tcW w:w="557" w:type="pct"/>
            <w:tcBorders>
              <w:top w:val="nil"/>
              <w:left w:val="nil"/>
              <w:bottom w:val="single" w:sz="8" w:space="0" w:color="auto"/>
              <w:right w:val="single" w:sz="8" w:space="0" w:color="auto"/>
            </w:tcBorders>
            <w:shd w:val="clear" w:color="000000" w:fill="A6A6A6"/>
            <w:vAlign w:val="center"/>
            <w:hideMark/>
          </w:tcPr>
          <w:p w14:paraId="4EEEEDA3"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Emërtimi i aktit</w:t>
            </w:r>
          </w:p>
        </w:tc>
        <w:tc>
          <w:tcPr>
            <w:tcW w:w="330" w:type="pct"/>
            <w:tcBorders>
              <w:top w:val="nil"/>
              <w:left w:val="nil"/>
              <w:bottom w:val="single" w:sz="8" w:space="0" w:color="auto"/>
              <w:right w:val="single" w:sz="8" w:space="0" w:color="auto"/>
            </w:tcBorders>
            <w:shd w:val="clear" w:color="000000" w:fill="A6A6A6"/>
            <w:vAlign w:val="center"/>
            <w:hideMark/>
          </w:tcPr>
          <w:p w14:paraId="3F1F752F"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 xml:space="preserve">Fushat/aktivitetet ku synohet përafrimi </w:t>
            </w:r>
          </w:p>
        </w:tc>
        <w:tc>
          <w:tcPr>
            <w:tcW w:w="126" w:type="pct"/>
            <w:tcBorders>
              <w:top w:val="nil"/>
              <w:left w:val="nil"/>
              <w:bottom w:val="single" w:sz="8" w:space="0" w:color="auto"/>
              <w:right w:val="single" w:sz="8" w:space="0" w:color="auto"/>
            </w:tcBorders>
            <w:shd w:val="clear" w:color="000000" w:fill="A6A6A6"/>
            <w:vAlign w:val="center"/>
            <w:hideMark/>
          </w:tcPr>
          <w:p w14:paraId="34DF664A"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Lloji i aktit të përafruar</w:t>
            </w:r>
            <w:r w:rsidRPr="006D6BE5">
              <w:rPr>
                <w:rFonts w:ascii="Arial" w:hAnsi="Arial" w:cs="Arial"/>
                <w:b/>
                <w:bCs/>
                <w:sz w:val="4"/>
                <w:szCs w:val="8"/>
                <w:lang w:val="sq-AL"/>
              </w:rPr>
              <w:br/>
              <w:t>(vetëm për masat politike dhe ligjore)</w:t>
            </w:r>
          </w:p>
        </w:tc>
        <w:tc>
          <w:tcPr>
            <w:tcW w:w="146" w:type="pct"/>
            <w:tcBorders>
              <w:top w:val="nil"/>
              <w:left w:val="nil"/>
              <w:bottom w:val="single" w:sz="8" w:space="0" w:color="auto"/>
              <w:right w:val="single" w:sz="8" w:space="0" w:color="auto"/>
            </w:tcBorders>
            <w:shd w:val="clear" w:color="000000" w:fill="A6A6A6"/>
            <w:vAlign w:val="center"/>
            <w:hideMark/>
          </w:tcPr>
          <w:p w14:paraId="7963F308"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 xml:space="preserve">Vlerësimi paraprak i nivelit të pritshëm të përafrimit </w:t>
            </w:r>
            <w:r w:rsidRPr="006D6BE5">
              <w:rPr>
                <w:rFonts w:ascii="Arial" w:hAnsi="Arial" w:cs="Arial"/>
                <w:b/>
                <w:bCs/>
                <w:sz w:val="4"/>
                <w:szCs w:val="8"/>
                <w:lang w:val="sq-AL"/>
              </w:rPr>
              <w:br/>
              <w:t>(vetëm për masat politike dhe ligjore)</w:t>
            </w:r>
          </w:p>
        </w:tc>
        <w:tc>
          <w:tcPr>
            <w:tcW w:w="165" w:type="pct"/>
            <w:tcBorders>
              <w:top w:val="nil"/>
              <w:left w:val="nil"/>
              <w:bottom w:val="single" w:sz="8" w:space="0" w:color="auto"/>
              <w:right w:val="single" w:sz="8" w:space="0" w:color="auto"/>
            </w:tcBorders>
            <w:shd w:val="clear" w:color="000000" w:fill="A6A6A6"/>
            <w:vAlign w:val="center"/>
            <w:hideMark/>
          </w:tcPr>
          <w:p w14:paraId="0A6F650F"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Institucioni propozues</w:t>
            </w:r>
          </w:p>
        </w:tc>
        <w:tc>
          <w:tcPr>
            <w:tcW w:w="113" w:type="pct"/>
            <w:tcBorders>
              <w:top w:val="nil"/>
              <w:left w:val="nil"/>
              <w:bottom w:val="single" w:sz="8" w:space="0" w:color="auto"/>
              <w:right w:val="single" w:sz="8" w:space="0" w:color="auto"/>
            </w:tcBorders>
            <w:shd w:val="clear" w:color="000000" w:fill="A6A6A6"/>
            <w:vAlign w:val="center"/>
            <w:hideMark/>
          </w:tcPr>
          <w:p w14:paraId="6E849A55"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Viti</w:t>
            </w:r>
            <w:r w:rsidRPr="006D6BE5">
              <w:rPr>
                <w:rFonts w:ascii="Arial" w:hAnsi="Arial" w:cs="Arial"/>
                <w:b/>
                <w:bCs/>
                <w:sz w:val="4"/>
                <w:szCs w:val="8"/>
                <w:lang w:val="sq-AL"/>
              </w:rPr>
              <w:br/>
              <w:t xml:space="preserve">(për të gjitha masat) </w:t>
            </w:r>
          </w:p>
        </w:tc>
        <w:tc>
          <w:tcPr>
            <w:tcW w:w="139" w:type="pct"/>
            <w:tcBorders>
              <w:top w:val="nil"/>
              <w:left w:val="nil"/>
              <w:bottom w:val="single" w:sz="8" w:space="0" w:color="auto"/>
              <w:right w:val="single" w:sz="8" w:space="0" w:color="auto"/>
            </w:tcBorders>
            <w:shd w:val="clear" w:color="000000" w:fill="A6A6A6"/>
            <w:vAlign w:val="center"/>
            <w:hideMark/>
          </w:tcPr>
          <w:p w14:paraId="70219D52"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Katërmujori i propozuar pë miratim</w:t>
            </w:r>
          </w:p>
        </w:tc>
        <w:tc>
          <w:tcPr>
            <w:tcW w:w="129" w:type="pct"/>
            <w:tcBorders>
              <w:top w:val="nil"/>
              <w:left w:val="nil"/>
              <w:bottom w:val="single" w:sz="8" w:space="0" w:color="auto"/>
              <w:right w:val="single" w:sz="8" w:space="0" w:color="auto"/>
            </w:tcBorders>
            <w:shd w:val="clear" w:color="000000" w:fill="A6A6A6"/>
            <w:vAlign w:val="center"/>
            <w:hideMark/>
          </w:tcPr>
          <w:p w14:paraId="549D491A"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Burimi i financimit</w:t>
            </w:r>
          </w:p>
        </w:tc>
        <w:tc>
          <w:tcPr>
            <w:tcW w:w="120" w:type="pct"/>
            <w:tcBorders>
              <w:top w:val="nil"/>
              <w:left w:val="nil"/>
              <w:bottom w:val="single" w:sz="8" w:space="0" w:color="auto"/>
              <w:right w:val="single" w:sz="8" w:space="0" w:color="auto"/>
            </w:tcBorders>
            <w:shd w:val="clear" w:color="000000" w:fill="A6A6A6"/>
            <w:vAlign w:val="center"/>
            <w:hideMark/>
          </w:tcPr>
          <w:p w14:paraId="310A3D18"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2024</w:t>
            </w:r>
          </w:p>
        </w:tc>
        <w:tc>
          <w:tcPr>
            <w:tcW w:w="126" w:type="pct"/>
            <w:tcBorders>
              <w:top w:val="nil"/>
              <w:left w:val="nil"/>
              <w:bottom w:val="single" w:sz="8" w:space="0" w:color="auto"/>
              <w:right w:val="single" w:sz="8" w:space="0" w:color="auto"/>
            </w:tcBorders>
            <w:shd w:val="clear" w:color="000000" w:fill="A6A6A6"/>
            <w:vAlign w:val="center"/>
            <w:hideMark/>
          </w:tcPr>
          <w:p w14:paraId="70D6829B"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2025</w:t>
            </w:r>
          </w:p>
        </w:tc>
        <w:tc>
          <w:tcPr>
            <w:tcW w:w="117" w:type="pct"/>
            <w:tcBorders>
              <w:top w:val="nil"/>
              <w:left w:val="nil"/>
              <w:bottom w:val="single" w:sz="8" w:space="0" w:color="auto"/>
              <w:right w:val="single" w:sz="8" w:space="0" w:color="auto"/>
            </w:tcBorders>
            <w:shd w:val="clear" w:color="000000" w:fill="A6A6A6"/>
            <w:vAlign w:val="center"/>
            <w:hideMark/>
          </w:tcPr>
          <w:p w14:paraId="705D59AF"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2026</w:t>
            </w:r>
          </w:p>
        </w:tc>
        <w:tc>
          <w:tcPr>
            <w:tcW w:w="129" w:type="pct"/>
            <w:tcBorders>
              <w:top w:val="nil"/>
              <w:left w:val="nil"/>
              <w:bottom w:val="single" w:sz="8" w:space="0" w:color="auto"/>
              <w:right w:val="single" w:sz="8" w:space="0" w:color="auto"/>
            </w:tcBorders>
            <w:shd w:val="clear" w:color="000000" w:fill="A6A6A6"/>
            <w:vAlign w:val="center"/>
            <w:hideMark/>
          </w:tcPr>
          <w:p w14:paraId="484685A3"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Burimi i financimit</w:t>
            </w:r>
          </w:p>
        </w:tc>
        <w:tc>
          <w:tcPr>
            <w:tcW w:w="111" w:type="pct"/>
            <w:tcBorders>
              <w:top w:val="nil"/>
              <w:left w:val="nil"/>
              <w:bottom w:val="single" w:sz="8" w:space="0" w:color="auto"/>
              <w:right w:val="single" w:sz="8" w:space="0" w:color="auto"/>
            </w:tcBorders>
            <w:shd w:val="clear" w:color="000000" w:fill="A6A6A6"/>
            <w:vAlign w:val="center"/>
            <w:hideMark/>
          </w:tcPr>
          <w:p w14:paraId="548189D1"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2024</w:t>
            </w:r>
          </w:p>
        </w:tc>
        <w:tc>
          <w:tcPr>
            <w:tcW w:w="111" w:type="pct"/>
            <w:tcBorders>
              <w:top w:val="nil"/>
              <w:left w:val="nil"/>
              <w:bottom w:val="single" w:sz="8" w:space="0" w:color="auto"/>
              <w:right w:val="single" w:sz="8" w:space="0" w:color="auto"/>
            </w:tcBorders>
            <w:shd w:val="clear" w:color="000000" w:fill="A6A6A6"/>
            <w:vAlign w:val="center"/>
            <w:hideMark/>
          </w:tcPr>
          <w:p w14:paraId="0890FB55"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2025</w:t>
            </w:r>
          </w:p>
        </w:tc>
        <w:tc>
          <w:tcPr>
            <w:tcW w:w="101" w:type="pct"/>
            <w:tcBorders>
              <w:top w:val="nil"/>
              <w:left w:val="nil"/>
              <w:bottom w:val="single" w:sz="8" w:space="0" w:color="auto"/>
              <w:right w:val="single" w:sz="8" w:space="0" w:color="auto"/>
            </w:tcBorders>
            <w:shd w:val="clear" w:color="000000" w:fill="A6A6A6"/>
            <w:vAlign w:val="center"/>
            <w:hideMark/>
          </w:tcPr>
          <w:p w14:paraId="3D06AEA4" w14:textId="77777777" w:rsidR="00482167" w:rsidRPr="006D6BE5" w:rsidRDefault="00482167" w:rsidP="00A7241A">
            <w:pPr>
              <w:rPr>
                <w:rFonts w:ascii="Arial" w:hAnsi="Arial" w:cs="Arial"/>
                <w:b/>
                <w:bCs/>
                <w:sz w:val="4"/>
                <w:szCs w:val="8"/>
                <w:lang w:val="sq-AL"/>
              </w:rPr>
            </w:pPr>
            <w:r w:rsidRPr="006D6BE5">
              <w:rPr>
                <w:rFonts w:ascii="Arial" w:hAnsi="Arial" w:cs="Arial"/>
                <w:b/>
                <w:bCs/>
                <w:sz w:val="4"/>
                <w:szCs w:val="8"/>
                <w:lang w:val="sq-AL"/>
              </w:rPr>
              <w:t>2026</w:t>
            </w:r>
          </w:p>
        </w:tc>
      </w:tr>
      <w:tr w:rsidR="00482167" w:rsidRPr="006D6BE5" w14:paraId="1411101B" w14:textId="77777777" w:rsidTr="00A7241A">
        <w:trPr>
          <w:trHeight w:val="20"/>
        </w:trPr>
        <w:tc>
          <w:tcPr>
            <w:tcW w:w="1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F3C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Themeloret/Kriteri Politik</w:t>
            </w:r>
          </w:p>
        </w:tc>
        <w:tc>
          <w:tcPr>
            <w:tcW w:w="144" w:type="pct"/>
            <w:tcBorders>
              <w:top w:val="single" w:sz="4" w:space="0" w:color="auto"/>
              <w:left w:val="nil"/>
              <w:bottom w:val="single" w:sz="4" w:space="0" w:color="auto"/>
              <w:right w:val="single" w:sz="4" w:space="0" w:color="auto"/>
            </w:tcBorders>
            <w:shd w:val="clear" w:color="auto" w:fill="auto"/>
            <w:vAlign w:val="center"/>
            <w:hideMark/>
          </w:tcPr>
          <w:p w14:paraId="709E59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DAP</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05E5A4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Reforma e Administratës Publike (RAP)</w:t>
            </w:r>
          </w:p>
        </w:tc>
        <w:tc>
          <w:tcPr>
            <w:tcW w:w="171" w:type="pct"/>
            <w:tcBorders>
              <w:top w:val="single" w:sz="4" w:space="0" w:color="auto"/>
              <w:left w:val="nil"/>
              <w:bottom w:val="single" w:sz="4" w:space="0" w:color="auto"/>
              <w:right w:val="single" w:sz="4" w:space="0" w:color="auto"/>
            </w:tcBorders>
            <w:shd w:val="clear" w:color="auto" w:fill="auto"/>
            <w:vAlign w:val="center"/>
            <w:hideMark/>
          </w:tcPr>
          <w:p w14:paraId="55DBA1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Parimi 3 i Administratës Publike</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65C587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Piketat hapëse/Udhërrëfyesi RAP</w:t>
            </w:r>
          </w:p>
        </w:tc>
        <w:tc>
          <w:tcPr>
            <w:tcW w:w="668" w:type="pct"/>
            <w:tcBorders>
              <w:top w:val="single" w:sz="4" w:space="0" w:color="auto"/>
              <w:left w:val="nil"/>
              <w:bottom w:val="single" w:sz="4" w:space="0" w:color="auto"/>
              <w:right w:val="single" w:sz="4" w:space="0" w:color="auto"/>
            </w:tcBorders>
            <w:shd w:val="clear" w:color="auto" w:fill="auto"/>
            <w:vAlign w:val="center"/>
            <w:hideMark/>
          </w:tcPr>
          <w:p w14:paraId="65EC8B13"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w:t>
            </w:r>
          </w:p>
        </w:tc>
        <w:tc>
          <w:tcPr>
            <w:tcW w:w="506" w:type="pct"/>
            <w:tcBorders>
              <w:top w:val="single" w:sz="4" w:space="0" w:color="auto"/>
              <w:left w:val="nil"/>
              <w:bottom w:val="single" w:sz="4" w:space="0" w:color="auto"/>
              <w:right w:val="single" w:sz="4" w:space="0" w:color="auto"/>
            </w:tcBorders>
            <w:shd w:val="clear" w:color="FFFFFF" w:fill="FFFFFF"/>
            <w:vAlign w:val="center"/>
            <w:hideMark/>
          </w:tcPr>
          <w:p w14:paraId="3EA033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single" w:sz="4" w:space="0" w:color="auto"/>
              <w:left w:val="nil"/>
              <w:bottom w:val="single" w:sz="4" w:space="0" w:color="auto"/>
              <w:right w:val="single" w:sz="4" w:space="0" w:color="auto"/>
            </w:tcBorders>
            <w:shd w:val="clear" w:color="auto" w:fill="auto"/>
            <w:vAlign w:val="center"/>
            <w:hideMark/>
          </w:tcPr>
          <w:p w14:paraId="22E8F4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ndryshime dhe shtesa në ligjin nr. 152/2013, “Për nëpunësin civil”, të ndryshuar”</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5DF738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“Shërbimi civil dhe menaxhimi i burimeve njerëzore”</w:t>
            </w:r>
          </w:p>
        </w:tc>
        <w:tc>
          <w:tcPr>
            <w:tcW w:w="126" w:type="pct"/>
            <w:tcBorders>
              <w:top w:val="single" w:sz="4" w:space="0" w:color="auto"/>
              <w:left w:val="nil"/>
              <w:bottom w:val="single" w:sz="4" w:space="0" w:color="auto"/>
              <w:right w:val="single" w:sz="4" w:space="0" w:color="auto"/>
            </w:tcBorders>
            <w:shd w:val="clear" w:color="FFFFFF" w:fill="FFFFFF"/>
            <w:vAlign w:val="center"/>
            <w:hideMark/>
          </w:tcPr>
          <w:p w14:paraId="703879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single" w:sz="4" w:space="0" w:color="auto"/>
              <w:left w:val="nil"/>
              <w:bottom w:val="single" w:sz="4" w:space="0" w:color="auto"/>
              <w:right w:val="single" w:sz="4" w:space="0" w:color="auto"/>
            </w:tcBorders>
            <w:shd w:val="clear" w:color="auto" w:fill="auto"/>
            <w:vAlign w:val="center"/>
            <w:hideMark/>
          </w:tcPr>
          <w:p w14:paraId="419565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single" w:sz="4" w:space="0" w:color="auto"/>
              <w:left w:val="nil"/>
              <w:bottom w:val="single" w:sz="4" w:space="0" w:color="auto"/>
              <w:right w:val="single" w:sz="4" w:space="0" w:color="auto"/>
            </w:tcBorders>
            <w:shd w:val="clear" w:color="auto" w:fill="auto"/>
            <w:vAlign w:val="center"/>
            <w:hideMark/>
          </w:tcPr>
          <w:p w14:paraId="1B5212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Kryeministri</w:t>
            </w:r>
          </w:p>
        </w:tc>
        <w:tc>
          <w:tcPr>
            <w:tcW w:w="113" w:type="pct"/>
            <w:tcBorders>
              <w:top w:val="single" w:sz="4" w:space="0" w:color="auto"/>
              <w:left w:val="nil"/>
              <w:bottom w:val="single" w:sz="4" w:space="0" w:color="auto"/>
              <w:right w:val="single" w:sz="4" w:space="0" w:color="auto"/>
            </w:tcBorders>
            <w:shd w:val="clear" w:color="auto" w:fill="auto"/>
            <w:vAlign w:val="center"/>
            <w:hideMark/>
          </w:tcPr>
          <w:p w14:paraId="369F07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0DF5C7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single" w:sz="4" w:space="0" w:color="auto"/>
              <w:left w:val="nil"/>
              <w:bottom w:val="single" w:sz="4" w:space="0" w:color="auto"/>
              <w:right w:val="single" w:sz="4" w:space="0" w:color="auto"/>
            </w:tcBorders>
            <w:shd w:val="clear" w:color="FFFFFF" w:fill="FFFFFF"/>
            <w:vAlign w:val="center"/>
            <w:hideMark/>
          </w:tcPr>
          <w:p w14:paraId="28E2CD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2000665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1,858</w:t>
            </w:r>
          </w:p>
        </w:tc>
        <w:tc>
          <w:tcPr>
            <w:tcW w:w="126" w:type="pct"/>
            <w:tcBorders>
              <w:top w:val="single" w:sz="4" w:space="0" w:color="auto"/>
              <w:left w:val="nil"/>
              <w:bottom w:val="single" w:sz="4" w:space="0" w:color="auto"/>
              <w:right w:val="single" w:sz="4" w:space="0" w:color="auto"/>
            </w:tcBorders>
            <w:shd w:val="clear" w:color="auto" w:fill="auto"/>
            <w:vAlign w:val="center"/>
            <w:hideMark/>
          </w:tcPr>
          <w:p w14:paraId="4A62BC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single" w:sz="4" w:space="0" w:color="auto"/>
              <w:left w:val="nil"/>
              <w:bottom w:val="single" w:sz="4" w:space="0" w:color="auto"/>
              <w:right w:val="single" w:sz="4" w:space="0" w:color="auto"/>
            </w:tcBorders>
            <w:shd w:val="clear" w:color="auto" w:fill="auto"/>
            <w:vAlign w:val="center"/>
            <w:hideMark/>
          </w:tcPr>
          <w:p w14:paraId="48F66E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single" w:sz="4" w:space="0" w:color="auto"/>
              <w:left w:val="nil"/>
              <w:bottom w:val="single" w:sz="4" w:space="0" w:color="auto"/>
              <w:right w:val="single" w:sz="4" w:space="0" w:color="auto"/>
            </w:tcBorders>
            <w:shd w:val="clear" w:color="auto" w:fill="auto"/>
            <w:vAlign w:val="center"/>
            <w:hideMark/>
          </w:tcPr>
          <w:p w14:paraId="310354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single" w:sz="4" w:space="0" w:color="auto"/>
              <w:left w:val="nil"/>
              <w:bottom w:val="single" w:sz="4" w:space="0" w:color="auto"/>
              <w:right w:val="single" w:sz="4" w:space="0" w:color="auto"/>
            </w:tcBorders>
            <w:shd w:val="clear" w:color="auto" w:fill="auto"/>
            <w:vAlign w:val="center"/>
            <w:hideMark/>
          </w:tcPr>
          <w:p w14:paraId="67BB64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single" w:sz="4" w:space="0" w:color="auto"/>
              <w:left w:val="nil"/>
              <w:bottom w:val="single" w:sz="4" w:space="0" w:color="auto"/>
              <w:right w:val="single" w:sz="4" w:space="0" w:color="auto"/>
            </w:tcBorders>
            <w:shd w:val="clear" w:color="auto" w:fill="auto"/>
            <w:vAlign w:val="center"/>
            <w:hideMark/>
          </w:tcPr>
          <w:p w14:paraId="1B128D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single" w:sz="4" w:space="0" w:color="auto"/>
              <w:left w:val="nil"/>
              <w:bottom w:val="single" w:sz="4" w:space="0" w:color="auto"/>
              <w:right w:val="single" w:sz="4" w:space="0" w:color="auto"/>
            </w:tcBorders>
            <w:shd w:val="clear" w:color="auto" w:fill="auto"/>
            <w:vAlign w:val="center"/>
            <w:hideMark/>
          </w:tcPr>
          <w:p w14:paraId="31BBFE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94D6027"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DA3A6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Themeloret/Kriteri Politik</w:t>
            </w:r>
          </w:p>
        </w:tc>
        <w:tc>
          <w:tcPr>
            <w:tcW w:w="144" w:type="pct"/>
            <w:tcBorders>
              <w:top w:val="nil"/>
              <w:left w:val="nil"/>
              <w:bottom w:val="single" w:sz="4" w:space="0" w:color="auto"/>
              <w:right w:val="single" w:sz="4" w:space="0" w:color="auto"/>
            </w:tcBorders>
            <w:shd w:val="clear" w:color="auto" w:fill="auto"/>
            <w:vAlign w:val="center"/>
            <w:hideMark/>
          </w:tcPr>
          <w:p w14:paraId="3A3D8C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DAP</w:t>
            </w:r>
          </w:p>
        </w:tc>
        <w:tc>
          <w:tcPr>
            <w:tcW w:w="165" w:type="pct"/>
            <w:tcBorders>
              <w:top w:val="nil"/>
              <w:left w:val="nil"/>
              <w:bottom w:val="single" w:sz="4" w:space="0" w:color="auto"/>
              <w:right w:val="single" w:sz="4" w:space="0" w:color="auto"/>
            </w:tcBorders>
            <w:shd w:val="clear" w:color="auto" w:fill="auto"/>
            <w:vAlign w:val="center"/>
            <w:hideMark/>
          </w:tcPr>
          <w:p w14:paraId="665100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Reforma e Administratës Publike (RAP)</w:t>
            </w:r>
          </w:p>
        </w:tc>
        <w:tc>
          <w:tcPr>
            <w:tcW w:w="171" w:type="pct"/>
            <w:tcBorders>
              <w:top w:val="nil"/>
              <w:left w:val="nil"/>
              <w:bottom w:val="single" w:sz="4" w:space="0" w:color="auto"/>
              <w:right w:val="single" w:sz="4" w:space="0" w:color="auto"/>
            </w:tcBorders>
            <w:shd w:val="clear" w:color="auto" w:fill="auto"/>
            <w:vAlign w:val="center"/>
            <w:hideMark/>
          </w:tcPr>
          <w:p w14:paraId="4C828F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Parimi 4 i Adminsitratës Publike</w:t>
            </w:r>
          </w:p>
        </w:tc>
        <w:tc>
          <w:tcPr>
            <w:tcW w:w="661" w:type="pct"/>
            <w:tcBorders>
              <w:top w:val="nil"/>
              <w:left w:val="nil"/>
              <w:bottom w:val="single" w:sz="4" w:space="0" w:color="auto"/>
              <w:right w:val="single" w:sz="4" w:space="0" w:color="auto"/>
            </w:tcBorders>
            <w:shd w:val="clear" w:color="auto" w:fill="auto"/>
            <w:vAlign w:val="center"/>
            <w:hideMark/>
          </w:tcPr>
          <w:p w14:paraId="47B5F7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Piketat hapëse/Udhërrëfyesi RAP</w:t>
            </w:r>
          </w:p>
        </w:tc>
        <w:tc>
          <w:tcPr>
            <w:tcW w:w="668" w:type="pct"/>
            <w:tcBorders>
              <w:top w:val="nil"/>
              <w:left w:val="nil"/>
              <w:bottom w:val="single" w:sz="4" w:space="0" w:color="auto"/>
              <w:right w:val="single" w:sz="4" w:space="0" w:color="auto"/>
            </w:tcBorders>
            <w:shd w:val="clear" w:color="auto" w:fill="auto"/>
            <w:vAlign w:val="center"/>
            <w:hideMark/>
          </w:tcPr>
          <w:p w14:paraId="2AD962CE"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w:t>
            </w:r>
          </w:p>
        </w:tc>
        <w:tc>
          <w:tcPr>
            <w:tcW w:w="506" w:type="pct"/>
            <w:tcBorders>
              <w:top w:val="nil"/>
              <w:left w:val="nil"/>
              <w:bottom w:val="single" w:sz="4" w:space="0" w:color="auto"/>
              <w:right w:val="single" w:sz="4" w:space="0" w:color="auto"/>
            </w:tcBorders>
            <w:shd w:val="clear" w:color="FFFFFF" w:fill="FFFFFF"/>
            <w:vAlign w:val="center"/>
            <w:hideMark/>
          </w:tcPr>
          <w:p w14:paraId="70B035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2F9BB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90/2012, “Për organizimin dhe funksionimin e administratës shtetërore”</w:t>
            </w:r>
          </w:p>
        </w:tc>
        <w:tc>
          <w:tcPr>
            <w:tcW w:w="330" w:type="pct"/>
            <w:tcBorders>
              <w:top w:val="nil"/>
              <w:left w:val="nil"/>
              <w:bottom w:val="single" w:sz="4" w:space="0" w:color="auto"/>
              <w:right w:val="single" w:sz="4" w:space="0" w:color="auto"/>
            </w:tcBorders>
            <w:shd w:val="clear" w:color="auto" w:fill="auto"/>
            <w:vAlign w:val="center"/>
            <w:hideMark/>
          </w:tcPr>
          <w:p w14:paraId="31900A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“Organizimi, llogaridhënia dhe transparenca”</w:t>
            </w:r>
          </w:p>
        </w:tc>
        <w:tc>
          <w:tcPr>
            <w:tcW w:w="126" w:type="pct"/>
            <w:tcBorders>
              <w:top w:val="nil"/>
              <w:left w:val="nil"/>
              <w:bottom w:val="single" w:sz="4" w:space="0" w:color="auto"/>
              <w:right w:val="single" w:sz="4" w:space="0" w:color="auto"/>
            </w:tcBorders>
            <w:shd w:val="clear" w:color="FFFFFF" w:fill="FFFFFF"/>
            <w:vAlign w:val="center"/>
            <w:hideMark/>
          </w:tcPr>
          <w:p w14:paraId="7DF7F1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2BEE74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75E7B8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Kryeministri</w:t>
            </w:r>
          </w:p>
        </w:tc>
        <w:tc>
          <w:tcPr>
            <w:tcW w:w="113" w:type="pct"/>
            <w:tcBorders>
              <w:top w:val="nil"/>
              <w:left w:val="nil"/>
              <w:bottom w:val="single" w:sz="4" w:space="0" w:color="auto"/>
              <w:right w:val="single" w:sz="4" w:space="0" w:color="auto"/>
            </w:tcBorders>
            <w:shd w:val="clear" w:color="auto" w:fill="auto"/>
            <w:vAlign w:val="center"/>
            <w:hideMark/>
          </w:tcPr>
          <w:p w14:paraId="5596FD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C7C7E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F0BAA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DAB820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1,858</w:t>
            </w:r>
          </w:p>
        </w:tc>
        <w:tc>
          <w:tcPr>
            <w:tcW w:w="126" w:type="pct"/>
            <w:tcBorders>
              <w:top w:val="nil"/>
              <w:left w:val="nil"/>
              <w:bottom w:val="single" w:sz="4" w:space="0" w:color="auto"/>
              <w:right w:val="single" w:sz="4" w:space="0" w:color="auto"/>
            </w:tcBorders>
            <w:shd w:val="clear" w:color="auto" w:fill="auto"/>
            <w:vAlign w:val="center"/>
            <w:hideMark/>
          </w:tcPr>
          <w:p w14:paraId="27A72E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53C181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41A398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3C0F00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26878D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3957D3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84BC17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86EAD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38F799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0DCC90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Politikat kundër korrupsionit </w:t>
            </w:r>
          </w:p>
        </w:tc>
        <w:tc>
          <w:tcPr>
            <w:tcW w:w="171" w:type="pct"/>
            <w:tcBorders>
              <w:top w:val="nil"/>
              <w:left w:val="nil"/>
              <w:bottom w:val="single" w:sz="4" w:space="0" w:color="auto"/>
              <w:right w:val="single" w:sz="4" w:space="0" w:color="auto"/>
            </w:tcBorders>
            <w:shd w:val="clear" w:color="FFFFFF" w:fill="FFFFFF"/>
            <w:vAlign w:val="center"/>
            <w:hideMark/>
          </w:tcPr>
          <w:p w14:paraId="7BD033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Sinjalizuesit</w:t>
            </w:r>
          </w:p>
        </w:tc>
        <w:tc>
          <w:tcPr>
            <w:tcW w:w="661" w:type="pct"/>
            <w:tcBorders>
              <w:top w:val="nil"/>
              <w:left w:val="nil"/>
              <w:bottom w:val="single" w:sz="4" w:space="0" w:color="auto"/>
              <w:right w:val="single" w:sz="4" w:space="0" w:color="auto"/>
            </w:tcBorders>
            <w:shd w:val="clear" w:color="FFFFFF" w:fill="FFFFFF"/>
            <w:vAlign w:val="center"/>
            <w:hideMark/>
          </w:tcPr>
          <w:p w14:paraId="7D4253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2019/1937 e Parlamentit Evropian dhe Këshillit e datës 13 tetor 2019 për mbrojtjen e personave që raportojnë shkelje të ligjit të Unionit</w:t>
            </w:r>
          </w:p>
        </w:tc>
        <w:tc>
          <w:tcPr>
            <w:tcW w:w="668" w:type="pct"/>
            <w:tcBorders>
              <w:top w:val="nil"/>
              <w:left w:val="nil"/>
              <w:bottom w:val="single" w:sz="4" w:space="0" w:color="auto"/>
              <w:right w:val="single" w:sz="4" w:space="0" w:color="auto"/>
            </w:tcBorders>
            <w:shd w:val="clear" w:color="auto" w:fill="auto"/>
            <w:vAlign w:val="center"/>
            <w:hideMark/>
          </w:tcPr>
          <w:p w14:paraId="749126A1" w14:textId="77777777" w:rsidR="00482167" w:rsidRPr="006D6BE5" w:rsidRDefault="00E63D69" w:rsidP="00A7241A">
            <w:pPr>
              <w:rPr>
                <w:rFonts w:ascii="Arial" w:hAnsi="Arial" w:cs="Arial"/>
                <w:color w:val="0563C1"/>
                <w:sz w:val="4"/>
                <w:szCs w:val="8"/>
                <w:u w:val="single"/>
                <w:lang w:val="sq-AL"/>
              </w:rPr>
            </w:pPr>
            <w:hyperlink r:id="rId13" w:history="1">
              <w:r w:rsidR="00482167" w:rsidRPr="006D6BE5">
                <w:rPr>
                  <w:rFonts w:ascii="Arial" w:hAnsi="Arial" w:cs="Arial"/>
                  <w:color w:val="0563C1"/>
                  <w:sz w:val="4"/>
                  <w:szCs w:val="8"/>
                  <w:u w:val="single"/>
                  <w:lang w:val="sq-AL"/>
                </w:rPr>
                <w:t xml:space="preserve">https://eur-lex.europa.eu/legal-content/en/TXT/?uri=CELEX:32019L1937 </w:t>
              </w:r>
            </w:hyperlink>
          </w:p>
        </w:tc>
        <w:tc>
          <w:tcPr>
            <w:tcW w:w="506" w:type="pct"/>
            <w:tcBorders>
              <w:top w:val="nil"/>
              <w:left w:val="nil"/>
              <w:bottom w:val="single" w:sz="4" w:space="0" w:color="auto"/>
              <w:right w:val="single" w:sz="4" w:space="0" w:color="auto"/>
            </w:tcBorders>
            <w:shd w:val="clear" w:color="FFFFFF" w:fill="FFFFFF"/>
            <w:vAlign w:val="center"/>
            <w:hideMark/>
          </w:tcPr>
          <w:p w14:paraId="7F83E8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27758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Projektligjit "Për disa shtesa dhe ndryshime në ligjin nr. 60/2016 "Për Sinjalizimin dhe Mbrojtjen e Sinjalizuesve"</w:t>
            </w:r>
          </w:p>
        </w:tc>
        <w:tc>
          <w:tcPr>
            <w:tcW w:w="330" w:type="pct"/>
            <w:tcBorders>
              <w:top w:val="nil"/>
              <w:left w:val="nil"/>
              <w:bottom w:val="single" w:sz="4" w:space="0" w:color="auto"/>
              <w:right w:val="single" w:sz="4" w:space="0" w:color="auto"/>
            </w:tcBorders>
            <w:shd w:val="clear" w:color="FFFFFF" w:fill="FFFFFF"/>
            <w:vAlign w:val="center"/>
            <w:hideMark/>
          </w:tcPr>
          <w:p w14:paraId="379AC3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Qasja sektoriale kundrejt asaj horizontale, mbrojtja e sinjalizuesve, sinjalizuesit, shkelja e ligjit të Unionit, raportimi i rasteve të mundshme të korrupsionit, kanale të brendshme të raportimit, njësi sinjalizimi.</w:t>
            </w:r>
          </w:p>
        </w:tc>
        <w:tc>
          <w:tcPr>
            <w:tcW w:w="126" w:type="pct"/>
            <w:tcBorders>
              <w:top w:val="nil"/>
              <w:left w:val="nil"/>
              <w:bottom w:val="single" w:sz="4" w:space="0" w:color="auto"/>
              <w:right w:val="single" w:sz="4" w:space="0" w:color="auto"/>
            </w:tcBorders>
            <w:shd w:val="clear" w:color="FFFFFF" w:fill="FFFFFF"/>
            <w:vAlign w:val="center"/>
            <w:hideMark/>
          </w:tcPr>
          <w:p w14:paraId="475D25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B7F8A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6E996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0A4331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EC5D4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67D86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88DB0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EAC21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21.223</w:t>
            </w:r>
          </w:p>
        </w:tc>
        <w:tc>
          <w:tcPr>
            <w:tcW w:w="117" w:type="pct"/>
            <w:tcBorders>
              <w:top w:val="nil"/>
              <w:left w:val="nil"/>
              <w:bottom w:val="single" w:sz="4" w:space="0" w:color="auto"/>
              <w:right w:val="single" w:sz="4" w:space="0" w:color="auto"/>
            </w:tcBorders>
            <w:shd w:val="clear" w:color="FFFFFF" w:fill="FFFFFF"/>
            <w:vAlign w:val="center"/>
            <w:hideMark/>
          </w:tcPr>
          <w:p w14:paraId="4C923C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11AA6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6687E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1DB15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CDD7E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659C71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D4A6D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2B5C09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04E0DD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Politikat kundër korrupsionit </w:t>
            </w:r>
          </w:p>
        </w:tc>
        <w:tc>
          <w:tcPr>
            <w:tcW w:w="171" w:type="pct"/>
            <w:tcBorders>
              <w:top w:val="nil"/>
              <w:left w:val="nil"/>
              <w:bottom w:val="single" w:sz="4" w:space="0" w:color="auto"/>
              <w:right w:val="single" w:sz="4" w:space="0" w:color="auto"/>
            </w:tcBorders>
            <w:shd w:val="clear" w:color="FFFFFF" w:fill="FFFFFF"/>
            <w:vAlign w:val="center"/>
            <w:hideMark/>
          </w:tcPr>
          <w:p w14:paraId="419B7C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Kuadri Strategjik dhe Legjislativ </w:t>
            </w:r>
          </w:p>
        </w:tc>
        <w:tc>
          <w:tcPr>
            <w:tcW w:w="661" w:type="pct"/>
            <w:tcBorders>
              <w:top w:val="nil"/>
              <w:left w:val="nil"/>
              <w:bottom w:val="single" w:sz="4" w:space="0" w:color="auto"/>
              <w:right w:val="single" w:sz="4" w:space="0" w:color="auto"/>
            </w:tcBorders>
            <w:shd w:val="clear" w:color="FFFFFF" w:fill="FFFFFF"/>
            <w:vAlign w:val="center"/>
            <w:hideMark/>
          </w:tcPr>
          <w:p w14:paraId="0511CA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 i Raportit te KE per Shqiperine 2023</w:t>
            </w:r>
            <w:r w:rsidRPr="006D6BE5">
              <w:rPr>
                <w:rFonts w:ascii="Arial" w:hAnsi="Arial" w:cs="Arial"/>
                <w:color w:val="000000"/>
                <w:sz w:val="4"/>
                <w:szCs w:val="8"/>
                <w:lang w:val="sq-AL"/>
              </w:rPr>
              <w:br/>
            </w:r>
            <w:r w:rsidRPr="006D6BE5">
              <w:rPr>
                <w:rFonts w:ascii="Arial" w:hAnsi="Arial" w:cs="Arial"/>
                <w:color w:val="000000"/>
                <w:sz w:val="4"/>
                <w:szCs w:val="8"/>
                <w:lang w:val="sq-AL"/>
              </w:rPr>
              <w:br/>
              <w:t>Një strategji e re për vitin 2023-2030 është në përgatitje, në të cilën duhet t'i kushtohet më shumë vëmendje sektorëve më të cenueshëm ndaj korrupsionit, të cilët kërkojnë vlerësime të synuara të rrezikut dhe veprime të dedikuara, mekanizma të shëndoshë monitorimi dhe buxhet të mjaftueshëm për zbatim. Strategjia e re duhet gjithashtu të synojë të inkurajojë pronësinë dhe të forcojë kapacitetet institucionale.</w:t>
            </w:r>
          </w:p>
        </w:tc>
        <w:tc>
          <w:tcPr>
            <w:tcW w:w="668" w:type="pct"/>
            <w:tcBorders>
              <w:top w:val="nil"/>
              <w:left w:val="nil"/>
              <w:bottom w:val="single" w:sz="4" w:space="0" w:color="auto"/>
              <w:right w:val="single" w:sz="4" w:space="0" w:color="auto"/>
            </w:tcBorders>
            <w:shd w:val="clear" w:color="FFFFFF" w:fill="FFFFFF"/>
            <w:vAlign w:val="center"/>
            <w:hideMark/>
          </w:tcPr>
          <w:p w14:paraId="169B345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506" w:type="pct"/>
            <w:tcBorders>
              <w:top w:val="nil"/>
              <w:left w:val="nil"/>
              <w:bottom w:val="single" w:sz="4" w:space="0" w:color="auto"/>
              <w:right w:val="single" w:sz="4" w:space="0" w:color="auto"/>
            </w:tcBorders>
            <w:shd w:val="clear" w:color="FFFFFF" w:fill="FFFFFF"/>
            <w:vAlign w:val="center"/>
            <w:hideMark/>
          </w:tcPr>
          <w:p w14:paraId="5B3491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AC854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Projektvendimi i Këshillit të Ministrave "Për miratimin e Strategjisë Ndërsektoriale Kundër Korrupsionit 2024 - 2030"</w:t>
            </w:r>
          </w:p>
        </w:tc>
        <w:tc>
          <w:tcPr>
            <w:tcW w:w="330" w:type="pct"/>
            <w:tcBorders>
              <w:top w:val="nil"/>
              <w:left w:val="nil"/>
              <w:bottom w:val="single" w:sz="4" w:space="0" w:color="auto"/>
              <w:right w:val="single" w:sz="4" w:space="0" w:color="auto"/>
            </w:tcBorders>
            <w:shd w:val="clear" w:color="FFFFFF" w:fill="FFFFFF"/>
            <w:vAlign w:val="center"/>
            <w:hideMark/>
          </w:tcPr>
          <w:p w14:paraId="426E20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Qasje tri-dimensionale,parandalim-ndëshkim-ndërgjegjësim, qasje sektoriale,sektorët kyc më të ndjeshëm të korrupsionit.</w:t>
            </w:r>
          </w:p>
        </w:tc>
        <w:tc>
          <w:tcPr>
            <w:tcW w:w="126" w:type="pct"/>
            <w:tcBorders>
              <w:top w:val="nil"/>
              <w:left w:val="nil"/>
              <w:bottom w:val="single" w:sz="4" w:space="0" w:color="auto"/>
              <w:right w:val="single" w:sz="4" w:space="0" w:color="auto"/>
            </w:tcBorders>
            <w:shd w:val="clear" w:color="FFFFFF" w:fill="FFFFFF"/>
            <w:vAlign w:val="center"/>
            <w:hideMark/>
          </w:tcPr>
          <w:p w14:paraId="15D514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A7879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6AC8F8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3B02C3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40F84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124FE9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AF64D7" w14:textId="29C7733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3,809.00 </w:t>
            </w:r>
          </w:p>
        </w:tc>
        <w:tc>
          <w:tcPr>
            <w:tcW w:w="126" w:type="pct"/>
            <w:tcBorders>
              <w:top w:val="nil"/>
              <w:left w:val="nil"/>
              <w:bottom w:val="single" w:sz="4" w:space="0" w:color="auto"/>
              <w:right w:val="single" w:sz="4" w:space="0" w:color="auto"/>
            </w:tcBorders>
            <w:shd w:val="clear" w:color="FFFFFF" w:fill="FFFFFF"/>
            <w:vAlign w:val="center"/>
            <w:hideMark/>
          </w:tcPr>
          <w:p w14:paraId="49BC5B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A0A78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EC9EF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3EE1C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D148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7CD34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9FFB8B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D37FA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178280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047D0C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Politikat kundër korrupsionit/Të drejtat e njeriut </w:t>
            </w:r>
          </w:p>
        </w:tc>
        <w:tc>
          <w:tcPr>
            <w:tcW w:w="171" w:type="pct"/>
            <w:tcBorders>
              <w:top w:val="nil"/>
              <w:left w:val="nil"/>
              <w:bottom w:val="single" w:sz="4" w:space="0" w:color="auto"/>
              <w:right w:val="single" w:sz="4" w:space="0" w:color="auto"/>
            </w:tcBorders>
            <w:shd w:val="clear" w:color="FFFFFF" w:fill="FFFFFF"/>
            <w:vAlign w:val="center"/>
            <w:hideMark/>
          </w:tcPr>
          <w:p w14:paraId="4C5F14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Kuadri Antikorrupsion /Lidhjet ndërmjet korrupsionit dhe fushave të tjera/ Masat për të luftuar racizmin dhe ksenofobinë, gjuhën e urrejtjes dhe krimin e urrejtjes</w:t>
            </w:r>
          </w:p>
        </w:tc>
        <w:tc>
          <w:tcPr>
            <w:tcW w:w="661" w:type="pct"/>
            <w:tcBorders>
              <w:top w:val="nil"/>
              <w:left w:val="nil"/>
              <w:bottom w:val="single" w:sz="4" w:space="0" w:color="auto"/>
              <w:right w:val="single" w:sz="4" w:space="0" w:color="auto"/>
            </w:tcBorders>
            <w:shd w:val="clear" w:color="FFFFFF" w:fill="FFFFFF"/>
            <w:vAlign w:val="center"/>
            <w:hideMark/>
          </w:tcPr>
          <w:p w14:paraId="76B515AF" w14:textId="683DD4A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1-Direktiva (BE) 2017/1371, e Parlamentit Evropian dhe e Këshillit, e 5 korrikut 2017, mbi luftën kundër mashtrimit ndaj interesave financiarë të Bashkimit me anë të ligjit penal; (Kap. 23)</w:t>
            </w:r>
            <w:r w:rsidRPr="006D6BE5">
              <w:rPr>
                <w:rFonts w:ascii="Arial" w:hAnsi="Arial" w:cs="Arial"/>
                <w:color w:val="000000"/>
                <w:sz w:val="4"/>
                <w:szCs w:val="8"/>
                <w:lang w:val="sq-AL"/>
              </w:rPr>
              <w:br/>
              <w:t>2-Direktiva (BE) 2015/849, e Parlamentit Evropian dhe e Këshillit, e 20 majit 2015, mbi parandalimin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përdorimit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sistemit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financiar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qëllime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pastrimit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ose financimit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terrorizmit,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duke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ndryshuar Rregulloren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648/2012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Parlamenti Evropian dhe i Këshillit dhe shfuqizimi i direktivës 2005/60/EC të Parlamentit Evropiandhe të Këshillit dhe direktivës së Këshillit dhe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2006/70/EC (teksti me rëndësi për EEA); (Kap. 23)</w:t>
            </w:r>
            <w:r w:rsidRPr="006D6BE5">
              <w:rPr>
                <w:rFonts w:ascii="Arial" w:hAnsi="Arial" w:cs="Arial"/>
                <w:color w:val="000000"/>
                <w:sz w:val="4"/>
                <w:szCs w:val="8"/>
                <w:lang w:val="sq-AL"/>
              </w:rPr>
              <w:br/>
              <w:t xml:space="preserve">3-Direktiva 2014/42/BE, e Parlamentit Evropian dhe e Këshillit, e 3 prillit 2014, mbi ngrirjendhe konfiskimin e instrumenteve dhe të ardhurave nga krimi në Bashkimin Evropian; (Kap. 23) </w:t>
            </w:r>
            <w:r w:rsidRPr="006D6BE5">
              <w:rPr>
                <w:rFonts w:ascii="Arial" w:hAnsi="Arial" w:cs="Arial"/>
                <w:color w:val="000000"/>
                <w:sz w:val="4"/>
                <w:szCs w:val="8"/>
                <w:lang w:val="sq-AL"/>
              </w:rPr>
              <w:br/>
              <w:t>4-Direktiva (BE) 2017/541, e Parlamentit Evropian dhe e Këshillit, e datës 15 mars 2017, mbi luftën kundër terrorizmit dhe zëvendësimin e vendimit Kornizë të Këshillit 2002/475/JHA dhe ndryshimin e vendimit të Këshillit 2005/671/JHA (Kap. 24);</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5-Direktiva 2014/62/BE, e Parlamentit Evropian dhe e Këshillit, e datës 15 maj 2014, mbi mbrojtjen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euros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monedhave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tjera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kundër falsifikimit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nga ligji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penal</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zëvendësimin e vendimit Kornizë të Këshillit 2000/383/JHA (Kap. 24);</w:t>
            </w:r>
            <w:r w:rsidRPr="006D6BE5">
              <w:rPr>
                <w:rFonts w:ascii="Arial" w:hAnsi="Arial" w:cs="Arial"/>
                <w:color w:val="000000"/>
                <w:sz w:val="4"/>
                <w:szCs w:val="8"/>
                <w:lang w:val="sq-AL"/>
              </w:rPr>
              <w:br/>
              <w:t>6-Direktiva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2011/36/BE,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Parlamentit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Evropian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Këshillit,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5</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mbiparandalimin dhe luftimin e trafikimit të qenieve njerëzore dhe mbrojtjen e viktimave të saj,dhe zëvendësimin e vendimit të Kuadrit të Këshillit 2002/629/JHA (Kap. 24); </w:t>
            </w:r>
            <w:r w:rsidRPr="006D6BE5">
              <w:rPr>
                <w:rFonts w:ascii="Arial" w:hAnsi="Arial" w:cs="Arial"/>
                <w:color w:val="000000"/>
                <w:sz w:val="4"/>
                <w:szCs w:val="8"/>
                <w:lang w:val="sq-AL"/>
              </w:rPr>
              <w:br/>
              <w:t xml:space="preserve">7-Direktiva 2011/93/BE, e Parlamentit Evropian dhe e Këshillit, e 13 dhjetorit 2011, mbiluftimin e abuzimit seksual dhe shfrytëzimit seksual të fëmijëve dhe pornografisë së fëmijëve, dhe zëvendësimin e vendimit Kornizë të Këshillit 2004/68/JHA (Kap. 24); </w:t>
            </w:r>
            <w:r w:rsidRPr="006D6BE5">
              <w:rPr>
                <w:rFonts w:ascii="Arial" w:hAnsi="Arial" w:cs="Arial"/>
                <w:color w:val="000000"/>
                <w:sz w:val="4"/>
                <w:szCs w:val="8"/>
                <w:lang w:val="sq-AL"/>
              </w:rPr>
              <w:br/>
              <w:t>8-Direktiva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2004/757/BE “Për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vendosjen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rregullave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minimum mbi elementet përbërëse të veprave penale dhe sanksioneve në fushën e trafikimit të drogës” (Kap. 24). </w:t>
            </w:r>
            <w:r w:rsidRPr="006D6BE5">
              <w:rPr>
                <w:rFonts w:ascii="Arial" w:hAnsi="Arial" w:cs="Arial"/>
                <w:color w:val="000000"/>
                <w:sz w:val="4"/>
                <w:szCs w:val="8"/>
                <w:lang w:val="sq-AL"/>
              </w:rPr>
              <w:br/>
              <w:t>9-Direktiva 2019/713/BE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Parlmentit Evropian dhe Këshillit mbi luftën kundër mashtrimit dhe falsifikimit të mjeteve të pagesave jo në të holla, e cila zëvendëson Vendimin Kuadër të Këshillit 2001/413;</w:t>
            </w:r>
            <w:r w:rsidRPr="006D6BE5">
              <w:rPr>
                <w:rFonts w:ascii="Arial" w:hAnsi="Arial" w:cs="Arial"/>
                <w:color w:val="000000"/>
                <w:sz w:val="4"/>
                <w:szCs w:val="8"/>
                <w:lang w:val="sq-AL"/>
              </w:rPr>
              <w:br/>
              <w:t>10-Direktiva 2013/40/BE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Paralamentit Evropian dhe Këshillit mbi sulmet kundër sistemeve informatike, e cila zëvendëson Vendimin Kuadër të Këshillit 2005/222;</w:t>
            </w:r>
            <w:r w:rsidRPr="006D6BE5">
              <w:rPr>
                <w:rFonts w:ascii="Arial" w:hAnsi="Arial" w:cs="Arial"/>
                <w:color w:val="000000"/>
                <w:sz w:val="4"/>
                <w:szCs w:val="8"/>
                <w:lang w:val="sq-AL"/>
              </w:rPr>
              <w:br/>
              <w:t>11-Vendimi Kuadër 2008/913</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mbi luftimin e formave dhe shprehjeve të caktuara të racizmit dhe ksenofobisë nëpërmjet mjeteve kriminale.</w:t>
            </w:r>
          </w:p>
        </w:tc>
        <w:tc>
          <w:tcPr>
            <w:tcW w:w="668" w:type="pct"/>
            <w:tcBorders>
              <w:top w:val="nil"/>
              <w:left w:val="nil"/>
              <w:bottom w:val="single" w:sz="4" w:space="0" w:color="auto"/>
              <w:right w:val="single" w:sz="4" w:space="0" w:color="auto"/>
            </w:tcBorders>
            <w:shd w:val="clear" w:color="FFFFFF" w:fill="FFFFFF"/>
            <w:vAlign w:val="center"/>
            <w:hideMark/>
          </w:tcPr>
          <w:p w14:paraId="1C0DCA5F" w14:textId="1EBA6F5B" w:rsidR="00482167" w:rsidRPr="006D6BE5" w:rsidRDefault="00482167" w:rsidP="00A7241A">
            <w:pPr>
              <w:rPr>
                <w:rFonts w:ascii="Arial" w:hAnsi="Arial" w:cs="Arial"/>
                <w:sz w:val="4"/>
                <w:szCs w:val="8"/>
                <w:lang w:val="sq-AL"/>
              </w:rPr>
            </w:pPr>
            <w:r w:rsidRPr="006D6BE5">
              <w:rPr>
                <w:rFonts w:ascii="Arial" w:hAnsi="Arial" w:cs="Arial"/>
                <w:sz w:val="4"/>
                <w:szCs w:val="8"/>
                <w:lang w:val="sq-AL"/>
              </w:rPr>
              <w:t>https://eur-lex.europa.eu/eli/dir/2017/1371/oj</w:t>
            </w:r>
            <w:r w:rsidR="006D6BE5">
              <w:rPr>
                <w:rFonts w:ascii="Arial" w:hAnsi="Arial" w:cs="Arial"/>
                <w:sz w:val="4"/>
                <w:szCs w:val="8"/>
                <w:lang w:val="sq-AL"/>
              </w:rPr>
              <w:t xml:space="preserve"> </w:t>
            </w:r>
            <w:r w:rsidRPr="006D6BE5">
              <w:rPr>
                <w:rFonts w:ascii="Arial" w:hAnsi="Arial" w:cs="Arial"/>
                <w:sz w:val="4"/>
                <w:szCs w:val="8"/>
                <w:lang w:val="sq-AL"/>
              </w:rPr>
              <w:br/>
              <w:t xml:space="preserve">https://eur-lex.europa.eu/eli/dir/2015/849/oj </w:t>
            </w:r>
            <w:r w:rsidRPr="006D6BE5">
              <w:rPr>
                <w:rFonts w:ascii="Arial" w:hAnsi="Arial" w:cs="Arial"/>
                <w:sz w:val="4"/>
                <w:szCs w:val="8"/>
                <w:lang w:val="sq-AL"/>
              </w:rPr>
              <w:br/>
              <w:t>https://eur-lex.europa.eu/eli/dir/2014/42/oj</w:t>
            </w:r>
            <w:r w:rsidR="006D6BE5">
              <w:rPr>
                <w:rFonts w:ascii="Arial" w:hAnsi="Arial" w:cs="Arial"/>
                <w:sz w:val="4"/>
                <w:szCs w:val="8"/>
                <w:lang w:val="sq-AL"/>
              </w:rPr>
              <w:t xml:space="preserve">   </w:t>
            </w:r>
            <w:r w:rsidRPr="006D6BE5">
              <w:rPr>
                <w:rFonts w:ascii="Arial" w:hAnsi="Arial" w:cs="Arial"/>
                <w:sz w:val="4"/>
                <w:szCs w:val="8"/>
                <w:lang w:val="sq-AL"/>
              </w:rPr>
              <w:br/>
              <w:t>https://eur-lex.europa.eu/eli/dir/2017/541/oj</w:t>
            </w:r>
            <w:r w:rsidR="006D6BE5">
              <w:rPr>
                <w:rFonts w:ascii="Arial" w:hAnsi="Arial" w:cs="Arial"/>
                <w:sz w:val="4"/>
                <w:szCs w:val="8"/>
                <w:lang w:val="sq-AL"/>
              </w:rPr>
              <w:t xml:space="preserve">    </w:t>
            </w:r>
            <w:r w:rsidRPr="006D6BE5">
              <w:rPr>
                <w:rFonts w:ascii="Arial" w:hAnsi="Arial" w:cs="Arial"/>
                <w:sz w:val="4"/>
                <w:szCs w:val="8"/>
                <w:lang w:val="sq-AL"/>
              </w:rPr>
              <w:br/>
              <w:t>https://eur-lex.europa.eu/eli/dir/2014/62/oj</w:t>
            </w:r>
            <w:r w:rsidR="006D6BE5">
              <w:rPr>
                <w:rFonts w:ascii="Arial" w:hAnsi="Arial" w:cs="Arial"/>
                <w:sz w:val="4"/>
                <w:szCs w:val="8"/>
                <w:lang w:val="sq-AL"/>
              </w:rPr>
              <w:t xml:space="preserve">       </w:t>
            </w:r>
            <w:r w:rsidRPr="006D6BE5">
              <w:rPr>
                <w:rFonts w:ascii="Arial" w:hAnsi="Arial" w:cs="Arial"/>
                <w:sz w:val="4"/>
                <w:szCs w:val="8"/>
                <w:lang w:val="sq-AL"/>
              </w:rPr>
              <w:t xml:space="preserve"> </w:t>
            </w:r>
            <w:r w:rsidRPr="006D6BE5">
              <w:rPr>
                <w:rFonts w:ascii="Arial" w:hAnsi="Arial" w:cs="Arial"/>
                <w:sz w:val="4"/>
                <w:szCs w:val="8"/>
                <w:lang w:val="sq-AL"/>
              </w:rPr>
              <w:br/>
              <w:t>https://eur-lex.europa.eu/eli/dir/2011/36/oj</w:t>
            </w:r>
            <w:r w:rsidR="006D6BE5">
              <w:rPr>
                <w:rFonts w:ascii="Arial" w:hAnsi="Arial" w:cs="Arial"/>
                <w:sz w:val="4"/>
                <w:szCs w:val="8"/>
                <w:lang w:val="sq-AL"/>
              </w:rPr>
              <w:t xml:space="preserve">    </w:t>
            </w:r>
            <w:r w:rsidRPr="006D6BE5">
              <w:rPr>
                <w:rFonts w:ascii="Arial" w:hAnsi="Arial" w:cs="Arial"/>
                <w:sz w:val="4"/>
                <w:szCs w:val="8"/>
                <w:lang w:val="sq-AL"/>
              </w:rPr>
              <w:t xml:space="preserve"> </w:t>
            </w:r>
            <w:r w:rsidRPr="006D6BE5">
              <w:rPr>
                <w:rFonts w:ascii="Arial" w:hAnsi="Arial" w:cs="Arial"/>
                <w:sz w:val="4"/>
                <w:szCs w:val="8"/>
                <w:lang w:val="sq-AL"/>
              </w:rPr>
              <w:br/>
              <w:t xml:space="preserve">https://eur-lex.europa.eu/eli/dir/2011/93/oj </w:t>
            </w:r>
            <w:r w:rsidRPr="006D6BE5">
              <w:rPr>
                <w:rFonts w:ascii="Arial" w:hAnsi="Arial" w:cs="Arial"/>
                <w:sz w:val="4"/>
                <w:szCs w:val="8"/>
                <w:lang w:val="sq-AL"/>
              </w:rPr>
              <w:br/>
              <w:t>https://eur-lex.europa.eu/eli/dec_framw/2004/757/2022-08-18</w:t>
            </w:r>
            <w:r w:rsidR="006D6BE5">
              <w:rPr>
                <w:rFonts w:ascii="Arial" w:hAnsi="Arial" w:cs="Arial"/>
                <w:sz w:val="4"/>
                <w:szCs w:val="8"/>
                <w:lang w:val="sq-AL"/>
              </w:rPr>
              <w:t xml:space="preserve"> </w:t>
            </w:r>
            <w:r w:rsidRPr="006D6BE5">
              <w:rPr>
                <w:rFonts w:ascii="Arial" w:hAnsi="Arial" w:cs="Arial"/>
                <w:sz w:val="4"/>
                <w:szCs w:val="8"/>
                <w:lang w:val="sq-AL"/>
              </w:rPr>
              <w:br/>
              <w:t>https://eur-lex.europa.eu/eli/dir/2019/713/oj</w:t>
            </w:r>
            <w:r w:rsidR="006D6BE5">
              <w:rPr>
                <w:rFonts w:ascii="Arial" w:hAnsi="Arial" w:cs="Arial"/>
                <w:sz w:val="4"/>
                <w:szCs w:val="8"/>
                <w:lang w:val="sq-AL"/>
              </w:rPr>
              <w:t xml:space="preserve"> </w:t>
            </w:r>
            <w:r w:rsidRPr="006D6BE5">
              <w:rPr>
                <w:rFonts w:ascii="Arial" w:hAnsi="Arial" w:cs="Arial"/>
                <w:sz w:val="4"/>
                <w:szCs w:val="8"/>
                <w:lang w:val="sq-AL"/>
              </w:rPr>
              <w:br/>
              <w:t>https://eur-lex.europa.eu/eli/dir/2013/40/oj</w:t>
            </w:r>
            <w:r w:rsidR="006D6BE5">
              <w:rPr>
                <w:rFonts w:ascii="Arial" w:hAnsi="Arial" w:cs="Arial"/>
                <w:sz w:val="4"/>
                <w:szCs w:val="8"/>
                <w:lang w:val="sq-AL"/>
              </w:rPr>
              <w:t xml:space="preserve"> </w:t>
            </w:r>
            <w:r w:rsidRPr="006D6BE5">
              <w:rPr>
                <w:rFonts w:ascii="Arial" w:hAnsi="Arial" w:cs="Arial"/>
                <w:sz w:val="4"/>
                <w:szCs w:val="8"/>
                <w:lang w:val="sq-AL"/>
              </w:rPr>
              <w:br/>
              <w:t>https://eur-lex.europa.eu/eli/dec_framw/2008/913/oj</w:t>
            </w:r>
          </w:p>
        </w:tc>
        <w:tc>
          <w:tcPr>
            <w:tcW w:w="506" w:type="pct"/>
            <w:tcBorders>
              <w:top w:val="nil"/>
              <w:left w:val="nil"/>
              <w:bottom w:val="single" w:sz="4" w:space="0" w:color="auto"/>
              <w:right w:val="single" w:sz="4" w:space="0" w:color="auto"/>
            </w:tcBorders>
            <w:shd w:val="clear" w:color="FFFFFF" w:fill="FFFFFF"/>
            <w:vAlign w:val="center"/>
            <w:hideMark/>
          </w:tcPr>
          <w:p w14:paraId="581952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E76A8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miratimin e Kodit Penal të Republikës së Shqipërisë”</w:t>
            </w:r>
          </w:p>
        </w:tc>
        <w:tc>
          <w:tcPr>
            <w:tcW w:w="330" w:type="pct"/>
            <w:tcBorders>
              <w:top w:val="nil"/>
              <w:left w:val="nil"/>
              <w:bottom w:val="single" w:sz="4" w:space="0" w:color="auto"/>
              <w:right w:val="single" w:sz="4" w:space="0" w:color="auto"/>
            </w:tcBorders>
            <w:shd w:val="clear" w:color="FFFFFF" w:fill="FFFFFF"/>
            <w:vAlign w:val="center"/>
            <w:hideMark/>
          </w:tcPr>
          <w:p w14:paraId="091A5D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Vepra kriminale në lidhje me luftën kundër mashtrimit, terrorizmit, trafikut të drogës, shfrytëzimit të fëmijëve, falsifikimit të monedhave, falsifikimit të mjeteve të pagesave, racizmit dhe ksenofobisë. Rishikimi i terminologjisë dhe elementeve që lidhen me sanksionet proporcionale. Përafrimi i legjislacionit në lidhje me përgjegjësinë penale të personave juridik. Dispozita për sanksione parandaluese në përputhje me acquis të BE-së dhe Konventën e OKB-së kundër korrupsionit.</w:t>
            </w:r>
            <w:r w:rsidRPr="006D6BE5">
              <w:rPr>
                <w:rFonts w:ascii="Arial" w:hAnsi="Arial" w:cs="Arial"/>
                <w:color w:val="000000"/>
                <w:sz w:val="4"/>
                <w:szCs w:val="8"/>
                <w:lang w:val="sq-AL"/>
              </w:rPr>
              <w:br/>
              <w:t>Shqyrtimi i veprës penale të shpifjes sipas standardeve të BE-së.</w:t>
            </w:r>
            <w:r w:rsidRPr="006D6BE5">
              <w:rPr>
                <w:rFonts w:ascii="Arial" w:hAnsi="Arial" w:cs="Arial"/>
                <w:color w:val="000000"/>
                <w:sz w:val="4"/>
                <w:szCs w:val="8"/>
                <w:lang w:val="sq-AL"/>
              </w:rPr>
              <w:br/>
              <w:t>Rishikimi i veprave penale në lidhje me gjuhën e urrejtjes dhe krimet e urrejtjes Rishikimi i përkufizimit të përdhunimit.</w:t>
            </w:r>
            <w:r w:rsidRPr="006D6BE5">
              <w:rPr>
                <w:rFonts w:ascii="Arial" w:hAnsi="Arial" w:cs="Arial"/>
                <w:color w:val="000000"/>
                <w:sz w:val="4"/>
                <w:szCs w:val="8"/>
                <w:lang w:val="sq-AL"/>
              </w:rPr>
              <w:br/>
              <w:t>Rishikimi i veprës penale të organizimit dhe pjesëmarrjes në tubime dhe demonstrata të paligjshme” sipas vendimit nr.24/2021 të Gjykatës Kushtetuese.</w:t>
            </w:r>
          </w:p>
        </w:tc>
        <w:tc>
          <w:tcPr>
            <w:tcW w:w="126" w:type="pct"/>
            <w:tcBorders>
              <w:top w:val="nil"/>
              <w:left w:val="nil"/>
              <w:bottom w:val="single" w:sz="4" w:space="0" w:color="auto"/>
              <w:right w:val="single" w:sz="4" w:space="0" w:color="auto"/>
            </w:tcBorders>
            <w:shd w:val="clear" w:color="FFFFFF" w:fill="FFFFFF"/>
            <w:vAlign w:val="center"/>
            <w:hideMark/>
          </w:tcPr>
          <w:p w14:paraId="5371BE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DA066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D91B3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79AD9A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40FAD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88D63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337C7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29.364</w:t>
            </w:r>
          </w:p>
        </w:tc>
        <w:tc>
          <w:tcPr>
            <w:tcW w:w="126" w:type="pct"/>
            <w:tcBorders>
              <w:top w:val="nil"/>
              <w:left w:val="nil"/>
              <w:bottom w:val="single" w:sz="4" w:space="0" w:color="auto"/>
              <w:right w:val="single" w:sz="4" w:space="0" w:color="auto"/>
            </w:tcBorders>
            <w:shd w:val="clear" w:color="FFFFFF" w:fill="FFFFFF"/>
            <w:vAlign w:val="center"/>
            <w:hideMark/>
          </w:tcPr>
          <w:p w14:paraId="2DDE76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A79E9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1F3A3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C47C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EDE92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BB501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DC5273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25E4B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2677D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5E0CA9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26DC6C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të dhënave personale</w:t>
            </w:r>
          </w:p>
        </w:tc>
        <w:tc>
          <w:tcPr>
            <w:tcW w:w="661" w:type="pct"/>
            <w:tcBorders>
              <w:top w:val="nil"/>
              <w:left w:val="nil"/>
              <w:bottom w:val="single" w:sz="4" w:space="0" w:color="auto"/>
              <w:right w:val="single" w:sz="4" w:space="0" w:color="auto"/>
            </w:tcBorders>
            <w:shd w:val="clear" w:color="FFFFFF" w:fill="FFFFFF"/>
            <w:vAlign w:val="center"/>
            <w:hideMark/>
          </w:tcPr>
          <w:p w14:paraId="713C658F" w14:textId="7E77A51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Rregullorja (BE) 2016/679, e Parlamentit Evropian dhe e Këshillit, e 27 prillit 2016, mbi mbrojtjen e personave fizikë, në lidhje me përpunimin e të dhënave personale dhe lëvizjen e lirë të të dhënave të tilla, dhe shfuqizimin e direktivës 95/46/EC (Rregullorja e Përgjithshme e Mbrojtjes së të Dhënave) (FZ L119 i 4 majit 2016, f. 1);</w:t>
            </w:r>
            <w:r w:rsidRPr="006D6BE5">
              <w:rPr>
                <w:rFonts w:ascii="Arial" w:hAnsi="Arial" w:cs="Arial"/>
                <w:color w:val="000000"/>
                <w:sz w:val="4"/>
                <w:szCs w:val="8"/>
                <w:lang w:val="sq-AL"/>
              </w:rPr>
              <w:br/>
              <w:t xml:space="preserve"> 2. Direktiva (BE) 2016/680, e Parlamentit Evropian dhe e Këshillit, e datës 27 prill 2016, “'Mbi mbrojtjen e personave fizikë, në lidhje me përpunimin e të dhënave personale nga autoritetet kompetente me qëllim parandalimin, hetimin, zbulimin ose ndjekjen penale të veprave penale ose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ekzekutimin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dënimeve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penale,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mbi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lëvizjen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lirë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dhënave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tilla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shfuqizimi i vendimit Kornizë të Këshillit 2008/977/JHA (FZ L119, i 4 majit 2016, f. 89).</w:t>
            </w:r>
          </w:p>
        </w:tc>
        <w:tc>
          <w:tcPr>
            <w:tcW w:w="668" w:type="pct"/>
            <w:tcBorders>
              <w:top w:val="nil"/>
              <w:left w:val="nil"/>
              <w:bottom w:val="single" w:sz="4" w:space="0" w:color="auto"/>
              <w:right w:val="single" w:sz="4" w:space="0" w:color="auto"/>
            </w:tcBorders>
            <w:shd w:val="clear" w:color="FFFFFF" w:fill="FFFFFF"/>
            <w:vAlign w:val="center"/>
            <w:hideMark/>
          </w:tcPr>
          <w:p w14:paraId="35111C15" w14:textId="07934B12" w:rsidR="00482167" w:rsidRPr="006D6BE5" w:rsidRDefault="00482167" w:rsidP="00A7241A">
            <w:pPr>
              <w:rPr>
                <w:rFonts w:ascii="Arial" w:hAnsi="Arial" w:cs="Arial"/>
                <w:sz w:val="4"/>
                <w:szCs w:val="8"/>
                <w:lang w:val="sq-AL"/>
              </w:rPr>
            </w:pPr>
            <w:r w:rsidRPr="006D6BE5">
              <w:rPr>
                <w:rFonts w:ascii="Arial" w:hAnsi="Arial" w:cs="Arial"/>
                <w:sz w:val="4"/>
                <w:szCs w:val="8"/>
                <w:lang w:val="sq-AL"/>
              </w:rPr>
              <w:t>https://eur-lex.europa.eu/eli/reg/2016/679/oj</w:t>
            </w:r>
            <w:r w:rsidR="006D6BE5">
              <w:rPr>
                <w:rFonts w:ascii="Arial" w:hAnsi="Arial" w:cs="Arial"/>
                <w:sz w:val="4"/>
                <w:szCs w:val="8"/>
                <w:lang w:val="sq-AL"/>
              </w:rPr>
              <w:t xml:space="preserve"> </w:t>
            </w:r>
            <w:r w:rsidRPr="006D6BE5">
              <w:rPr>
                <w:rFonts w:ascii="Arial" w:hAnsi="Arial" w:cs="Arial"/>
                <w:sz w:val="4"/>
                <w:szCs w:val="8"/>
                <w:lang w:val="sq-AL"/>
              </w:rPr>
              <w:br/>
              <w:t xml:space="preserve">https://eur-lex.europa.eu/legal-content/EN/TXT/?uri=celex%3A32016L0680 </w:t>
            </w:r>
          </w:p>
        </w:tc>
        <w:tc>
          <w:tcPr>
            <w:tcW w:w="506" w:type="pct"/>
            <w:tcBorders>
              <w:top w:val="nil"/>
              <w:left w:val="nil"/>
              <w:bottom w:val="single" w:sz="4" w:space="0" w:color="auto"/>
              <w:right w:val="single" w:sz="4" w:space="0" w:color="auto"/>
            </w:tcBorders>
            <w:shd w:val="clear" w:color="FFFFFF" w:fill="FFFFFF"/>
            <w:vAlign w:val="center"/>
            <w:hideMark/>
          </w:tcPr>
          <w:p w14:paraId="6C6F12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C1D97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mbrojtjen e të dhënave personale"</w:t>
            </w:r>
          </w:p>
        </w:tc>
        <w:tc>
          <w:tcPr>
            <w:tcW w:w="330" w:type="pct"/>
            <w:tcBorders>
              <w:top w:val="nil"/>
              <w:left w:val="nil"/>
              <w:bottom w:val="single" w:sz="4" w:space="0" w:color="auto"/>
              <w:right w:val="single" w:sz="4" w:space="0" w:color="auto"/>
            </w:tcBorders>
            <w:shd w:val="clear" w:color="FFFFFF" w:fill="FFFFFF"/>
            <w:vAlign w:val="center"/>
            <w:hideMark/>
          </w:tcPr>
          <w:p w14:paraId="16524A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dhëna personale, përpunim të dhënash, liria e lëvizjes së të dhënave.</w:t>
            </w:r>
          </w:p>
        </w:tc>
        <w:tc>
          <w:tcPr>
            <w:tcW w:w="126" w:type="pct"/>
            <w:tcBorders>
              <w:top w:val="nil"/>
              <w:left w:val="nil"/>
              <w:bottom w:val="single" w:sz="4" w:space="0" w:color="auto"/>
              <w:right w:val="single" w:sz="4" w:space="0" w:color="auto"/>
            </w:tcBorders>
            <w:shd w:val="clear" w:color="FFFFFF" w:fill="FFFFFF"/>
            <w:vAlign w:val="center"/>
            <w:hideMark/>
          </w:tcPr>
          <w:p w14:paraId="6E1350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6091B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66A8C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50AF51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0E2E0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ADB8C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3A387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4.195</w:t>
            </w:r>
          </w:p>
        </w:tc>
        <w:tc>
          <w:tcPr>
            <w:tcW w:w="126" w:type="pct"/>
            <w:tcBorders>
              <w:top w:val="nil"/>
              <w:left w:val="nil"/>
              <w:bottom w:val="single" w:sz="4" w:space="0" w:color="auto"/>
              <w:right w:val="single" w:sz="4" w:space="0" w:color="auto"/>
            </w:tcBorders>
            <w:shd w:val="clear" w:color="FFFFFF" w:fill="FFFFFF"/>
            <w:vAlign w:val="center"/>
            <w:hideMark/>
          </w:tcPr>
          <w:p w14:paraId="1393EA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C9A74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C8551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196DF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408F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61F67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3C10E5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F7D95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2FE90E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1AE0F8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439F35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4DD4D322" w14:textId="605DEA2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2010/64/BE e Parlamentit Evropian dhe e Këshillit e datës 20 tetor 2010 mbi të drejtën e interpretimit dhe përkthimit në procesin penal;</w:t>
            </w:r>
            <w:r w:rsidR="006D6BE5">
              <w:rPr>
                <w:rFonts w:ascii="Arial" w:hAnsi="Arial" w:cs="Arial"/>
                <w:color w:val="000000"/>
                <w:sz w:val="4"/>
                <w:szCs w:val="8"/>
                <w:lang w:val="sq-AL"/>
              </w:rPr>
              <w:t xml:space="preserve"> </w:t>
            </w:r>
          </w:p>
        </w:tc>
        <w:tc>
          <w:tcPr>
            <w:tcW w:w="668" w:type="pct"/>
            <w:tcBorders>
              <w:top w:val="nil"/>
              <w:left w:val="nil"/>
              <w:bottom w:val="single" w:sz="4" w:space="0" w:color="auto"/>
              <w:right w:val="single" w:sz="4" w:space="0" w:color="auto"/>
            </w:tcBorders>
            <w:shd w:val="clear" w:color="auto" w:fill="auto"/>
            <w:vAlign w:val="center"/>
            <w:hideMark/>
          </w:tcPr>
          <w:p w14:paraId="78B49272" w14:textId="475620DD" w:rsidR="00482167" w:rsidRPr="006D6BE5" w:rsidRDefault="00E63D69" w:rsidP="00A7241A">
            <w:pPr>
              <w:rPr>
                <w:rFonts w:ascii="Arial" w:hAnsi="Arial" w:cs="Arial"/>
                <w:color w:val="0563C1"/>
                <w:sz w:val="4"/>
                <w:szCs w:val="8"/>
                <w:u w:val="single"/>
                <w:lang w:val="sq-AL"/>
              </w:rPr>
            </w:pPr>
            <w:hyperlink r:id="rId14" w:history="1">
              <w:r w:rsidR="00482167" w:rsidRPr="006D6BE5">
                <w:rPr>
                  <w:rFonts w:ascii="Arial" w:hAnsi="Arial" w:cs="Arial"/>
                  <w:color w:val="0563C1"/>
                  <w:sz w:val="4"/>
                  <w:szCs w:val="8"/>
                  <w:u w:val="single"/>
                  <w:lang w:val="sq-AL"/>
                </w:rPr>
                <w:t>https://eur-lex.europa.eu/legal-content/EN/TXT/?uri=celex%3A32010L0064</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42630A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C87C7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82/2021 “Për përkthimin zyrtar dhe profesionin e përkthyesit zyrtar”</w:t>
            </w:r>
          </w:p>
        </w:tc>
        <w:tc>
          <w:tcPr>
            <w:tcW w:w="330" w:type="pct"/>
            <w:tcBorders>
              <w:top w:val="nil"/>
              <w:left w:val="nil"/>
              <w:bottom w:val="single" w:sz="4" w:space="0" w:color="auto"/>
              <w:right w:val="single" w:sz="4" w:space="0" w:color="auto"/>
            </w:tcBorders>
            <w:shd w:val="clear" w:color="FFFFFF" w:fill="FFFFFF"/>
            <w:vAlign w:val="center"/>
            <w:hideMark/>
          </w:tcPr>
          <w:p w14:paraId="2FF14F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Përkthim zyrtar, përkthyes, proces penal, e drejta e interpretimit.</w:t>
            </w:r>
          </w:p>
        </w:tc>
        <w:tc>
          <w:tcPr>
            <w:tcW w:w="126" w:type="pct"/>
            <w:tcBorders>
              <w:top w:val="nil"/>
              <w:left w:val="nil"/>
              <w:bottom w:val="single" w:sz="4" w:space="0" w:color="auto"/>
              <w:right w:val="single" w:sz="4" w:space="0" w:color="auto"/>
            </w:tcBorders>
            <w:shd w:val="clear" w:color="FFFFFF" w:fill="FFFFFF"/>
            <w:vAlign w:val="center"/>
            <w:hideMark/>
          </w:tcPr>
          <w:p w14:paraId="577C5F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96DFD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BA413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109CB2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68259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1A3DC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653D8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4.363</w:t>
            </w:r>
          </w:p>
        </w:tc>
        <w:tc>
          <w:tcPr>
            <w:tcW w:w="126" w:type="pct"/>
            <w:tcBorders>
              <w:top w:val="nil"/>
              <w:left w:val="nil"/>
              <w:bottom w:val="single" w:sz="4" w:space="0" w:color="auto"/>
              <w:right w:val="single" w:sz="4" w:space="0" w:color="auto"/>
            </w:tcBorders>
            <w:shd w:val="clear" w:color="FFFFFF" w:fill="FFFFFF"/>
            <w:vAlign w:val="center"/>
            <w:hideMark/>
          </w:tcPr>
          <w:p w14:paraId="09ACCD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55D20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0BD56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A608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E924F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E0C2A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DE3E40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050FF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0E7996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699FF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381DF1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6FBFAF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2016/1919/BE e Parlamentit Evropian dhe e Këshillit e datës 26 tetor 2016 për ndihmën juridike për të dyshuarit dhe personat e akuzuar në procedurat penale dhe për personat e kërkuar në procedurën e arrestit evropian. </w:t>
            </w:r>
          </w:p>
        </w:tc>
        <w:tc>
          <w:tcPr>
            <w:tcW w:w="668" w:type="pct"/>
            <w:tcBorders>
              <w:top w:val="nil"/>
              <w:left w:val="nil"/>
              <w:bottom w:val="single" w:sz="4" w:space="0" w:color="auto"/>
              <w:right w:val="single" w:sz="4" w:space="0" w:color="auto"/>
            </w:tcBorders>
            <w:shd w:val="clear" w:color="auto" w:fill="auto"/>
            <w:vAlign w:val="center"/>
            <w:hideMark/>
          </w:tcPr>
          <w:p w14:paraId="27C563B7" w14:textId="4518FDB4" w:rsidR="00482167" w:rsidRPr="006D6BE5" w:rsidRDefault="00E63D69" w:rsidP="00A7241A">
            <w:pPr>
              <w:rPr>
                <w:rFonts w:ascii="Arial" w:hAnsi="Arial" w:cs="Arial"/>
                <w:color w:val="0563C1"/>
                <w:sz w:val="4"/>
                <w:szCs w:val="8"/>
                <w:u w:val="single"/>
                <w:lang w:val="sq-AL"/>
              </w:rPr>
            </w:pPr>
            <w:hyperlink r:id="rId15" w:history="1">
              <w:r w:rsidR="00482167" w:rsidRPr="006D6BE5">
                <w:rPr>
                  <w:rFonts w:ascii="Arial" w:hAnsi="Arial" w:cs="Arial"/>
                  <w:color w:val="0563C1"/>
                  <w:sz w:val="4"/>
                  <w:szCs w:val="8"/>
                  <w:u w:val="single"/>
                  <w:lang w:val="sq-AL"/>
                </w:rPr>
                <w:t>https://eur-lex.europa.eu/legal-content/EN/TXT/?uri=CELEX%3A02016L1919-20161104</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5A8F21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00E74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111/2017 “Për ndihmën juridike të garantuar nga shteti”</w:t>
            </w:r>
          </w:p>
        </w:tc>
        <w:tc>
          <w:tcPr>
            <w:tcW w:w="330" w:type="pct"/>
            <w:tcBorders>
              <w:top w:val="nil"/>
              <w:left w:val="nil"/>
              <w:bottom w:val="single" w:sz="4" w:space="0" w:color="auto"/>
              <w:right w:val="single" w:sz="4" w:space="0" w:color="auto"/>
            </w:tcBorders>
            <w:shd w:val="clear" w:color="FFFFFF" w:fill="FFFFFF"/>
            <w:vAlign w:val="center"/>
            <w:hideMark/>
          </w:tcPr>
          <w:p w14:paraId="058704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Ndihma juridike, procedurat penale, procedura e arrestit evropian, personat e akuzuar, personat e dyshuar.</w:t>
            </w:r>
          </w:p>
        </w:tc>
        <w:tc>
          <w:tcPr>
            <w:tcW w:w="126" w:type="pct"/>
            <w:tcBorders>
              <w:top w:val="nil"/>
              <w:left w:val="nil"/>
              <w:bottom w:val="single" w:sz="4" w:space="0" w:color="auto"/>
              <w:right w:val="single" w:sz="4" w:space="0" w:color="auto"/>
            </w:tcBorders>
            <w:shd w:val="clear" w:color="FFFFFF" w:fill="FFFFFF"/>
            <w:vAlign w:val="center"/>
            <w:hideMark/>
          </w:tcPr>
          <w:p w14:paraId="27C433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CFBC4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1BBC4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2B686C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6013EF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7D52F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88806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57855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46F81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6.194</w:t>
            </w:r>
          </w:p>
        </w:tc>
        <w:tc>
          <w:tcPr>
            <w:tcW w:w="129" w:type="pct"/>
            <w:tcBorders>
              <w:top w:val="nil"/>
              <w:left w:val="nil"/>
              <w:bottom w:val="single" w:sz="4" w:space="0" w:color="auto"/>
              <w:right w:val="single" w:sz="4" w:space="0" w:color="auto"/>
            </w:tcBorders>
            <w:shd w:val="clear" w:color="FFFFFF" w:fill="FFFFFF"/>
            <w:vAlign w:val="center"/>
            <w:hideMark/>
          </w:tcPr>
          <w:p w14:paraId="14BBF5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9BEE6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BAF50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FB3C0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7B9689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AAF5C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2470D5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17CE0D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56D574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55E00848" w14:textId="508DF44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1-Direktiva 2010/64/BE e Parlamentit Evropian dhe e Këshillit e datës 20 tetor 2010 mbi të drejtën e interpretimit dhe përkthimit në procesin penal;</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2-Direktiva 2012/13/BE e Parlamentit Evropian dhe e Këshillit e datës 22 maj 2012 mbi të drejtën e informimit në procesin penal;</w:t>
            </w:r>
            <w:r w:rsidRPr="006D6BE5">
              <w:rPr>
                <w:rFonts w:ascii="Arial" w:hAnsi="Arial" w:cs="Arial"/>
                <w:color w:val="000000"/>
                <w:sz w:val="4"/>
                <w:szCs w:val="8"/>
                <w:lang w:val="sq-AL"/>
              </w:rPr>
              <w:br/>
              <w:t>3-Direktiva 2013/48/BE e Parlamentit Evropian dhe e Këshillit mbi të drejtën e aksesit ndaj një avokati në procesin penal dhe procedurat e urdhrit evropian të arrestit dhe për të drejtat e një pale të tretë që ka informuar privimin e lirisë dhe komunikimin me të tretët dhe me autoritete konsullore në rastet që i është hequr liria;</w:t>
            </w:r>
            <w:r w:rsidRPr="006D6BE5">
              <w:rPr>
                <w:rFonts w:ascii="Arial" w:hAnsi="Arial" w:cs="Arial"/>
                <w:color w:val="000000"/>
                <w:sz w:val="4"/>
                <w:szCs w:val="8"/>
                <w:lang w:val="sq-AL"/>
              </w:rPr>
              <w:br/>
              <w:t>4-Direktiva 2016/343/BE për forcimin e disa aspekteve të prezumimit të pafajësisë dhe të drejtës për të qenë i pranishëm në gjykim;</w:t>
            </w:r>
            <w:r w:rsidRPr="006D6BE5">
              <w:rPr>
                <w:rFonts w:ascii="Arial" w:hAnsi="Arial" w:cs="Arial"/>
                <w:color w:val="000000"/>
                <w:sz w:val="4"/>
                <w:szCs w:val="8"/>
                <w:lang w:val="sq-AL"/>
              </w:rPr>
              <w:br/>
              <w:t xml:space="preserve">5-Direktiva 2016/800/BE mbi masat mbrojtëse procedurale për fëmijët që janë të dyshuar dhe të akuzuar në procesin penal; </w:t>
            </w:r>
            <w:r w:rsidRPr="006D6BE5">
              <w:rPr>
                <w:rFonts w:ascii="Arial" w:hAnsi="Arial" w:cs="Arial"/>
                <w:color w:val="000000"/>
                <w:sz w:val="4"/>
                <w:szCs w:val="8"/>
                <w:lang w:val="sq-AL"/>
              </w:rPr>
              <w:br/>
              <w:t xml:space="preserve">6- Direktiva 2016/1919/BE e Parlamentit Evropian dhe e Këshillit e datës 26 tetor 2016 për ndihmën juridike për të dyshuarit dhe personat e akuzuar në procedurat penale dhe për personat e kërkuar në procedurën e arrestit evropian. </w:t>
            </w:r>
          </w:p>
        </w:tc>
        <w:tc>
          <w:tcPr>
            <w:tcW w:w="668" w:type="pct"/>
            <w:tcBorders>
              <w:top w:val="nil"/>
              <w:left w:val="nil"/>
              <w:bottom w:val="single" w:sz="4" w:space="0" w:color="auto"/>
              <w:right w:val="single" w:sz="4" w:space="0" w:color="auto"/>
            </w:tcBorders>
            <w:shd w:val="clear" w:color="FFFFFF" w:fill="FFFFFF"/>
            <w:vAlign w:val="center"/>
            <w:hideMark/>
          </w:tcPr>
          <w:p w14:paraId="0EAAA31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https://eur-lex.europa.eu/legal-content/EN/TXT/?uri=celex%3A32010L0064 </w:t>
            </w:r>
            <w:r w:rsidRPr="006D6BE5">
              <w:rPr>
                <w:rFonts w:ascii="Arial" w:hAnsi="Arial" w:cs="Arial"/>
                <w:sz w:val="4"/>
                <w:szCs w:val="8"/>
                <w:lang w:val="sq-AL"/>
              </w:rPr>
              <w:br/>
              <w:t xml:space="preserve">https://eur-lex.europa.eu/legal-content/EN/TXT/?uri=celex%3A32012L0013 </w:t>
            </w:r>
            <w:r w:rsidRPr="006D6BE5">
              <w:rPr>
                <w:rFonts w:ascii="Arial" w:hAnsi="Arial" w:cs="Arial"/>
                <w:sz w:val="4"/>
                <w:szCs w:val="8"/>
                <w:lang w:val="sq-AL"/>
              </w:rPr>
              <w:br/>
              <w:t xml:space="preserve">https://eur-lex.europa.eu/legal-content/EN/TXT/?uri=celex%3A32013L0048 </w:t>
            </w:r>
            <w:r w:rsidRPr="006D6BE5">
              <w:rPr>
                <w:rFonts w:ascii="Arial" w:hAnsi="Arial" w:cs="Arial"/>
                <w:sz w:val="4"/>
                <w:szCs w:val="8"/>
                <w:lang w:val="sq-AL"/>
              </w:rPr>
              <w:br/>
              <w:t xml:space="preserve">https://eur-lex.europa.eu/legal-content/EN/TXT/?uri=celex%3A32016L0343 </w:t>
            </w:r>
            <w:r w:rsidRPr="006D6BE5">
              <w:rPr>
                <w:rFonts w:ascii="Arial" w:hAnsi="Arial" w:cs="Arial"/>
                <w:sz w:val="4"/>
                <w:szCs w:val="8"/>
                <w:lang w:val="sq-AL"/>
              </w:rPr>
              <w:br/>
              <w:t xml:space="preserve">https://eur-lex.europa.eu/legal-content/EN/TXT/?uri=CELEX%3A02016L1919-20161104 </w:t>
            </w:r>
            <w:r w:rsidRPr="006D6BE5">
              <w:rPr>
                <w:rFonts w:ascii="Arial" w:hAnsi="Arial" w:cs="Arial"/>
                <w:sz w:val="4"/>
                <w:szCs w:val="8"/>
                <w:lang w:val="sq-AL"/>
              </w:rPr>
              <w:br/>
              <w:t xml:space="preserve">https://eur-lex.europa.eu/legal-content/EN/TXT/?uri=CELEX%3A32016L0800 </w:t>
            </w:r>
          </w:p>
        </w:tc>
        <w:tc>
          <w:tcPr>
            <w:tcW w:w="506" w:type="pct"/>
            <w:tcBorders>
              <w:top w:val="nil"/>
              <w:left w:val="nil"/>
              <w:bottom w:val="single" w:sz="4" w:space="0" w:color="auto"/>
              <w:right w:val="single" w:sz="4" w:space="0" w:color="auto"/>
            </w:tcBorders>
            <w:shd w:val="clear" w:color="FFFFFF" w:fill="FFFFFF"/>
            <w:vAlign w:val="center"/>
            <w:hideMark/>
          </w:tcPr>
          <w:p w14:paraId="433EDF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E1021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49/2012 "Për organizimin dhe funksionimin e gjykatave administrative dhe gjykimin e mosmarrëveshjeve administrative", të ndryshuar</w:t>
            </w:r>
          </w:p>
        </w:tc>
        <w:tc>
          <w:tcPr>
            <w:tcW w:w="330" w:type="pct"/>
            <w:tcBorders>
              <w:top w:val="nil"/>
              <w:left w:val="nil"/>
              <w:bottom w:val="single" w:sz="4" w:space="0" w:color="auto"/>
              <w:right w:val="single" w:sz="4" w:space="0" w:color="auto"/>
            </w:tcBorders>
            <w:shd w:val="clear" w:color="FFFFFF" w:fill="FFFFFF"/>
            <w:vAlign w:val="center"/>
            <w:hideMark/>
          </w:tcPr>
          <w:p w14:paraId="2BDEAE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drejta e interpretimit, përkthimi, informimi, proces penal, e drejta e aksesit, komunikimi me të tretët, prezumimi i pafajësisë, masat mbrojtëse procedurale.</w:t>
            </w:r>
          </w:p>
        </w:tc>
        <w:tc>
          <w:tcPr>
            <w:tcW w:w="126" w:type="pct"/>
            <w:tcBorders>
              <w:top w:val="nil"/>
              <w:left w:val="nil"/>
              <w:bottom w:val="single" w:sz="4" w:space="0" w:color="auto"/>
              <w:right w:val="single" w:sz="4" w:space="0" w:color="auto"/>
            </w:tcBorders>
            <w:shd w:val="clear" w:color="FFFFFF" w:fill="FFFFFF"/>
            <w:vAlign w:val="center"/>
            <w:hideMark/>
          </w:tcPr>
          <w:p w14:paraId="18C750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16953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0AC13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547D66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69D771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92B1A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5A8D9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9A5E1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D911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5.993</w:t>
            </w:r>
          </w:p>
        </w:tc>
        <w:tc>
          <w:tcPr>
            <w:tcW w:w="129" w:type="pct"/>
            <w:tcBorders>
              <w:top w:val="nil"/>
              <w:left w:val="nil"/>
              <w:bottom w:val="single" w:sz="4" w:space="0" w:color="auto"/>
              <w:right w:val="single" w:sz="4" w:space="0" w:color="auto"/>
            </w:tcBorders>
            <w:shd w:val="clear" w:color="FFFFFF" w:fill="FFFFFF"/>
            <w:vAlign w:val="center"/>
            <w:hideMark/>
          </w:tcPr>
          <w:p w14:paraId="517B4B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08F1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C23E8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88B01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97C874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EEDBD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31795F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184067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79DC6F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189E5984" w14:textId="2138DB5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1-Direktiva 2010/64/BE e Parlamentit Evropian dhe e Këshillit e datës 20 tetor 2010 mbi të drejtën e interpretimit dhe përkthimit në procesin penal;</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2-Direktiva 2012/13/BE e Parlamentit Evropian dhe e Këshillit e datës 22 maj 2012 mbi të drejtën e informimit në procesin penal;</w:t>
            </w:r>
            <w:r w:rsidRPr="006D6BE5">
              <w:rPr>
                <w:rFonts w:ascii="Arial" w:hAnsi="Arial" w:cs="Arial"/>
                <w:color w:val="000000"/>
                <w:sz w:val="4"/>
                <w:szCs w:val="8"/>
                <w:lang w:val="sq-AL"/>
              </w:rPr>
              <w:br/>
              <w:t>3-Direktiva 2013/48/BE e Parlamentit Evropian dhe e Këshillit mbi të drejtën e aksesit ndaj një avokati në procesin penal dhe procedurat e urdhrit evropian të arrestit dhe për të drejtat e një pale të tretë që ka informuar privimin e lirisë dhe komunikimin me të tretët dhe me autoritete konsullore në rastet që i është hequr liria;</w:t>
            </w:r>
            <w:r w:rsidRPr="006D6BE5">
              <w:rPr>
                <w:rFonts w:ascii="Arial" w:hAnsi="Arial" w:cs="Arial"/>
                <w:color w:val="000000"/>
                <w:sz w:val="4"/>
                <w:szCs w:val="8"/>
                <w:lang w:val="sq-AL"/>
              </w:rPr>
              <w:br/>
              <w:t>4-Direktiva 2016/343/BE për forcimin e disa aspekteve të prezumimit të pafajësisë dhe të drejtës për të qenë i pranishëm në gjykim;</w:t>
            </w:r>
            <w:r w:rsidRPr="006D6BE5">
              <w:rPr>
                <w:rFonts w:ascii="Arial" w:hAnsi="Arial" w:cs="Arial"/>
                <w:color w:val="000000"/>
                <w:sz w:val="4"/>
                <w:szCs w:val="8"/>
                <w:lang w:val="sq-AL"/>
              </w:rPr>
              <w:br/>
              <w:t xml:space="preserve">5-Direktiva 2016/800/BE mbi masat mbrojtëse procedurale për fëmijët që janë të dyshuar dhe të akuzuar në procesin penal; </w:t>
            </w:r>
            <w:r w:rsidRPr="006D6BE5">
              <w:rPr>
                <w:rFonts w:ascii="Arial" w:hAnsi="Arial" w:cs="Arial"/>
                <w:color w:val="000000"/>
                <w:sz w:val="4"/>
                <w:szCs w:val="8"/>
                <w:lang w:val="sq-AL"/>
              </w:rPr>
              <w:br/>
              <w:t xml:space="preserve">6- Direktiva 2016/1919/BE e Parlamentit Evropian dhe e Këshillit e datës 26 tetor 2016 për ndihmën juridike për të dyshuarit dhe personat e akuzuar në procedurat penale dhe për personat e kërkuar në procedurën e arrestit evropian. </w:t>
            </w:r>
          </w:p>
        </w:tc>
        <w:tc>
          <w:tcPr>
            <w:tcW w:w="668" w:type="pct"/>
            <w:tcBorders>
              <w:top w:val="nil"/>
              <w:left w:val="nil"/>
              <w:bottom w:val="single" w:sz="4" w:space="0" w:color="auto"/>
              <w:right w:val="single" w:sz="4" w:space="0" w:color="auto"/>
            </w:tcBorders>
            <w:shd w:val="clear" w:color="FFFFFF" w:fill="FFFFFF"/>
            <w:vAlign w:val="center"/>
            <w:hideMark/>
          </w:tcPr>
          <w:p w14:paraId="0DDCCB30" w14:textId="3270D57D" w:rsidR="00482167" w:rsidRPr="006D6BE5" w:rsidRDefault="00482167" w:rsidP="00A7241A">
            <w:pPr>
              <w:rPr>
                <w:rFonts w:ascii="Arial" w:hAnsi="Arial" w:cs="Arial"/>
                <w:sz w:val="4"/>
                <w:szCs w:val="8"/>
                <w:lang w:val="sq-AL"/>
              </w:rPr>
            </w:pPr>
            <w:r w:rsidRPr="006D6BE5">
              <w:rPr>
                <w:rFonts w:ascii="Arial" w:hAnsi="Arial" w:cs="Arial"/>
                <w:sz w:val="4"/>
                <w:szCs w:val="8"/>
                <w:lang w:val="sq-AL"/>
              </w:rPr>
              <w:t>https://eur-lex.europa.eu/eli/dir/2010/64/oj</w:t>
            </w:r>
            <w:r w:rsidR="006D6BE5">
              <w:rPr>
                <w:rFonts w:ascii="Arial" w:hAnsi="Arial" w:cs="Arial"/>
                <w:sz w:val="4"/>
                <w:szCs w:val="8"/>
                <w:lang w:val="sq-AL"/>
              </w:rPr>
              <w:t xml:space="preserve">      </w:t>
            </w:r>
            <w:r w:rsidRPr="006D6BE5">
              <w:rPr>
                <w:rFonts w:ascii="Arial" w:hAnsi="Arial" w:cs="Arial"/>
                <w:sz w:val="4"/>
                <w:szCs w:val="8"/>
                <w:lang w:val="sq-AL"/>
              </w:rPr>
              <w:t>https://eur-lex.europa.eu/eli/dir/2012/13/oj</w:t>
            </w:r>
            <w:r w:rsidR="006D6BE5">
              <w:rPr>
                <w:rFonts w:ascii="Arial" w:hAnsi="Arial" w:cs="Arial"/>
                <w:sz w:val="4"/>
                <w:szCs w:val="8"/>
                <w:lang w:val="sq-AL"/>
              </w:rPr>
              <w:t xml:space="preserve">  </w:t>
            </w:r>
            <w:r w:rsidRPr="006D6BE5">
              <w:rPr>
                <w:rFonts w:ascii="Arial" w:hAnsi="Arial" w:cs="Arial"/>
                <w:sz w:val="4"/>
                <w:szCs w:val="8"/>
                <w:lang w:val="sq-AL"/>
              </w:rPr>
              <w:t xml:space="preserve"> https://eur-lex.europa.eu/eli/dir/2013/48/oj</w:t>
            </w:r>
            <w:r w:rsidR="006D6BE5">
              <w:rPr>
                <w:rFonts w:ascii="Arial" w:hAnsi="Arial" w:cs="Arial"/>
                <w:sz w:val="4"/>
                <w:szCs w:val="8"/>
                <w:lang w:val="sq-AL"/>
              </w:rPr>
              <w:t xml:space="preserve"> </w:t>
            </w:r>
            <w:r w:rsidRPr="006D6BE5">
              <w:rPr>
                <w:rFonts w:ascii="Arial" w:hAnsi="Arial" w:cs="Arial"/>
                <w:sz w:val="4"/>
                <w:szCs w:val="8"/>
                <w:lang w:val="sq-AL"/>
              </w:rPr>
              <w:t>https://eur-lex.europa.eu/eli/dir/2016/343/oj</w:t>
            </w:r>
            <w:r w:rsidR="006D6BE5">
              <w:rPr>
                <w:rFonts w:ascii="Arial" w:hAnsi="Arial" w:cs="Arial"/>
                <w:sz w:val="4"/>
                <w:szCs w:val="8"/>
                <w:lang w:val="sq-AL"/>
              </w:rPr>
              <w:t xml:space="preserve"> </w:t>
            </w:r>
            <w:r w:rsidRPr="006D6BE5">
              <w:rPr>
                <w:rFonts w:ascii="Arial" w:hAnsi="Arial" w:cs="Arial"/>
                <w:sz w:val="4"/>
                <w:szCs w:val="8"/>
                <w:lang w:val="sq-AL"/>
              </w:rPr>
              <w:t>https://eur-lex.europa.eu/eli/dir/2016/800/oj</w:t>
            </w:r>
            <w:r w:rsidR="006D6BE5">
              <w:rPr>
                <w:rFonts w:ascii="Arial" w:hAnsi="Arial" w:cs="Arial"/>
                <w:sz w:val="4"/>
                <w:szCs w:val="8"/>
                <w:lang w:val="sq-AL"/>
              </w:rPr>
              <w:t xml:space="preserve"> </w:t>
            </w:r>
            <w:r w:rsidRPr="006D6BE5">
              <w:rPr>
                <w:rFonts w:ascii="Arial" w:hAnsi="Arial" w:cs="Arial"/>
                <w:sz w:val="4"/>
                <w:szCs w:val="8"/>
                <w:lang w:val="sq-AL"/>
              </w:rPr>
              <w:t>https://eur-lex.europa.eu/eli/dir/2016/1919/oj</w:t>
            </w:r>
          </w:p>
        </w:tc>
        <w:tc>
          <w:tcPr>
            <w:tcW w:w="506" w:type="pct"/>
            <w:tcBorders>
              <w:top w:val="nil"/>
              <w:left w:val="nil"/>
              <w:bottom w:val="single" w:sz="4" w:space="0" w:color="auto"/>
              <w:right w:val="single" w:sz="4" w:space="0" w:color="auto"/>
            </w:tcBorders>
            <w:shd w:val="clear" w:color="FFFFFF" w:fill="FFFFFF"/>
            <w:vAlign w:val="center"/>
            <w:hideMark/>
          </w:tcPr>
          <w:p w14:paraId="6A6BA6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EE674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7905, datë 21.3.1995 "Kodi Procedurës Penale të Republikës së Shqipërisë”.</w:t>
            </w:r>
          </w:p>
        </w:tc>
        <w:tc>
          <w:tcPr>
            <w:tcW w:w="330" w:type="pct"/>
            <w:tcBorders>
              <w:top w:val="nil"/>
              <w:left w:val="nil"/>
              <w:bottom w:val="single" w:sz="4" w:space="0" w:color="auto"/>
              <w:right w:val="single" w:sz="4" w:space="0" w:color="auto"/>
            </w:tcBorders>
            <w:shd w:val="clear" w:color="FFFFFF" w:fill="FFFFFF"/>
            <w:vAlign w:val="center"/>
            <w:hideMark/>
          </w:tcPr>
          <w:p w14:paraId="2A1F4F8E" w14:textId="77CAEF5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dhe plotësimi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i hendeqeve në përafrimin e dispozitave të të drejtave procedurale të personave të dyshuar dhe të akuzuar në procedimet penale në lidhje me të drejtën për përkthim dhe përkthim, të drejtën e informimit, të drejtën për të qenë prezent, prezumimin e pafajësisë, të drejtën për t'u ndihmuar nga avokati, ndihmën juridike. , dhe të drejtat procedurale të fëmijëve në procedurën penale.</w:t>
            </w:r>
          </w:p>
        </w:tc>
        <w:tc>
          <w:tcPr>
            <w:tcW w:w="126" w:type="pct"/>
            <w:tcBorders>
              <w:top w:val="nil"/>
              <w:left w:val="nil"/>
              <w:bottom w:val="single" w:sz="4" w:space="0" w:color="auto"/>
              <w:right w:val="single" w:sz="4" w:space="0" w:color="auto"/>
            </w:tcBorders>
            <w:shd w:val="clear" w:color="FFFFFF" w:fill="FFFFFF"/>
            <w:vAlign w:val="center"/>
            <w:hideMark/>
          </w:tcPr>
          <w:p w14:paraId="0E3BD6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8A767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93638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7015EF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149DD3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5D181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155BB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102EA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7FB93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5.993</w:t>
            </w:r>
          </w:p>
        </w:tc>
        <w:tc>
          <w:tcPr>
            <w:tcW w:w="129" w:type="pct"/>
            <w:tcBorders>
              <w:top w:val="nil"/>
              <w:left w:val="nil"/>
              <w:bottom w:val="single" w:sz="4" w:space="0" w:color="auto"/>
              <w:right w:val="single" w:sz="4" w:space="0" w:color="auto"/>
            </w:tcBorders>
            <w:shd w:val="clear" w:color="FFFFFF" w:fill="FFFFFF"/>
            <w:vAlign w:val="center"/>
            <w:hideMark/>
          </w:tcPr>
          <w:p w14:paraId="194793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F393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7395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D45CA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7A7AD6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5F10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7EFC76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365DB2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438D35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1B52AB36" w14:textId="7BD155C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1-Direktiva 2010/64/BE e Parlamentit Evropian dhe e Këshillit e datës 20 tetor 2010 mbi të drejtën e interpretimit dhe përkthimit në procesin penal;</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2-Direktiva 2012/13/BE e Parlamentit Evropian dhe e Këshillit e datës 22 maj 2012 mbi të drejtën e informimit në procesin penal;</w:t>
            </w:r>
            <w:r w:rsidRPr="006D6BE5">
              <w:rPr>
                <w:rFonts w:ascii="Arial" w:hAnsi="Arial" w:cs="Arial"/>
                <w:color w:val="000000"/>
                <w:sz w:val="4"/>
                <w:szCs w:val="8"/>
                <w:lang w:val="sq-AL"/>
              </w:rPr>
              <w:br/>
              <w:t>3-Direktiva 2013/48/BE e Parlamentit Evropian dhe e Këshillit mbi të drejtën e aksesit ndaj një avokati në procesin penal dhe procedurat e urdhrit evropian të arrestit dhe për të drejtat e një pale të tretë që ka informuar privimin e lirisë dhe komunikimin me të tretët dhe me autoritete konsullore në rastet që i është hequr liria;</w:t>
            </w:r>
            <w:r w:rsidRPr="006D6BE5">
              <w:rPr>
                <w:rFonts w:ascii="Arial" w:hAnsi="Arial" w:cs="Arial"/>
                <w:color w:val="000000"/>
                <w:sz w:val="4"/>
                <w:szCs w:val="8"/>
                <w:lang w:val="sq-AL"/>
              </w:rPr>
              <w:br/>
              <w:t>4-Direktiva 2016/343/BE për forcimin e disa aspekteve të prezumimit të pafajësisë dhe të drejtës për të qenë i pranishëm në gjykim;</w:t>
            </w:r>
            <w:r w:rsidRPr="006D6BE5">
              <w:rPr>
                <w:rFonts w:ascii="Arial" w:hAnsi="Arial" w:cs="Arial"/>
                <w:color w:val="000000"/>
                <w:sz w:val="4"/>
                <w:szCs w:val="8"/>
                <w:lang w:val="sq-AL"/>
              </w:rPr>
              <w:br/>
              <w:t xml:space="preserve">5-Direktiva 2016/800/BE mbi masat mbrojtëse procedurale për fëmijët që janë të dyshuar dhe të akuzuar në procesin penal; </w:t>
            </w:r>
            <w:r w:rsidRPr="006D6BE5">
              <w:rPr>
                <w:rFonts w:ascii="Arial" w:hAnsi="Arial" w:cs="Arial"/>
                <w:color w:val="000000"/>
                <w:sz w:val="4"/>
                <w:szCs w:val="8"/>
                <w:lang w:val="sq-AL"/>
              </w:rPr>
              <w:br/>
              <w:t xml:space="preserve">6- Direktiva 2016/1919/BE e Parlamentit Evropian dhe e Këshillit e datës 26 tetor 2016 për ndihmën juridike për të dyshuarit dhe personat e akuzuar në procedurat penale dhe për personat e kërkuar në procedurën e arrestit evropian. </w:t>
            </w:r>
          </w:p>
        </w:tc>
        <w:tc>
          <w:tcPr>
            <w:tcW w:w="668" w:type="pct"/>
            <w:tcBorders>
              <w:top w:val="nil"/>
              <w:left w:val="nil"/>
              <w:bottom w:val="single" w:sz="4" w:space="0" w:color="auto"/>
              <w:right w:val="single" w:sz="4" w:space="0" w:color="auto"/>
            </w:tcBorders>
            <w:shd w:val="clear" w:color="FFFFFF" w:fill="FFFFFF"/>
            <w:vAlign w:val="center"/>
            <w:hideMark/>
          </w:tcPr>
          <w:p w14:paraId="4D7F088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https://eur-lex.europa.eu/eli/dir/2010/64/oj https://eur-lex.europa.eu/eli/dir/2012/13/oj https://eur-lex.europa.eu/eli/dir/2013/48/oj https://eur-lex.europa.eu/eli/dir/2016/343/oj https://eur-lex.europa.eu/eli/dir/2016/800/oj https://eur-lex.europa.eu/eli/dir/2016/1919/oj</w:t>
            </w:r>
          </w:p>
        </w:tc>
        <w:tc>
          <w:tcPr>
            <w:tcW w:w="506" w:type="pct"/>
            <w:tcBorders>
              <w:top w:val="nil"/>
              <w:left w:val="nil"/>
              <w:bottom w:val="single" w:sz="4" w:space="0" w:color="auto"/>
              <w:right w:val="single" w:sz="4" w:space="0" w:color="auto"/>
            </w:tcBorders>
            <w:shd w:val="clear" w:color="FFFFFF" w:fill="FFFFFF"/>
            <w:vAlign w:val="center"/>
            <w:hideMark/>
          </w:tcPr>
          <w:p w14:paraId="1D7677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4E201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Projektligji "Për disa shtesa dhe ndryshime në ligjin nr. 37/2017 "Kodi i Drejtësisë Penale për të Miturit"</w:t>
            </w:r>
          </w:p>
        </w:tc>
        <w:tc>
          <w:tcPr>
            <w:tcW w:w="330" w:type="pct"/>
            <w:tcBorders>
              <w:top w:val="nil"/>
              <w:left w:val="nil"/>
              <w:bottom w:val="single" w:sz="4" w:space="0" w:color="auto"/>
              <w:right w:val="single" w:sz="4" w:space="0" w:color="auto"/>
            </w:tcBorders>
            <w:shd w:val="clear" w:color="FFFFFF" w:fill="FFFFFF"/>
            <w:vAlign w:val="center"/>
            <w:hideMark/>
          </w:tcPr>
          <w:p w14:paraId="4D59C0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dhe plotësimi i hendeqeve në përafrimin e dispozitave lidhur me të drejtat procedurale për të miturit e dyshuar dhe të akuzuar në procedurë penale.</w:t>
            </w:r>
          </w:p>
        </w:tc>
        <w:tc>
          <w:tcPr>
            <w:tcW w:w="126" w:type="pct"/>
            <w:tcBorders>
              <w:top w:val="nil"/>
              <w:left w:val="nil"/>
              <w:bottom w:val="single" w:sz="4" w:space="0" w:color="auto"/>
              <w:right w:val="single" w:sz="4" w:space="0" w:color="auto"/>
            </w:tcBorders>
            <w:shd w:val="clear" w:color="FFFFFF" w:fill="FFFFFF"/>
            <w:vAlign w:val="center"/>
            <w:hideMark/>
          </w:tcPr>
          <w:p w14:paraId="0736A4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64269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CCC23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4E7308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2E0CAF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7B32B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F953F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BA567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38574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6.197</w:t>
            </w:r>
          </w:p>
        </w:tc>
        <w:tc>
          <w:tcPr>
            <w:tcW w:w="129" w:type="pct"/>
            <w:tcBorders>
              <w:top w:val="nil"/>
              <w:left w:val="nil"/>
              <w:bottom w:val="single" w:sz="4" w:space="0" w:color="auto"/>
              <w:right w:val="single" w:sz="4" w:space="0" w:color="auto"/>
            </w:tcBorders>
            <w:shd w:val="clear" w:color="FFFFFF" w:fill="FFFFFF"/>
            <w:vAlign w:val="center"/>
            <w:hideMark/>
          </w:tcPr>
          <w:p w14:paraId="51C07F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F532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99B3D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3A5B8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749F9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6B54B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0426CE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5FC24E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3C4F3B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procedurale</w:t>
            </w:r>
          </w:p>
        </w:tc>
        <w:tc>
          <w:tcPr>
            <w:tcW w:w="661" w:type="pct"/>
            <w:tcBorders>
              <w:top w:val="nil"/>
              <w:left w:val="nil"/>
              <w:bottom w:val="single" w:sz="4" w:space="0" w:color="auto"/>
              <w:right w:val="single" w:sz="4" w:space="0" w:color="auto"/>
            </w:tcBorders>
            <w:shd w:val="clear" w:color="FFFFFF" w:fill="FFFFFF"/>
            <w:vAlign w:val="center"/>
            <w:hideMark/>
          </w:tcPr>
          <w:p w14:paraId="46B8BB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2012/13/BE e Parlamentit Evropian dhe e Këshillit e datës 22 maj 2012 mbi të drejtën e informimit në procesin penal;</w:t>
            </w:r>
            <w:r w:rsidRPr="006D6BE5">
              <w:rPr>
                <w:rFonts w:ascii="Arial" w:hAnsi="Arial" w:cs="Arial"/>
                <w:color w:val="000000"/>
                <w:sz w:val="4"/>
                <w:szCs w:val="8"/>
                <w:lang w:val="sq-AL"/>
              </w:rPr>
              <w:br/>
              <w:t>Direktiva 2013/48/BE e Parlamentit Evropian dhe e Këshillit mbi të drejtën e aksesit ndaj një avokati në procesin penal dhe procedurat e urdhrit evropian të arrestit dhe për të drejtat e një pale të tretë që ka informuar privimin e lirisë dhe komunikimin me të tretët dhe me autoritete konsullore në rastet që i është hequr liria;</w:t>
            </w:r>
            <w:r w:rsidRPr="006D6BE5">
              <w:rPr>
                <w:rFonts w:ascii="Arial" w:hAnsi="Arial" w:cs="Arial"/>
                <w:color w:val="000000"/>
                <w:sz w:val="4"/>
                <w:szCs w:val="8"/>
                <w:lang w:val="sq-AL"/>
              </w:rPr>
              <w:br/>
              <w:t xml:space="preserve">Direktiva 2016/800/BE mbi masat mbrojtëse procedurale për fëmijët që janë të dyshuar dhe të akuzuar në procesin penal; </w:t>
            </w:r>
            <w:r w:rsidRPr="006D6BE5">
              <w:rPr>
                <w:rFonts w:ascii="Arial" w:hAnsi="Arial" w:cs="Arial"/>
                <w:color w:val="000000"/>
                <w:sz w:val="4"/>
                <w:szCs w:val="8"/>
                <w:lang w:val="sq-AL"/>
              </w:rPr>
              <w:br/>
              <w:t xml:space="preserve">Direktiva 2016/1919/BE e Parlamentit Evropian dhe e Këshillit e datës 26 tetor 2016 për ndihmën juridike për të dyshuarit dhe personat e akuzuar në procedurat penale dhe për personat e kërkuar në procedurën e arrestit evropian. </w:t>
            </w:r>
          </w:p>
        </w:tc>
        <w:tc>
          <w:tcPr>
            <w:tcW w:w="668" w:type="pct"/>
            <w:tcBorders>
              <w:top w:val="nil"/>
              <w:left w:val="nil"/>
              <w:bottom w:val="single" w:sz="4" w:space="0" w:color="auto"/>
              <w:right w:val="single" w:sz="4" w:space="0" w:color="auto"/>
            </w:tcBorders>
            <w:shd w:val="clear" w:color="FFFFFF" w:fill="FFFFFF"/>
            <w:vAlign w:val="center"/>
            <w:hideMark/>
          </w:tcPr>
          <w:p w14:paraId="37FDB6AD" w14:textId="2D20B272" w:rsidR="00482167" w:rsidRPr="006D6BE5" w:rsidRDefault="006D6BE5" w:rsidP="00A7241A">
            <w:pPr>
              <w:rPr>
                <w:rFonts w:ascii="Arial" w:hAnsi="Arial" w:cs="Arial"/>
                <w:sz w:val="4"/>
                <w:szCs w:val="8"/>
                <w:lang w:val="sq-AL"/>
              </w:rPr>
            </w:pPr>
            <w:r>
              <w:rPr>
                <w:rFonts w:ascii="Arial" w:hAnsi="Arial" w:cs="Arial"/>
                <w:sz w:val="4"/>
                <w:szCs w:val="8"/>
                <w:lang w:val="sq-AL"/>
              </w:rPr>
              <w:t xml:space="preserve">    </w:t>
            </w:r>
            <w:r w:rsidR="00482167" w:rsidRPr="006D6BE5">
              <w:rPr>
                <w:rFonts w:ascii="Arial" w:hAnsi="Arial" w:cs="Arial"/>
                <w:sz w:val="4"/>
                <w:szCs w:val="8"/>
                <w:lang w:val="sq-AL"/>
              </w:rPr>
              <w:t xml:space="preserve"> https://eur-lex.europa.eu/eli/dir/2012/13/oj</w:t>
            </w:r>
            <w:r>
              <w:rPr>
                <w:rFonts w:ascii="Arial" w:hAnsi="Arial" w:cs="Arial"/>
                <w:sz w:val="4"/>
                <w:szCs w:val="8"/>
                <w:lang w:val="sq-AL"/>
              </w:rPr>
              <w:t xml:space="preserve">  </w:t>
            </w:r>
            <w:r w:rsidR="00482167" w:rsidRPr="006D6BE5">
              <w:rPr>
                <w:rFonts w:ascii="Arial" w:hAnsi="Arial" w:cs="Arial"/>
                <w:sz w:val="4"/>
                <w:szCs w:val="8"/>
                <w:lang w:val="sq-AL"/>
              </w:rPr>
              <w:t xml:space="preserve"> https://eur-lex.europa.eu/eli/dir/2013/48/oj</w:t>
            </w:r>
            <w:r>
              <w:rPr>
                <w:rFonts w:ascii="Arial" w:hAnsi="Arial" w:cs="Arial"/>
                <w:sz w:val="4"/>
                <w:szCs w:val="8"/>
                <w:lang w:val="sq-AL"/>
              </w:rPr>
              <w:t xml:space="preserve"> </w:t>
            </w:r>
            <w:r w:rsidR="00482167" w:rsidRPr="006D6BE5">
              <w:rPr>
                <w:rFonts w:ascii="Arial" w:hAnsi="Arial" w:cs="Arial"/>
                <w:sz w:val="4"/>
                <w:szCs w:val="8"/>
                <w:lang w:val="sq-AL"/>
              </w:rPr>
              <w:t xml:space="preserve"> https://eur-lex.europa.eu/eli/dir/2016/800/oj</w:t>
            </w:r>
            <w:r>
              <w:rPr>
                <w:rFonts w:ascii="Arial" w:hAnsi="Arial" w:cs="Arial"/>
                <w:sz w:val="4"/>
                <w:szCs w:val="8"/>
                <w:lang w:val="sq-AL"/>
              </w:rPr>
              <w:t xml:space="preserve"> </w:t>
            </w:r>
            <w:r w:rsidR="00482167" w:rsidRPr="006D6BE5">
              <w:rPr>
                <w:rFonts w:ascii="Arial" w:hAnsi="Arial" w:cs="Arial"/>
                <w:sz w:val="4"/>
                <w:szCs w:val="8"/>
                <w:lang w:val="sq-AL"/>
              </w:rPr>
              <w:t>https://eur-lex.europa.eu/eli/dir/2016/1919/oj</w:t>
            </w:r>
          </w:p>
        </w:tc>
        <w:tc>
          <w:tcPr>
            <w:tcW w:w="506" w:type="pct"/>
            <w:tcBorders>
              <w:top w:val="nil"/>
              <w:left w:val="nil"/>
              <w:bottom w:val="single" w:sz="4" w:space="0" w:color="auto"/>
              <w:right w:val="single" w:sz="4" w:space="0" w:color="auto"/>
            </w:tcBorders>
            <w:shd w:val="clear" w:color="FFFFFF" w:fill="FFFFFF"/>
            <w:vAlign w:val="center"/>
            <w:hideMark/>
          </w:tcPr>
          <w:p w14:paraId="1B55E5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96103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"Për disa shtesa dhe ndryshime në ligjin nr. 10193, datë 3.12.2009 “Për marrëdhëniet juridiksionale me autoritetet e huaja në çështjet penale”, </w:t>
            </w:r>
          </w:p>
        </w:tc>
        <w:tc>
          <w:tcPr>
            <w:tcW w:w="330" w:type="pct"/>
            <w:tcBorders>
              <w:top w:val="nil"/>
              <w:left w:val="nil"/>
              <w:bottom w:val="single" w:sz="4" w:space="0" w:color="auto"/>
              <w:right w:val="single" w:sz="4" w:space="0" w:color="auto"/>
            </w:tcBorders>
            <w:shd w:val="clear" w:color="FFFFFF" w:fill="FFFFFF"/>
            <w:vAlign w:val="center"/>
            <w:hideMark/>
          </w:tcPr>
          <w:p w14:paraId="29D1A9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dhe plotësimi i hendeqeve në përafrimin e dispozitave që lidhen me të drejtat procedurale në procedurat e urdhrit të arrestit evropian.</w:t>
            </w:r>
          </w:p>
        </w:tc>
        <w:tc>
          <w:tcPr>
            <w:tcW w:w="126" w:type="pct"/>
            <w:tcBorders>
              <w:top w:val="nil"/>
              <w:left w:val="nil"/>
              <w:bottom w:val="single" w:sz="4" w:space="0" w:color="auto"/>
              <w:right w:val="single" w:sz="4" w:space="0" w:color="auto"/>
            </w:tcBorders>
            <w:shd w:val="clear" w:color="FFFFFF" w:fill="FFFFFF"/>
            <w:vAlign w:val="center"/>
            <w:hideMark/>
          </w:tcPr>
          <w:p w14:paraId="6B5936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88448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5D61A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13" w:type="pct"/>
            <w:tcBorders>
              <w:top w:val="nil"/>
              <w:left w:val="nil"/>
              <w:bottom w:val="single" w:sz="4" w:space="0" w:color="auto"/>
              <w:right w:val="single" w:sz="4" w:space="0" w:color="auto"/>
            </w:tcBorders>
            <w:shd w:val="clear" w:color="FFFFFF" w:fill="FFFFFF"/>
            <w:vAlign w:val="center"/>
            <w:hideMark/>
          </w:tcPr>
          <w:p w14:paraId="61C43F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0CF78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24EC4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2C51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F0CFA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FE3A5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6.206</w:t>
            </w:r>
          </w:p>
        </w:tc>
        <w:tc>
          <w:tcPr>
            <w:tcW w:w="129" w:type="pct"/>
            <w:tcBorders>
              <w:top w:val="nil"/>
              <w:left w:val="nil"/>
              <w:bottom w:val="single" w:sz="4" w:space="0" w:color="auto"/>
              <w:right w:val="single" w:sz="4" w:space="0" w:color="auto"/>
            </w:tcBorders>
            <w:shd w:val="clear" w:color="FFFFFF" w:fill="FFFFFF"/>
            <w:vAlign w:val="center"/>
            <w:hideMark/>
          </w:tcPr>
          <w:p w14:paraId="3B5FEB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E503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1D215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39245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A8EFF0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E1B78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5EF0E1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5A09EF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4A390F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Barazia gjinore</w:t>
            </w:r>
          </w:p>
        </w:tc>
        <w:tc>
          <w:tcPr>
            <w:tcW w:w="661" w:type="pct"/>
            <w:tcBorders>
              <w:top w:val="nil"/>
              <w:left w:val="nil"/>
              <w:bottom w:val="single" w:sz="4" w:space="0" w:color="auto"/>
              <w:right w:val="single" w:sz="4" w:space="0" w:color="auto"/>
            </w:tcBorders>
            <w:shd w:val="clear" w:color="FFFFFF" w:fill="FFFFFF"/>
            <w:vAlign w:val="center"/>
            <w:hideMark/>
          </w:tcPr>
          <w:p w14:paraId="0A1A62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 Komisionit për Parlamentin Evropian, Këshillin, Komitetin Ekonomik dhe Social Evropian dhe Komitetin e Rajoneve "Një Union i Barazisë: Strategjia e Barazisë Gjinore 2020-2025" COM/2020/152 final</w:t>
            </w:r>
          </w:p>
        </w:tc>
        <w:tc>
          <w:tcPr>
            <w:tcW w:w="668" w:type="pct"/>
            <w:tcBorders>
              <w:top w:val="nil"/>
              <w:left w:val="nil"/>
              <w:bottom w:val="single" w:sz="4" w:space="0" w:color="auto"/>
              <w:right w:val="single" w:sz="4" w:space="0" w:color="auto"/>
            </w:tcBorders>
            <w:shd w:val="clear" w:color="auto" w:fill="auto"/>
            <w:vAlign w:val="center"/>
            <w:hideMark/>
          </w:tcPr>
          <w:p w14:paraId="313E7A2A" w14:textId="77777777" w:rsidR="00482167" w:rsidRPr="006D6BE5" w:rsidRDefault="00E63D69" w:rsidP="00A7241A">
            <w:pPr>
              <w:rPr>
                <w:rFonts w:ascii="Arial" w:hAnsi="Arial" w:cs="Arial"/>
                <w:color w:val="0563C1"/>
                <w:sz w:val="4"/>
                <w:szCs w:val="8"/>
                <w:u w:val="single"/>
                <w:lang w:val="sq-AL"/>
              </w:rPr>
            </w:pPr>
            <w:hyperlink r:id="rId16" w:history="1">
              <w:r w:rsidR="00482167" w:rsidRPr="006D6BE5">
                <w:rPr>
                  <w:rFonts w:ascii="Arial" w:hAnsi="Arial" w:cs="Arial"/>
                  <w:color w:val="0563C1"/>
                  <w:sz w:val="4"/>
                  <w:szCs w:val="8"/>
                  <w:u w:val="single"/>
                  <w:lang w:val="sq-AL"/>
                </w:rPr>
                <w:t xml:space="preserve">https://eur-lex.europa.eu/legal-content/EN/TXT/?uri=CELEX%3A52020DC0152 </w:t>
              </w:r>
            </w:hyperlink>
          </w:p>
        </w:tc>
        <w:tc>
          <w:tcPr>
            <w:tcW w:w="506" w:type="pct"/>
            <w:tcBorders>
              <w:top w:val="nil"/>
              <w:left w:val="nil"/>
              <w:bottom w:val="single" w:sz="4" w:space="0" w:color="auto"/>
              <w:right w:val="single" w:sz="4" w:space="0" w:color="auto"/>
            </w:tcBorders>
            <w:shd w:val="clear" w:color="FFFFFF" w:fill="FFFFFF"/>
            <w:vAlign w:val="center"/>
            <w:hideMark/>
          </w:tcPr>
          <w:p w14:paraId="44E168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666C5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ndryshime në ligjin nr. 9970/2008 "Për Barazinë Gjinore në Shoqëri"</w:t>
            </w:r>
          </w:p>
        </w:tc>
        <w:tc>
          <w:tcPr>
            <w:tcW w:w="330" w:type="pct"/>
            <w:tcBorders>
              <w:top w:val="nil"/>
              <w:left w:val="nil"/>
              <w:bottom w:val="single" w:sz="4" w:space="0" w:color="auto"/>
              <w:right w:val="single" w:sz="4" w:space="0" w:color="auto"/>
            </w:tcBorders>
            <w:shd w:val="clear" w:color="FFFFFF" w:fill="FFFFFF"/>
            <w:vAlign w:val="center"/>
            <w:hideMark/>
          </w:tcPr>
          <w:p w14:paraId="7FB334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Ndryshime ligjore për përmirësimin e legjislacionit të barazisë gjinore. </w:t>
            </w:r>
          </w:p>
        </w:tc>
        <w:tc>
          <w:tcPr>
            <w:tcW w:w="126" w:type="pct"/>
            <w:tcBorders>
              <w:top w:val="nil"/>
              <w:left w:val="nil"/>
              <w:bottom w:val="single" w:sz="4" w:space="0" w:color="auto"/>
              <w:right w:val="single" w:sz="4" w:space="0" w:color="auto"/>
            </w:tcBorders>
            <w:shd w:val="clear" w:color="FFFFFF" w:fill="FFFFFF"/>
            <w:vAlign w:val="center"/>
            <w:hideMark/>
          </w:tcPr>
          <w:p w14:paraId="18E8BE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3EA2E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3A1070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23BE04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BCC8D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16EF8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949A4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92C6F06" w14:textId="226A451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3,769 </w:t>
            </w:r>
          </w:p>
        </w:tc>
        <w:tc>
          <w:tcPr>
            <w:tcW w:w="117" w:type="pct"/>
            <w:tcBorders>
              <w:top w:val="nil"/>
              <w:left w:val="nil"/>
              <w:bottom w:val="single" w:sz="4" w:space="0" w:color="auto"/>
              <w:right w:val="single" w:sz="4" w:space="0" w:color="auto"/>
            </w:tcBorders>
            <w:shd w:val="clear" w:color="FFFFFF" w:fill="FFFFFF"/>
            <w:vAlign w:val="center"/>
            <w:hideMark/>
          </w:tcPr>
          <w:p w14:paraId="78AC17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D04E1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3E1B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B901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7318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6061E8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ADB8B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437B49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6BB180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139AD4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personave me aftësi të kufizuara</w:t>
            </w:r>
          </w:p>
        </w:tc>
        <w:tc>
          <w:tcPr>
            <w:tcW w:w="661" w:type="pct"/>
            <w:tcBorders>
              <w:top w:val="nil"/>
              <w:left w:val="nil"/>
              <w:bottom w:val="single" w:sz="4" w:space="0" w:color="auto"/>
              <w:right w:val="single" w:sz="4" w:space="0" w:color="auto"/>
            </w:tcBorders>
            <w:shd w:val="clear" w:color="FFFFFF" w:fill="FFFFFF"/>
            <w:vAlign w:val="center"/>
            <w:hideMark/>
          </w:tcPr>
          <w:p w14:paraId="35D499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 Komisionit për Parlamentin Evropian, Këshillin, Komitetin Ekonomik dhe Social Evropian dhe Komitetin e Rajoneve 'Unioni i Barazisë: Strategjia për të Drejtat e Personave me Aftësi të Kufizuara 2021-2030' COM/2021/101 final</w:t>
            </w:r>
          </w:p>
        </w:tc>
        <w:tc>
          <w:tcPr>
            <w:tcW w:w="668" w:type="pct"/>
            <w:tcBorders>
              <w:top w:val="nil"/>
              <w:left w:val="nil"/>
              <w:bottom w:val="single" w:sz="4" w:space="0" w:color="auto"/>
              <w:right w:val="single" w:sz="4" w:space="0" w:color="auto"/>
            </w:tcBorders>
            <w:shd w:val="clear" w:color="auto" w:fill="auto"/>
            <w:vAlign w:val="center"/>
            <w:hideMark/>
          </w:tcPr>
          <w:p w14:paraId="38227071" w14:textId="575A4BC2" w:rsidR="00482167" w:rsidRPr="006D6BE5" w:rsidRDefault="00E63D69" w:rsidP="00A7241A">
            <w:pPr>
              <w:rPr>
                <w:rFonts w:ascii="Arial" w:hAnsi="Arial" w:cs="Arial"/>
                <w:color w:val="0563C1"/>
                <w:sz w:val="4"/>
                <w:szCs w:val="8"/>
                <w:u w:val="single"/>
                <w:lang w:val="sq-AL"/>
              </w:rPr>
            </w:pPr>
            <w:hyperlink r:id="rId17" w:history="1">
              <w:r w:rsidR="00482167" w:rsidRPr="006D6BE5">
                <w:rPr>
                  <w:rFonts w:ascii="Arial" w:hAnsi="Arial" w:cs="Arial"/>
                  <w:color w:val="0563C1"/>
                  <w:sz w:val="4"/>
                  <w:szCs w:val="8"/>
                  <w:u w:val="single"/>
                  <w:lang w:val="sq-AL"/>
                </w:rPr>
                <w:t>https://eur-lex.europa.eu/legal-content/EN/TXT/?uri=CELEX:52021DC0101</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C407A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09E52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Kombëtar për Personat me Aftësi të Kufizuar"</w:t>
            </w:r>
          </w:p>
        </w:tc>
        <w:tc>
          <w:tcPr>
            <w:tcW w:w="330" w:type="pct"/>
            <w:tcBorders>
              <w:top w:val="nil"/>
              <w:left w:val="nil"/>
              <w:bottom w:val="single" w:sz="4" w:space="0" w:color="auto"/>
              <w:right w:val="single" w:sz="4" w:space="0" w:color="auto"/>
            </w:tcBorders>
            <w:shd w:val="clear" w:color="FFFFFF" w:fill="FFFFFF"/>
            <w:vAlign w:val="center"/>
            <w:hideMark/>
          </w:tcPr>
          <w:p w14:paraId="04C33D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 kombëtar, personat me aftësi të kufizuara, mbrojtja e të drejtave.</w:t>
            </w:r>
          </w:p>
        </w:tc>
        <w:tc>
          <w:tcPr>
            <w:tcW w:w="126" w:type="pct"/>
            <w:tcBorders>
              <w:top w:val="nil"/>
              <w:left w:val="nil"/>
              <w:bottom w:val="single" w:sz="4" w:space="0" w:color="auto"/>
              <w:right w:val="single" w:sz="4" w:space="0" w:color="auto"/>
            </w:tcBorders>
            <w:shd w:val="clear" w:color="FFFFFF" w:fill="FFFFFF"/>
            <w:vAlign w:val="center"/>
            <w:hideMark/>
          </w:tcPr>
          <w:p w14:paraId="512B5B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76CC1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2426E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798DE9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44374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3AC997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2B8BC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427A5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FFC66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2,931 </w:t>
            </w:r>
          </w:p>
        </w:tc>
        <w:tc>
          <w:tcPr>
            <w:tcW w:w="129" w:type="pct"/>
            <w:tcBorders>
              <w:top w:val="nil"/>
              <w:left w:val="nil"/>
              <w:bottom w:val="single" w:sz="4" w:space="0" w:color="auto"/>
              <w:right w:val="single" w:sz="4" w:space="0" w:color="auto"/>
            </w:tcBorders>
            <w:shd w:val="clear" w:color="FFFFFF" w:fill="FFFFFF"/>
            <w:vAlign w:val="center"/>
            <w:hideMark/>
          </w:tcPr>
          <w:p w14:paraId="70E27D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BF172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C7ED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8F2CF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3AF27D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3CDC4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23</w:t>
            </w:r>
          </w:p>
        </w:tc>
        <w:tc>
          <w:tcPr>
            <w:tcW w:w="144" w:type="pct"/>
            <w:tcBorders>
              <w:top w:val="nil"/>
              <w:left w:val="nil"/>
              <w:bottom w:val="single" w:sz="4" w:space="0" w:color="auto"/>
              <w:right w:val="single" w:sz="4" w:space="0" w:color="auto"/>
            </w:tcBorders>
            <w:shd w:val="clear" w:color="FFFFFF" w:fill="FFFFFF"/>
            <w:vAlign w:val="center"/>
            <w:hideMark/>
          </w:tcPr>
          <w:p w14:paraId="38003F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MD</w:t>
            </w:r>
          </w:p>
        </w:tc>
        <w:tc>
          <w:tcPr>
            <w:tcW w:w="165" w:type="pct"/>
            <w:tcBorders>
              <w:top w:val="nil"/>
              <w:left w:val="nil"/>
              <w:bottom w:val="single" w:sz="4" w:space="0" w:color="auto"/>
              <w:right w:val="single" w:sz="4" w:space="0" w:color="auto"/>
            </w:tcBorders>
            <w:shd w:val="clear" w:color="FFFFFF" w:fill="FFFFFF"/>
            <w:vAlign w:val="center"/>
            <w:hideMark/>
          </w:tcPr>
          <w:p w14:paraId="7C8853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drejtat e njeriut</w:t>
            </w:r>
          </w:p>
        </w:tc>
        <w:tc>
          <w:tcPr>
            <w:tcW w:w="171" w:type="pct"/>
            <w:tcBorders>
              <w:top w:val="nil"/>
              <w:left w:val="nil"/>
              <w:bottom w:val="single" w:sz="4" w:space="0" w:color="auto"/>
              <w:right w:val="single" w:sz="4" w:space="0" w:color="auto"/>
            </w:tcBorders>
            <w:shd w:val="clear" w:color="FFFFFF" w:fill="FFFFFF"/>
            <w:vAlign w:val="center"/>
            <w:hideMark/>
          </w:tcPr>
          <w:p w14:paraId="14F60F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Romët dhe Egjiptianët</w:t>
            </w:r>
          </w:p>
        </w:tc>
        <w:tc>
          <w:tcPr>
            <w:tcW w:w="661" w:type="pct"/>
            <w:tcBorders>
              <w:top w:val="nil"/>
              <w:left w:val="nil"/>
              <w:bottom w:val="single" w:sz="4" w:space="0" w:color="auto"/>
              <w:right w:val="single" w:sz="4" w:space="0" w:color="auto"/>
            </w:tcBorders>
            <w:shd w:val="clear" w:color="FFFFFF" w:fill="FFFFFF"/>
            <w:vAlign w:val="center"/>
            <w:hideMark/>
          </w:tcPr>
          <w:p w14:paraId="3EB539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2000/43/KE e 29 qershorit 2000 për zbatimin e parimit të trajtimit të barabartë mes personave, pavarësisht nga origjina racore ose etnike OJ L 180, 19.7.2000, f. 22–26 EUR-Lex</w:t>
            </w:r>
          </w:p>
        </w:tc>
        <w:tc>
          <w:tcPr>
            <w:tcW w:w="668" w:type="pct"/>
            <w:tcBorders>
              <w:top w:val="nil"/>
              <w:left w:val="nil"/>
              <w:bottom w:val="single" w:sz="4" w:space="0" w:color="auto"/>
              <w:right w:val="single" w:sz="4" w:space="0" w:color="auto"/>
            </w:tcBorders>
            <w:shd w:val="clear" w:color="auto" w:fill="auto"/>
            <w:vAlign w:val="center"/>
            <w:hideMark/>
          </w:tcPr>
          <w:p w14:paraId="496A4AD2" w14:textId="77777777" w:rsidR="00482167" w:rsidRPr="006D6BE5" w:rsidRDefault="00E63D69" w:rsidP="00A7241A">
            <w:pPr>
              <w:rPr>
                <w:rFonts w:ascii="Arial" w:hAnsi="Arial" w:cs="Arial"/>
                <w:color w:val="0563C1"/>
                <w:sz w:val="4"/>
                <w:szCs w:val="8"/>
                <w:u w:val="single"/>
                <w:lang w:val="sq-AL"/>
              </w:rPr>
            </w:pPr>
            <w:hyperlink r:id="rId18" w:history="1">
              <w:r w:rsidR="00482167" w:rsidRPr="006D6BE5">
                <w:rPr>
                  <w:rFonts w:ascii="Arial" w:hAnsi="Arial" w:cs="Arial"/>
                  <w:color w:val="0563C1"/>
                  <w:sz w:val="4"/>
                  <w:szCs w:val="8"/>
                  <w:u w:val="single"/>
                  <w:lang w:val="sq-AL"/>
                </w:rPr>
                <w:t xml:space="preserve">https://eur-lex.europa.eu/legal-content/EN/TXT/?uri=CELEX:52021DC0101 </w:t>
              </w:r>
            </w:hyperlink>
          </w:p>
        </w:tc>
        <w:tc>
          <w:tcPr>
            <w:tcW w:w="506" w:type="pct"/>
            <w:tcBorders>
              <w:top w:val="nil"/>
              <w:left w:val="nil"/>
              <w:bottom w:val="single" w:sz="4" w:space="0" w:color="auto"/>
              <w:right w:val="single" w:sz="4" w:space="0" w:color="auto"/>
            </w:tcBorders>
            <w:shd w:val="clear" w:color="FFFFFF" w:fill="FFFFFF"/>
            <w:vAlign w:val="center"/>
            <w:hideMark/>
          </w:tcPr>
          <w:p w14:paraId="0DC523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EFB03DA" w14:textId="666BD66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Kombëtar për Barazinë, Përfshirjen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Pjesëmarrjen e pakicave Rom dhe Egjiptiane"</w:t>
            </w:r>
          </w:p>
        </w:tc>
        <w:tc>
          <w:tcPr>
            <w:tcW w:w="330" w:type="pct"/>
            <w:tcBorders>
              <w:top w:val="nil"/>
              <w:left w:val="nil"/>
              <w:bottom w:val="single" w:sz="4" w:space="0" w:color="auto"/>
              <w:right w:val="single" w:sz="4" w:space="0" w:color="auto"/>
            </w:tcBorders>
            <w:shd w:val="clear" w:color="FFFFFF" w:fill="FFFFFF"/>
            <w:vAlign w:val="center"/>
            <w:hideMark/>
          </w:tcPr>
          <w:p w14:paraId="5ECFAB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Trajtimi i barabartë, plani kombëtar, përfshirje, romët, egjiptianët.</w:t>
            </w:r>
          </w:p>
        </w:tc>
        <w:tc>
          <w:tcPr>
            <w:tcW w:w="126" w:type="pct"/>
            <w:tcBorders>
              <w:top w:val="nil"/>
              <w:left w:val="nil"/>
              <w:bottom w:val="single" w:sz="4" w:space="0" w:color="auto"/>
              <w:right w:val="single" w:sz="4" w:space="0" w:color="auto"/>
            </w:tcBorders>
            <w:shd w:val="clear" w:color="FFFFFF" w:fill="FFFFFF"/>
            <w:vAlign w:val="center"/>
            <w:hideMark/>
          </w:tcPr>
          <w:p w14:paraId="5FF7BC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DF5BE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178E79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4FE94D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45A61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A69B5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45B41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BDF34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CDBFF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2,931 </w:t>
            </w:r>
          </w:p>
        </w:tc>
        <w:tc>
          <w:tcPr>
            <w:tcW w:w="129" w:type="pct"/>
            <w:tcBorders>
              <w:top w:val="nil"/>
              <w:left w:val="nil"/>
              <w:bottom w:val="single" w:sz="4" w:space="0" w:color="auto"/>
              <w:right w:val="single" w:sz="4" w:space="0" w:color="auto"/>
            </w:tcBorders>
            <w:shd w:val="clear" w:color="FFFFFF" w:fill="FFFFFF"/>
            <w:vAlign w:val="center"/>
            <w:hideMark/>
          </w:tcPr>
          <w:p w14:paraId="3EF726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988D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97EC0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EAB7B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647144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1981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auto" w:fill="auto"/>
            <w:vAlign w:val="center"/>
            <w:hideMark/>
          </w:tcPr>
          <w:p w14:paraId="1333FD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auto" w:fill="auto"/>
            <w:vAlign w:val="center"/>
            <w:hideMark/>
          </w:tcPr>
          <w:p w14:paraId="4C8F8D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Lufta kundër krimit të organizuar</w:t>
            </w:r>
          </w:p>
        </w:tc>
        <w:tc>
          <w:tcPr>
            <w:tcW w:w="171" w:type="pct"/>
            <w:tcBorders>
              <w:top w:val="nil"/>
              <w:left w:val="nil"/>
              <w:bottom w:val="single" w:sz="4" w:space="0" w:color="auto"/>
              <w:right w:val="single" w:sz="4" w:space="0" w:color="auto"/>
            </w:tcBorders>
            <w:shd w:val="clear" w:color="auto" w:fill="auto"/>
            <w:vAlign w:val="center"/>
            <w:hideMark/>
          </w:tcPr>
          <w:p w14:paraId="3A346E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auto" w:fill="auto"/>
            <w:vAlign w:val="center"/>
            <w:hideMark/>
          </w:tcPr>
          <w:p w14:paraId="087DEA6D" w14:textId="3905C54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BE 2014/42/EU</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datës 3 prill 2014</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mbi ngritjen dhe konfiskimin e instrumenteve dhe produkteve të veprave penale në Bashkimin Evropian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p>
        </w:tc>
        <w:tc>
          <w:tcPr>
            <w:tcW w:w="668" w:type="pct"/>
            <w:tcBorders>
              <w:top w:val="nil"/>
              <w:left w:val="nil"/>
              <w:bottom w:val="single" w:sz="4" w:space="0" w:color="auto"/>
              <w:right w:val="single" w:sz="4" w:space="0" w:color="auto"/>
            </w:tcBorders>
            <w:shd w:val="clear" w:color="auto" w:fill="auto"/>
            <w:vAlign w:val="center"/>
            <w:hideMark/>
          </w:tcPr>
          <w:p w14:paraId="6197175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https://eur-lex.europa.eu/legal-content/EN/TXT/?uri=CELEX%3A32014L0042</w:t>
            </w:r>
          </w:p>
        </w:tc>
        <w:tc>
          <w:tcPr>
            <w:tcW w:w="506" w:type="pct"/>
            <w:tcBorders>
              <w:top w:val="nil"/>
              <w:left w:val="nil"/>
              <w:bottom w:val="single" w:sz="4" w:space="0" w:color="auto"/>
              <w:right w:val="single" w:sz="4" w:space="0" w:color="auto"/>
            </w:tcBorders>
            <w:shd w:val="clear" w:color="auto" w:fill="auto"/>
            <w:vAlign w:val="center"/>
            <w:hideMark/>
          </w:tcPr>
          <w:p w14:paraId="7C6814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FE21B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krijimin e Zyrës së Rikuperimit të Aseteve"</w:t>
            </w:r>
          </w:p>
        </w:tc>
        <w:tc>
          <w:tcPr>
            <w:tcW w:w="330" w:type="pct"/>
            <w:tcBorders>
              <w:top w:val="nil"/>
              <w:left w:val="nil"/>
              <w:bottom w:val="single" w:sz="4" w:space="0" w:color="auto"/>
              <w:right w:val="single" w:sz="4" w:space="0" w:color="auto"/>
            </w:tcBorders>
            <w:shd w:val="clear" w:color="auto" w:fill="auto"/>
            <w:vAlign w:val="center"/>
            <w:hideMark/>
          </w:tcPr>
          <w:p w14:paraId="6053AC4C" w14:textId="3D7C997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synon përafrimin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ligjit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tonë me atë të BE, të Zyrës së Rikuperimit të Aseteve në Shqipëri me Zyrën e Rikuperimit të Aseteve në BE.</w:t>
            </w:r>
          </w:p>
        </w:tc>
        <w:tc>
          <w:tcPr>
            <w:tcW w:w="126" w:type="pct"/>
            <w:tcBorders>
              <w:top w:val="nil"/>
              <w:left w:val="nil"/>
              <w:bottom w:val="single" w:sz="4" w:space="0" w:color="auto"/>
              <w:right w:val="single" w:sz="4" w:space="0" w:color="auto"/>
            </w:tcBorders>
            <w:shd w:val="clear" w:color="auto" w:fill="auto"/>
            <w:vAlign w:val="center"/>
            <w:hideMark/>
          </w:tcPr>
          <w:p w14:paraId="0505D69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4C06702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2E08F6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auto" w:fill="auto"/>
            <w:vAlign w:val="center"/>
            <w:hideMark/>
          </w:tcPr>
          <w:p w14:paraId="28EA91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49E53D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7A66C3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35690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1,509 </w:t>
            </w:r>
          </w:p>
        </w:tc>
        <w:tc>
          <w:tcPr>
            <w:tcW w:w="126" w:type="pct"/>
            <w:tcBorders>
              <w:top w:val="nil"/>
              <w:left w:val="nil"/>
              <w:bottom w:val="single" w:sz="4" w:space="0" w:color="auto"/>
              <w:right w:val="single" w:sz="4" w:space="0" w:color="auto"/>
            </w:tcBorders>
            <w:shd w:val="clear" w:color="auto" w:fill="auto"/>
            <w:vAlign w:val="center"/>
            <w:hideMark/>
          </w:tcPr>
          <w:p w14:paraId="3AF4A4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56475C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AC1B2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EB63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6079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813AF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423AA74"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FE2BE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auto" w:fill="auto"/>
            <w:vAlign w:val="center"/>
            <w:hideMark/>
          </w:tcPr>
          <w:p w14:paraId="38ADE1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auto" w:fill="auto"/>
            <w:vAlign w:val="center"/>
            <w:hideMark/>
          </w:tcPr>
          <w:p w14:paraId="01A960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Lufta kundër krimit të organizuar</w:t>
            </w:r>
          </w:p>
        </w:tc>
        <w:tc>
          <w:tcPr>
            <w:tcW w:w="171" w:type="pct"/>
            <w:tcBorders>
              <w:top w:val="nil"/>
              <w:left w:val="nil"/>
              <w:bottom w:val="single" w:sz="4" w:space="0" w:color="auto"/>
              <w:right w:val="single" w:sz="4" w:space="0" w:color="auto"/>
            </w:tcBorders>
            <w:shd w:val="clear" w:color="auto" w:fill="auto"/>
            <w:vAlign w:val="center"/>
            <w:hideMark/>
          </w:tcPr>
          <w:p w14:paraId="59E22F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auto" w:fill="auto"/>
            <w:vAlign w:val="center"/>
            <w:hideMark/>
          </w:tcPr>
          <w:p w14:paraId="5547A3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 i Këshillit 2007/845/JHA e 6 dhjetorit 2007 në lidhje me bashkëpunimin midis Zyrave të Rimëkëmbjes së Aseteve të Shteteve Anëtare në fushën e gjurmimit dhe identifikimit të të ardhurave nga, ose prona të tjera të lidhura me Krimin</w:t>
            </w:r>
          </w:p>
        </w:tc>
        <w:tc>
          <w:tcPr>
            <w:tcW w:w="668" w:type="pct"/>
            <w:tcBorders>
              <w:top w:val="nil"/>
              <w:left w:val="nil"/>
              <w:bottom w:val="single" w:sz="4" w:space="0" w:color="auto"/>
              <w:right w:val="single" w:sz="4" w:space="0" w:color="auto"/>
            </w:tcBorders>
            <w:shd w:val="clear" w:color="auto" w:fill="auto"/>
            <w:vAlign w:val="center"/>
            <w:hideMark/>
          </w:tcPr>
          <w:p w14:paraId="38571713"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https://eur-lex.europa.eu/legal-content/EN/TXT/?uri=celex%3A32007D0845</w:t>
            </w:r>
          </w:p>
        </w:tc>
        <w:tc>
          <w:tcPr>
            <w:tcW w:w="506" w:type="pct"/>
            <w:tcBorders>
              <w:top w:val="nil"/>
              <w:left w:val="nil"/>
              <w:bottom w:val="single" w:sz="4" w:space="0" w:color="auto"/>
              <w:right w:val="single" w:sz="4" w:space="0" w:color="auto"/>
            </w:tcBorders>
            <w:shd w:val="clear" w:color="auto" w:fill="auto"/>
            <w:vAlign w:val="center"/>
            <w:hideMark/>
          </w:tcPr>
          <w:p w14:paraId="001CFD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33AFF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krijimin e Zyrës së Rikuperimit të Aseteve"</w:t>
            </w:r>
          </w:p>
        </w:tc>
        <w:tc>
          <w:tcPr>
            <w:tcW w:w="330" w:type="pct"/>
            <w:tcBorders>
              <w:top w:val="nil"/>
              <w:left w:val="nil"/>
              <w:bottom w:val="single" w:sz="4" w:space="0" w:color="auto"/>
              <w:right w:val="single" w:sz="4" w:space="0" w:color="auto"/>
            </w:tcBorders>
            <w:shd w:val="clear" w:color="auto" w:fill="auto"/>
            <w:vAlign w:val="center"/>
            <w:hideMark/>
          </w:tcPr>
          <w:p w14:paraId="3968AE90" w14:textId="73986E6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synon përafrimin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ligjit tonë me atë të BE, të Zyrës së Rikuperimit të Aseteve në Shqipëri me Zyrën e Rikuperimit të Aseteve në BE.</w:t>
            </w:r>
          </w:p>
        </w:tc>
        <w:tc>
          <w:tcPr>
            <w:tcW w:w="126" w:type="pct"/>
            <w:tcBorders>
              <w:top w:val="nil"/>
              <w:left w:val="nil"/>
              <w:bottom w:val="single" w:sz="4" w:space="0" w:color="auto"/>
              <w:right w:val="single" w:sz="4" w:space="0" w:color="auto"/>
            </w:tcBorders>
            <w:shd w:val="clear" w:color="auto" w:fill="auto"/>
            <w:vAlign w:val="center"/>
            <w:hideMark/>
          </w:tcPr>
          <w:p w14:paraId="7FFDA31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4066FFA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4A6A70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auto" w:fill="auto"/>
            <w:vAlign w:val="center"/>
            <w:hideMark/>
          </w:tcPr>
          <w:p w14:paraId="705885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0F073C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3A3E8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21B1D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1,509 </w:t>
            </w:r>
          </w:p>
        </w:tc>
        <w:tc>
          <w:tcPr>
            <w:tcW w:w="126" w:type="pct"/>
            <w:tcBorders>
              <w:top w:val="nil"/>
              <w:left w:val="nil"/>
              <w:bottom w:val="single" w:sz="4" w:space="0" w:color="auto"/>
              <w:right w:val="single" w:sz="4" w:space="0" w:color="auto"/>
            </w:tcBorders>
            <w:shd w:val="clear" w:color="auto" w:fill="auto"/>
            <w:vAlign w:val="center"/>
            <w:hideMark/>
          </w:tcPr>
          <w:p w14:paraId="4551A2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67D6A7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0F74C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3C08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24CF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B40E8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56189A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74EC9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549BF2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7DA48E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2CF29B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72566E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(BE) 2016/399 e Parlamentit Evropian dhe e Këshillit e datës 9 mars 2016, mbi Kodin e Bashkimit mbi rregullat që rregullojnë lëvizjen e personave përtej kufijve. </w:t>
            </w:r>
          </w:p>
        </w:tc>
        <w:tc>
          <w:tcPr>
            <w:tcW w:w="668" w:type="pct"/>
            <w:tcBorders>
              <w:top w:val="nil"/>
              <w:left w:val="nil"/>
              <w:bottom w:val="single" w:sz="4" w:space="0" w:color="auto"/>
              <w:right w:val="single" w:sz="4" w:space="0" w:color="auto"/>
            </w:tcBorders>
            <w:shd w:val="clear" w:color="FFFFFF" w:fill="FFFFFF"/>
            <w:vAlign w:val="center"/>
            <w:hideMark/>
          </w:tcPr>
          <w:p w14:paraId="78CEBD6B"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https://eur-lex.europa.eu/legal-content/EN/TXT/?uri=celex%3A32016R0399</w:t>
            </w:r>
          </w:p>
        </w:tc>
        <w:tc>
          <w:tcPr>
            <w:tcW w:w="506" w:type="pct"/>
            <w:tcBorders>
              <w:top w:val="nil"/>
              <w:left w:val="nil"/>
              <w:bottom w:val="single" w:sz="4" w:space="0" w:color="auto"/>
              <w:right w:val="single" w:sz="4" w:space="0" w:color="auto"/>
            </w:tcBorders>
            <w:shd w:val="clear" w:color="FFFFFF" w:fill="FFFFFF"/>
            <w:vAlign w:val="center"/>
            <w:hideMark/>
          </w:tcPr>
          <w:p w14:paraId="2E45AD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22C5B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71/2016 "Për Kontrollin Kufitar", i ndryshuar</w:t>
            </w:r>
          </w:p>
        </w:tc>
        <w:tc>
          <w:tcPr>
            <w:tcW w:w="330" w:type="pct"/>
            <w:tcBorders>
              <w:top w:val="nil"/>
              <w:left w:val="nil"/>
              <w:bottom w:val="single" w:sz="4" w:space="0" w:color="auto"/>
              <w:right w:val="single" w:sz="4" w:space="0" w:color="auto"/>
            </w:tcBorders>
            <w:shd w:val="clear" w:color="FFFFFF" w:fill="FFFFFF"/>
            <w:vAlign w:val="center"/>
            <w:hideMark/>
          </w:tcPr>
          <w:p w14:paraId="3ACE1AC9" w14:textId="63EE725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Ndryshimi i ligjit nr. 22/2020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 Ligji i ri synon përputhjen e plotë të legjislacionit për mbrojtjen e të dhënave personale.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Ligji i ri për Mbrojtjen e të dhënave personale në Republikën e Shqipërisë është në proces dhe është parë e arsyeshme që të shtyhet afati për ndryshimin e Ligjit 22/2020 dhe miratimin e Ligjit të ri për API/PNR në vitin 2024 për shkak të procedurave që kërkon hartimi dhe miratimi i një ligji të ri.</w:t>
            </w:r>
            <w:r w:rsidRPr="006D6BE5">
              <w:rPr>
                <w:rFonts w:ascii="Arial" w:hAnsi="Arial" w:cs="Arial"/>
                <w:color w:val="000000"/>
                <w:sz w:val="4"/>
                <w:szCs w:val="8"/>
                <w:lang w:val="sq-AL"/>
              </w:rPr>
              <w:b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0FE66C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5DD88C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ED3F9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550C16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BC292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27DF2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4C78E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1,820 </w:t>
            </w:r>
          </w:p>
        </w:tc>
        <w:tc>
          <w:tcPr>
            <w:tcW w:w="126" w:type="pct"/>
            <w:tcBorders>
              <w:top w:val="nil"/>
              <w:left w:val="nil"/>
              <w:bottom w:val="single" w:sz="4" w:space="0" w:color="auto"/>
              <w:right w:val="single" w:sz="4" w:space="0" w:color="auto"/>
            </w:tcBorders>
            <w:shd w:val="clear" w:color="FFFFFF" w:fill="FFFFFF"/>
            <w:vAlign w:val="center"/>
            <w:hideMark/>
          </w:tcPr>
          <w:p w14:paraId="66C252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7D71E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2A9B2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33815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9AEDE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4900D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84DE0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EA12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53CBDC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4EC4AE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6A7268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42279B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2021/581 e datës 9 prill 2021 mbi pamjet e situatës së Sistemit Evropian të Mbikëqyrjes Kufitare (EUROSUR)</w:t>
            </w:r>
          </w:p>
        </w:tc>
        <w:tc>
          <w:tcPr>
            <w:tcW w:w="668" w:type="pct"/>
            <w:tcBorders>
              <w:top w:val="nil"/>
              <w:left w:val="nil"/>
              <w:bottom w:val="single" w:sz="4" w:space="0" w:color="auto"/>
              <w:right w:val="single" w:sz="4" w:space="0" w:color="auto"/>
            </w:tcBorders>
            <w:shd w:val="clear" w:color="FFFFFF" w:fill="FFFFFF"/>
            <w:vAlign w:val="center"/>
            <w:hideMark/>
          </w:tcPr>
          <w:p w14:paraId="048F1734" w14:textId="77777777" w:rsidR="00482167" w:rsidRPr="006D6BE5" w:rsidRDefault="00E63D69" w:rsidP="00A7241A">
            <w:pPr>
              <w:rPr>
                <w:rFonts w:ascii="Arial" w:hAnsi="Arial" w:cs="Arial"/>
                <w:color w:val="0563C1"/>
                <w:sz w:val="4"/>
                <w:szCs w:val="8"/>
                <w:u w:val="single"/>
                <w:lang w:val="sq-AL"/>
              </w:rPr>
            </w:pPr>
            <w:hyperlink r:id="rId19" w:history="1">
              <w:r w:rsidR="00482167" w:rsidRPr="006D6BE5">
                <w:rPr>
                  <w:rFonts w:ascii="Arial" w:hAnsi="Arial" w:cs="Arial"/>
                  <w:color w:val="0563C1"/>
                  <w:sz w:val="4"/>
                  <w:szCs w:val="8"/>
                  <w:u w:val="single"/>
                  <w:lang w:val="sq-AL"/>
                </w:rPr>
                <w:t>https://data.europa.eu/eli/reg_impl/2021/581/oj</w:t>
              </w:r>
            </w:hyperlink>
          </w:p>
        </w:tc>
        <w:tc>
          <w:tcPr>
            <w:tcW w:w="506" w:type="pct"/>
            <w:tcBorders>
              <w:top w:val="nil"/>
              <w:left w:val="nil"/>
              <w:bottom w:val="single" w:sz="4" w:space="0" w:color="auto"/>
              <w:right w:val="single" w:sz="4" w:space="0" w:color="auto"/>
            </w:tcBorders>
            <w:shd w:val="clear" w:color="FFFFFF" w:fill="FFFFFF"/>
            <w:vAlign w:val="center"/>
            <w:hideMark/>
          </w:tcPr>
          <w:p w14:paraId="0079E2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EF08D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71/2016 "Për Kontrollin Kufitar", i ndryshuar</w:t>
            </w:r>
          </w:p>
        </w:tc>
        <w:tc>
          <w:tcPr>
            <w:tcW w:w="330" w:type="pct"/>
            <w:tcBorders>
              <w:top w:val="nil"/>
              <w:left w:val="nil"/>
              <w:bottom w:val="single" w:sz="4" w:space="0" w:color="auto"/>
              <w:right w:val="single" w:sz="4" w:space="0" w:color="auto"/>
            </w:tcBorders>
            <w:shd w:val="clear" w:color="FFFFFF" w:fill="FFFFFF"/>
            <w:vAlign w:val="center"/>
            <w:hideMark/>
          </w:tcPr>
          <w:p w14:paraId="4D64AA73" w14:textId="64F8C27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ligjit nr. 22/2020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 Ligji i ri synon përputhjen e plotë të legjislacionit për mbrojtjen e të dhënave personale.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Ligji i ri për Mbrojtjen e të dhënave personale në Republikën e Shqipërisë është në proces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është parë e arsyeshme që të shtyhet afati për ndryshimin e Ligjit 22/2020 dhe aprovimin e Ligjit të ri për API/PNR në vitin 2024 për shkak të procedurave që kërkon hartimi dhe miratimi i një ligji të ri.</w:t>
            </w:r>
            <w:r w:rsidRPr="006D6BE5">
              <w:rPr>
                <w:rFonts w:ascii="Arial" w:hAnsi="Arial" w:cs="Arial"/>
                <w:color w:val="000000"/>
                <w:sz w:val="4"/>
                <w:szCs w:val="8"/>
                <w:lang w:val="sq-AL"/>
              </w:rPr>
              <w:b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29EBDE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8C12E4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61A21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339664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B8C77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6C862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081C4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1,820 </w:t>
            </w:r>
          </w:p>
        </w:tc>
        <w:tc>
          <w:tcPr>
            <w:tcW w:w="126" w:type="pct"/>
            <w:tcBorders>
              <w:top w:val="nil"/>
              <w:left w:val="nil"/>
              <w:bottom w:val="single" w:sz="4" w:space="0" w:color="auto"/>
              <w:right w:val="single" w:sz="4" w:space="0" w:color="auto"/>
            </w:tcBorders>
            <w:shd w:val="clear" w:color="FFFFFF" w:fill="FFFFFF"/>
            <w:vAlign w:val="center"/>
            <w:hideMark/>
          </w:tcPr>
          <w:p w14:paraId="5D6517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A3E5E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5B81C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1A58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B67F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3536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A910A3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04552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5E8C5A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496EE3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3E0E09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3B8940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(KE) 1931/2006 e Parlamentit Evropian dhe e Këshillit e datës 20 dhjetor 2006, që përcakton rregullat për trafikun kufitar lokal në kufijtë tokësorë të jashtëm të Shteteve Anëtare dhe që ndryshon dispozitat e Konventës së Shengenit. </w:t>
            </w:r>
          </w:p>
        </w:tc>
        <w:tc>
          <w:tcPr>
            <w:tcW w:w="668" w:type="pct"/>
            <w:tcBorders>
              <w:top w:val="nil"/>
              <w:left w:val="nil"/>
              <w:bottom w:val="single" w:sz="4" w:space="0" w:color="auto"/>
              <w:right w:val="single" w:sz="4" w:space="0" w:color="auto"/>
            </w:tcBorders>
            <w:shd w:val="clear" w:color="FFFFFF" w:fill="FFFFFF"/>
            <w:vAlign w:val="center"/>
            <w:hideMark/>
          </w:tcPr>
          <w:p w14:paraId="1B70A618"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https://eur-lex.europa.eu/legal-content/EN/ALL/?uri=celex%3A32006R1931</w:t>
            </w:r>
          </w:p>
        </w:tc>
        <w:tc>
          <w:tcPr>
            <w:tcW w:w="506" w:type="pct"/>
            <w:tcBorders>
              <w:top w:val="nil"/>
              <w:left w:val="nil"/>
              <w:bottom w:val="single" w:sz="4" w:space="0" w:color="auto"/>
              <w:right w:val="single" w:sz="4" w:space="0" w:color="auto"/>
            </w:tcBorders>
            <w:shd w:val="clear" w:color="FFFFFF" w:fill="FFFFFF"/>
            <w:vAlign w:val="center"/>
            <w:hideMark/>
          </w:tcPr>
          <w:p w14:paraId="4BA097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AE966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71/2016 "Për Kontrollin Kufitar", i ndryshuar</w:t>
            </w:r>
          </w:p>
        </w:tc>
        <w:tc>
          <w:tcPr>
            <w:tcW w:w="330" w:type="pct"/>
            <w:tcBorders>
              <w:top w:val="nil"/>
              <w:left w:val="nil"/>
              <w:bottom w:val="single" w:sz="4" w:space="0" w:color="auto"/>
              <w:right w:val="single" w:sz="4" w:space="0" w:color="auto"/>
            </w:tcBorders>
            <w:shd w:val="clear" w:color="FFFFFF" w:fill="FFFFFF"/>
            <w:vAlign w:val="center"/>
            <w:hideMark/>
          </w:tcPr>
          <w:p w14:paraId="16FEE1BE" w14:textId="608B96E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ligjit nr. 22/2020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 Ligji i ri synon përputhjen e plotë të legjislacionit për mbrojtjen e të dhënave personale.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Ligji i ri për Mbrojtjen e të dhënave personale në Republikën e Shqipërisë është në proces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është parë e arsyeshme që të shtyhet afati për ndryshimin e Ligjit 22/2020 dhe aprovimin e Ligjit të ri për API/PNR në vitin 2024 për shkak të procedurave që kërkon hartimi dhe miratimi i një ligji të ri.</w:t>
            </w:r>
            <w:r w:rsidRPr="006D6BE5">
              <w:rPr>
                <w:rFonts w:ascii="Arial" w:hAnsi="Arial" w:cs="Arial"/>
                <w:color w:val="000000"/>
                <w:sz w:val="4"/>
                <w:szCs w:val="8"/>
                <w:lang w:val="sq-AL"/>
              </w:rPr>
              <w:b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4B26F7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1008C5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D14CD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2217F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BACF7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58E4E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F67F3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1,820 </w:t>
            </w:r>
          </w:p>
        </w:tc>
        <w:tc>
          <w:tcPr>
            <w:tcW w:w="126" w:type="pct"/>
            <w:tcBorders>
              <w:top w:val="nil"/>
              <w:left w:val="nil"/>
              <w:bottom w:val="single" w:sz="4" w:space="0" w:color="auto"/>
              <w:right w:val="single" w:sz="4" w:space="0" w:color="auto"/>
            </w:tcBorders>
            <w:shd w:val="clear" w:color="FFFFFF" w:fill="FFFFFF"/>
            <w:vAlign w:val="center"/>
            <w:hideMark/>
          </w:tcPr>
          <w:p w14:paraId="11F186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9B3F7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81BB3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C051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209CF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D6A85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21CF30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942DE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656F85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024FA1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43E185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3DDB9C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Strategjia EuropeianeTteknike dhe Operacionale e Mennaxhimit te Integruar të Kufirit </w:t>
            </w:r>
          </w:p>
        </w:tc>
        <w:tc>
          <w:tcPr>
            <w:tcW w:w="668" w:type="pct"/>
            <w:tcBorders>
              <w:top w:val="nil"/>
              <w:left w:val="nil"/>
              <w:bottom w:val="single" w:sz="4" w:space="0" w:color="auto"/>
              <w:right w:val="single" w:sz="4" w:space="0" w:color="auto"/>
            </w:tcBorders>
            <w:shd w:val="clear" w:color="FFFFFF" w:fill="FFFFFF"/>
            <w:vAlign w:val="center"/>
            <w:hideMark/>
          </w:tcPr>
          <w:p w14:paraId="2D15B56B" w14:textId="77777777" w:rsidR="00482167" w:rsidRPr="006D6BE5" w:rsidRDefault="00E63D69" w:rsidP="00A7241A">
            <w:pPr>
              <w:rPr>
                <w:rFonts w:ascii="Arial" w:hAnsi="Arial" w:cs="Arial"/>
                <w:color w:val="0563C1"/>
                <w:sz w:val="4"/>
                <w:szCs w:val="8"/>
                <w:u w:val="single"/>
                <w:lang w:val="sq-AL"/>
              </w:rPr>
            </w:pPr>
            <w:hyperlink r:id="rId20" w:history="1">
              <w:r w:rsidR="00482167" w:rsidRPr="006D6BE5">
                <w:rPr>
                  <w:rFonts w:ascii="Arial" w:hAnsi="Arial" w:cs="Arial"/>
                  <w:color w:val="0563C1"/>
                  <w:sz w:val="4"/>
                  <w:szCs w:val="8"/>
                  <w:u w:val="single"/>
                  <w:lang w:val="sq-AL"/>
                </w:rPr>
                <w:t>https://www.frontex.europa.eu/assets/Key_Documents/MB_Decision/2019/MB_Decision_2_2019_adopting_a_Technical_and_Operational_Strategy_for_European_Integrated_Border_Management.pdf</w:t>
              </w:r>
            </w:hyperlink>
          </w:p>
        </w:tc>
        <w:tc>
          <w:tcPr>
            <w:tcW w:w="506" w:type="pct"/>
            <w:tcBorders>
              <w:top w:val="nil"/>
              <w:left w:val="nil"/>
              <w:bottom w:val="single" w:sz="4" w:space="0" w:color="auto"/>
              <w:right w:val="single" w:sz="4" w:space="0" w:color="auto"/>
            </w:tcBorders>
            <w:shd w:val="clear" w:color="FFFFFF" w:fill="FFFFFF"/>
            <w:vAlign w:val="center"/>
            <w:hideMark/>
          </w:tcPr>
          <w:p w14:paraId="34DDA2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5A7B1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të Veprimi 2024-2026 në zbatim të Strategjisë së Menaxhimit të Integruar të Kufirit (MIK) 2021-2027"</w:t>
            </w:r>
          </w:p>
        </w:tc>
        <w:tc>
          <w:tcPr>
            <w:tcW w:w="330" w:type="pct"/>
            <w:tcBorders>
              <w:top w:val="nil"/>
              <w:left w:val="nil"/>
              <w:bottom w:val="single" w:sz="4" w:space="0" w:color="auto"/>
              <w:right w:val="single" w:sz="4" w:space="0" w:color="auto"/>
            </w:tcBorders>
            <w:shd w:val="clear" w:color="FFFFFF" w:fill="FFFFFF"/>
            <w:vAlign w:val="center"/>
            <w:hideMark/>
          </w:tcPr>
          <w:p w14:paraId="7D4798D9" w14:textId="4F8DC0F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në zbatim të Startegjisë Ndërsektoriale të Menaxhimit të Integruar të Kufirit 2021-2027 dhe Planit te Veprimit 2021-2023,</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hartohet plani i ri i veprimit 2024-2027</w:t>
            </w:r>
          </w:p>
        </w:tc>
        <w:tc>
          <w:tcPr>
            <w:tcW w:w="126" w:type="pct"/>
            <w:tcBorders>
              <w:top w:val="nil"/>
              <w:left w:val="nil"/>
              <w:bottom w:val="single" w:sz="4" w:space="0" w:color="auto"/>
              <w:right w:val="single" w:sz="4" w:space="0" w:color="auto"/>
            </w:tcBorders>
            <w:shd w:val="clear" w:color="FFFFFF" w:fill="FFFFFF"/>
            <w:vAlign w:val="center"/>
            <w:hideMark/>
          </w:tcPr>
          <w:p w14:paraId="3EBFAA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9F534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EE615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4BC60B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7C640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B9213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DF36A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1,800 </w:t>
            </w:r>
          </w:p>
        </w:tc>
        <w:tc>
          <w:tcPr>
            <w:tcW w:w="126" w:type="pct"/>
            <w:tcBorders>
              <w:top w:val="nil"/>
              <w:left w:val="nil"/>
              <w:bottom w:val="single" w:sz="4" w:space="0" w:color="auto"/>
              <w:right w:val="single" w:sz="4" w:space="0" w:color="auto"/>
            </w:tcBorders>
            <w:shd w:val="clear" w:color="FFFFFF" w:fill="FFFFFF"/>
            <w:vAlign w:val="center"/>
            <w:hideMark/>
          </w:tcPr>
          <w:p w14:paraId="4E4657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9882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4D531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C63F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D8090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2943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A07A7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BA48F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2317F1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6893BE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06EDD7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6D6A819D" w14:textId="1757512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2016/681 të Parlamentit dhe Këshillit Europian datë 27.04.2016 mbi perdorimin e të dhenave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të regjistrit të emrit të pasagjesrit (PNR) me qëllim parandalimin, zbulimin, hetimin dhe ndjekjen penale të veprave me qëllime terroriste dhe krime të rënda. </w:t>
            </w:r>
          </w:p>
        </w:tc>
        <w:tc>
          <w:tcPr>
            <w:tcW w:w="668" w:type="pct"/>
            <w:tcBorders>
              <w:top w:val="nil"/>
              <w:left w:val="nil"/>
              <w:bottom w:val="single" w:sz="4" w:space="0" w:color="auto"/>
              <w:right w:val="single" w:sz="4" w:space="0" w:color="auto"/>
            </w:tcBorders>
            <w:shd w:val="clear" w:color="FFFFFF" w:fill="FFFFFF"/>
            <w:vAlign w:val="center"/>
            <w:hideMark/>
          </w:tcPr>
          <w:p w14:paraId="29FB448B"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https://eur-lex.europa.eu/eli/dir/2016/681/oj</w:t>
            </w:r>
          </w:p>
        </w:tc>
        <w:tc>
          <w:tcPr>
            <w:tcW w:w="506" w:type="pct"/>
            <w:tcBorders>
              <w:top w:val="nil"/>
              <w:left w:val="nil"/>
              <w:bottom w:val="single" w:sz="4" w:space="0" w:color="auto"/>
              <w:right w:val="single" w:sz="4" w:space="0" w:color="auto"/>
            </w:tcBorders>
            <w:shd w:val="clear" w:color="FFFFFF" w:fill="FFFFFF"/>
            <w:vAlign w:val="center"/>
            <w:hideMark/>
          </w:tcPr>
          <w:p w14:paraId="278160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96152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përpunimin e informacionit të pasagjerit në Republikën e Shqipërisë"</w:t>
            </w:r>
          </w:p>
        </w:tc>
        <w:tc>
          <w:tcPr>
            <w:tcW w:w="330" w:type="pct"/>
            <w:tcBorders>
              <w:top w:val="nil"/>
              <w:left w:val="nil"/>
              <w:bottom w:val="single" w:sz="4" w:space="0" w:color="auto"/>
              <w:right w:val="single" w:sz="4" w:space="0" w:color="auto"/>
            </w:tcBorders>
            <w:shd w:val="clear" w:color="FFFFFF" w:fill="FFFFFF"/>
            <w:vAlign w:val="center"/>
            <w:hideMark/>
          </w:tcPr>
          <w:p w14:paraId="15945306" w14:textId="2EFEF5B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ligjit nr. 22/2020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 Ligji i ri synon përputhjen e plotë të legjislacionit për mbrojtjen e të dhënave personale.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 xml:space="preserve"> Ligji i ri për Mbrojtjen e të dhënave personale në Republikën e Shqipërisë është në proces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është parë e arsyeshme që të shtyhet afati për ndryshimin e Ligjit 22/2020 dhe miratimin e Ligjit të ri për API/PNR në vitin 2024 për shkak të procedurave që kërkon hartimi dhe miratimi i një ligji të ri.</w:t>
            </w:r>
            <w:r w:rsidRPr="006D6BE5">
              <w:rPr>
                <w:rFonts w:ascii="Arial" w:hAnsi="Arial" w:cs="Arial"/>
                <w:color w:val="000000"/>
                <w:sz w:val="4"/>
                <w:szCs w:val="8"/>
                <w:lang w:val="sq-AL"/>
              </w:rPr>
              <w:b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7641D26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632000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738E0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3C1A5E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AB3FC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5DEF1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4E614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819.90</w:t>
            </w:r>
          </w:p>
        </w:tc>
        <w:tc>
          <w:tcPr>
            <w:tcW w:w="126" w:type="pct"/>
            <w:tcBorders>
              <w:top w:val="nil"/>
              <w:left w:val="nil"/>
              <w:bottom w:val="single" w:sz="4" w:space="0" w:color="auto"/>
              <w:right w:val="single" w:sz="4" w:space="0" w:color="auto"/>
            </w:tcBorders>
            <w:shd w:val="clear" w:color="FFFFFF" w:fill="FFFFFF"/>
            <w:vAlign w:val="center"/>
            <w:hideMark/>
          </w:tcPr>
          <w:p w14:paraId="59B22C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3702C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16120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62114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E08F8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92A73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08E2B2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386D3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6661B0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4CB788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Kufijte e jashtem Shengen</w:t>
            </w:r>
          </w:p>
        </w:tc>
        <w:tc>
          <w:tcPr>
            <w:tcW w:w="171" w:type="pct"/>
            <w:tcBorders>
              <w:top w:val="nil"/>
              <w:left w:val="nil"/>
              <w:bottom w:val="single" w:sz="4" w:space="0" w:color="auto"/>
              <w:right w:val="single" w:sz="4" w:space="0" w:color="auto"/>
            </w:tcBorders>
            <w:shd w:val="clear" w:color="FFFFFF" w:fill="FFFFFF"/>
            <w:vAlign w:val="center"/>
            <w:hideMark/>
          </w:tcPr>
          <w:p w14:paraId="380C94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55B78E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2004/82/KE, datë 29 prill 2004, “Për detyrimin e transportuesve për të komunikuar të dhënat për pasagjerët”</w:t>
            </w:r>
          </w:p>
        </w:tc>
        <w:tc>
          <w:tcPr>
            <w:tcW w:w="668" w:type="pct"/>
            <w:tcBorders>
              <w:top w:val="nil"/>
              <w:left w:val="nil"/>
              <w:bottom w:val="single" w:sz="4" w:space="0" w:color="auto"/>
              <w:right w:val="single" w:sz="4" w:space="0" w:color="auto"/>
            </w:tcBorders>
            <w:shd w:val="clear" w:color="FFFFFF" w:fill="FFFFFF"/>
            <w:vAlign w:val="center"/>
            <w:hideMark/>
          </w:tcPr>
          <w:p w14:paraId="7DE537E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https://eur-lex.europa.eu/legal-content/EN/TXT/?uri=celex%3A32004L0082</w:t>
            </w:r>
          </w:p>
        </w:tc>
        <w:tc>
          <w:tcPr>
            <w:tcW w:w="506" w:type="pct"/>
            <w:tcBorders>
              <w:top w:val="nil"/>
              <w:left w:val="nil"/>
              <w:bottom w:val="single" w:sz="4" w:space="0" w:color="auto"/>
              <w:right w:val="single" w:sz="4" w:space="0" w:color="auto"/>
            </w:tcBorders>
            <w:shd w:val="clear" w:color="FFFFFF" w:fill="FFFFFF"/>
            <w:vAlign w:val="center"/>
            <w:hideMark/>
          </w:tcPr>
          <w:p w14:paraId="5D9F64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6DE6D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përpunimin e informacionit të pasagjerit në Republikën e Shqipërisë"</w:t>
            </w:r>
          </w:p>
        </w:tc>
        <w:tc>
          <w:tcPr>
            <w:tcW w:w="330" w:type="pct"/>
            <w:tcBorders>
              <w:top w:val="nil"/>
              <w:left w:val="nil"/>
              <w:bottom w:val="single" w:sz="4" w:space="0" w:color="auto"/>
              <w:right w:val="single" w:sz="4" w:space="0" w:color="auto"/>
            </w:tcBorders>
            <w:shd w:val="clear" w:color="FFFFFF" w:fill="FFFFFF"/>
            <w:vAlign w:val="center"/>
            <w:hideMark/>
          </w:tcPr>
          <w:p w14:paraId="5E092458" w14:textId="021325C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ligjit nr. 22/2020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 Ligji i ri synon përputhjen e plotë të legjislacionit për mbrojtjen e të dhënave personale.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Ligji i ri për Mbrojtjen e të dhënave personale në Republikën e Shqipërisë është në proces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është parë e arsyeshme që të shtyhet afati për ndryshimin e Ligjit 22/2020 dhe miratimin e Ligjit të ri për API/PNR në vitin 2024 për shkak të procedurave që kërkon hartimi dhe miratimi i një ligji të ri.</w:t>
            </w:r>
            <w:r w:rsidRPr="006D6BE5">
              <w:rPr>
                <w:rFonts w:ascii="Arial" w:hAnsi="Arial" w:cs="Arial"/>
                <w:color w:val="000000"/>
                <w:sz w:val="4"/>
                <w:szCs w:val="8"/>
                <w:lang w:val="sq-AL"/>
              </w:rPr>
              <w:br w:type="page"/>
              <w:t xml:space="preserve"> </w:t>
            </w:r>
            <w:r w:rsidRPr="006D6BE5">
              <w:rPr>
                <w:rFonts w:ascii="Arial" w:hAnsi="Arial" w:cs="Arial"/>
                <w:color w:val="000000"/>
                <w:sz w:val="4"/>
                <w:szCs w:val="8"/>
                <w:lang w:val="sq-AL"/>
              </w:rPr>
              <w:br w:type="page"/>
            </w:r>
          </w:p>
        </w:tc>
        <w:tc>
          <w:tcPr>
            <w:tcW w:w="126" w:type="pct"/>
            <w:tcBorders>
              <w:top w:val="nil"/>
              <w:left w:val="nil"/>
              <w:bottom w:val="single" w:sz="4" w:space="0" w:color="auto"/>
              <w:right w:val="single" w:sz="4" w:space="0" w:color="auto"/>
            </w:tcBorders>
            <w:shd w:val="clear" w:color="FFFFFF" w:fill="FFFFFF"/>
            <w:vAlign w:val="center"/>
            <w:hideMark/>
          </w:tcPr>
          <w:p w14:paraId="1FC4216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24259A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676A2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103792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EF74F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0AE1D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2A128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819.90</w:t>
            </w:r>
          </w:p>
        </w:tc>
        <w:tc>
          <w:tcPr>
            <w:tcW w:w="126" w:type="pct"/>
            <w:tcBorders>
              <w:top w:val="nil"/>
              <w:left w:val="nil"/>
              <w:bottom w:val="single" w:sz="4" w:space="0" w:color="auto"/>
              <w:right w:val="single" w:sz="4" w:space="0" w:color="auto"/>
            </w:tcBorders>
            <w:shd w:val="clear" w:color="FFFFFF" w:fill="FFFFFF"/>
            <w:vAlign w:val="center"/>
            <w:hideMark/>
          </w:tcPr>
          <w:p w14:paraId="1BA9EC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0EA41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5EF21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1E7B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0A5CE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3EFC6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11F47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91B612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24</w:t>
            </w:r>
          </w:p>
        </w:tc>
        <w:tc>
          <w:tcPr>
            <w:tcW w:w="144" w:type="pct"/>
            <w:tcBorders>
              <w:top w:val="nil"/>
              <w:left w:val="nil"/>
              <w:bottom w:val="single" w:sz="4" w:space="0" w:color="auto"/>
              <w:right w:val="single" w:sz="4" w:space="0" w:color="auto"/>
            </w:tcBorders>
            <w:shd w:val="clear" w:color="FFFFFF" w:fill="FFFFFF"/>
            <w:vAlign w:val="center"/>
            <w:hideMark/>
          </w:tcPr>
          <w:p w14:paraId="2A6AB5B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MB</w:t>
            </w:r>
          </w:p>
        </w:tc>
        <w:tc>
          <w:tcPr>
            <w:tcW w:w="165" w:type="pct"/>
            <w:tcBorders>
              <w:top w:val="nil"/>
              <w:left w:val="nil"/>
              <w:bottom w:val="single" w:sz="4" w:space="0" w:color="auto"/>
              <w:right w:val="single" w:sz="4" w:space="0" w:color="auto"/>
            </w:tcBorders>
            <w:shd w:val="clear" w:color="FFFFFF" w:fill="FFFFFF"/>
            <w:vAlign w:val="center"/>
            <w:hideMark/>
          </w:tcPr>
          <w:p w14:paraId="5AC8F47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Migracioni i rregullt</w:t>
            </w:r>
          </w:p>
        </w:tc>
        <w:tc>
          <w:tcPr>
            <w:tcW w:w="171" w:type="pct"/>
            <w:tcBorders>
              <w:top w:val="nil"/>
              <w:left w:val="nil"/>
              <w:bottom w:val="single" w:sz="4" w:space="0" w:color="auto"/>
              <w:right w:val="single" w:sz="4" w:space="0" w:color="auto"/>
            </w:tcBorders>
            <w:shd w:val="clear" w:color="FFFFFF" w:fill="FFFFFF"/>
            <w:vAlign w:val="center"/>
            <w:hideMark/>
          </w:tcPr>
          <w:p w14:paraId="6A5800D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4D249F4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Komunikata e Komisionit për Parlamentin dhe Këshillin Evropian mbi Strategjinë e BE-së për kthimin dhe riintegrimin vullnetar, datë 27.04.2021 - EUR-Lex - 52021DC0120.Perafrimi i metejshem me politiken e Paktit te BE per migracionin dhe azilin;</w:t>
            </w:r>
            <w:r w:rsidRPr="006D6BE5">
              <w:rPr>
                <w:rFonts w:ascii="Arial" w:hAnsi="Arial" w:cs="Arial"/>
                <w:sz w:val="4"/>
                <w:szCs w:val="8"/>
                <w:lang w:val="sq-AL"/>
              </w:rPr>
              <w:br/>
              <w:t>Permiresimi i politikave per kthimin dhe riintegrimin ne perputhje me BE;</w:t>
            </w:r>
            <w:r w:rsidRPr="006D6BE5">
              <w:rPr>
                <w:rFonts w:ascii="Arial" w:hAnsi="Arial" w:cs="Arial"/>
                <w:sz w:val="4"/>
                <w:szCs w:val="8"/>
                <w:lang w:val="sq-AL"/>
              </w:rPr>
              <w:br/>
              <w:t>Rritja e bashkëpunimit për kthimin dhe ripranimin si pjesë e një politike të drejtë, efektive dhe gjithëpërfshirëse të BE-së për migracionin;</w:t>
            </w:r>
            <w:r w:rsidRPr="006D6BE5">
              <w:rPr>
                <w:rFonts w:ascii="Arial" w:hAnsi="Arial" w:cs="Arial"/>
                <w:sz w:val="4"/>
                <w:szCs w:val="8"/>
                <w:lang w:val="sq-AL"/>
              </w:rPr>
              <w:br/>
              <w:t>Përforcimi i kapaciteteve mbi kthimin, ripranimin dhe riintegrimin e shtetasve me mbeshtetjen e vendeve te BE.</w:t>
            </w:r>
          </w:p>
        </w:tc>
        <w:tc>
          <w:tcPr>
            <w:tcW w:w="668" w:type="pct"/>
            <w:tcBorders>
              <w:top w:val="nil"/>
              <w:left w:val="nil"/>
              <w:bottom w:val="single" w:sz="4" w:space="0" w:color="auto"/>
              <w:right w:val="single" w:sz="4" w:space="0" w:color="auto"/>
            </w:tcBorders>
            <w:shd w:val="clear" w:color="auto" w:fill="auto"/>
            <w:vAlign w:val="center"/>
            <w:hideMark/>
          </w:tcPr>
          <w:p w14:paraId="11004875" w14:textId="77777777" w:rsidR="00482167" w:rsidRPr="006D6BE5" w:rsidRDefault="00E63D69" w:rsidP="00A7241A">
            <w:pPr>
              <w:rPr>
                <w:rFonts w:ascii="Arial" w:hAnsi="Arial" w:cs="Arial"/>
                <w:color w:val="0563C1"/>
                <w:sz w:val="4"/>
                <w:szCs w:val="8"/>
                <w:u w:val="single"/>
                <w:lang w:val="sq-AL"/>
              </w:rPr>
            </w:pPr>
            <w:hyperlink r:id="rId21" w:history="1">
              <w:r w:rsidR="00482167" w:rsidRPr="006D6BE5">
                <w:rPr>
                  <w:rFonts w:ascii="Arial" w:hAnsi="Arial" w:cs="Arial"/>
                  <w:color w:val="0563C1"/>
                  <w:sz w:val="4"/>
                  <w:szCs w:val="8"/>
                  <w:u w:val="single"/>
                  <w:lang w:val="sq-AL"/>
                </w:rPr>
                <w:t xml:space="preserve">https://eur-lex.europa.eu/legal-content/EN/ALL/?uri=CELEX%3A52021DC0120 </w:t>
              </w:r>
            </w:hyperlink>
          </w:p>
        </w:tc>
        <w:tc>
          <w:tcPr>
            <w:tcW w:w="506" w:type="pct"/>
            <w:tcBorders>
              <w:top w:val="nil"/>
              <w:left w:val="nil"/>
              <w:bottom w:val="single" w:sz="4" w:space="0" w:color="auto"/>
              <w:right w:val="single" w:sz="4" w:space="0" w:color="auto"/>
            </w:tcBorders>
            <w:shd w:val="clear" w:color="FFFFFF" w:fill="FFFFFF"/>
            <w:vAlign w:val="center"/>
            <w:hideMark/>
          </w:tcPr>
          <w:p w14:paraId="52E871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A4A4F1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Strategjisë Kombëtare për Migracionin 2024-2030 dhe Planit të Veprimit 2024-2026"</w:t>
            </w:r>
          </w:p>
        </w:tc>
        <w:tc>
          <w:tcPr>
            <w:tcW w:w="330" w:type="pct"/>
            <w:tcBorders>
              <w:top w:val="nil"/>
              <w:left w:val="nil"/>
              <w:bottom w:val="single" w:sz="4" w:space="0" w:color="auto"/>
              <w:right w:val="single" w:sz="4" w:space="0" w:color="auto"/>
            </w:tcBorders>
            <w:shd w:val="clear" w:color="FFFFFF" w:fill="FFFFFF"/>
            <w:vAlign w:val="center"/>
            <w:hideMark/>
          </w:tcPr>
          <w:p w14:paraId="4FC928B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Komunikata e Komisionit për Parlamentin dhe Këshillin Evropian mbi Strategjinë e BE-së për kthimin dhe riintegrimin vullnetar, datë 27.04.2021 </w:t>
            </w:r>
          </w:p>
        </w:tc>
        <w:tc>
          <w:tcPr>
            <w:tcW w:w="126" w:type="pct"/>
            <w:tcBorders>
              <w:top w:val="nil"/>
              <w:left w:val="nil"/>
              <w:bottom w:val="single" w:sz="4" w:space="0" w:color="auto"/>
              <w:right w:val="single" w:sz="4" w:space="0" w:color="auto"/>
            </w:tcBorders>
            <w:shd w:val="clear" w:color="FFFFFF" w:fill="FFFFFF"/>
            <w:vAlign w:val="center"/>
            <w:hideMark/>
          </w:tcPr>
          <w:p w14:paraId="732B6B3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3BBFC8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3DD4D7F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MB</w:t>
            </w:r>
          </w:p>
        </w:tc>
        <w:tc>
          <w:tcPr>
            <w:tcW w:w="113" w:type="pct"/>
            <w:tcBorders>
              <w:top w:val="nil"/>
              <w:left w:val="nil"/>
              <w:bottom w:val="single" w:sz="4" w:space="0" w:color="auto"/>
              <w:right w:val="single" w:sz="4" w:space="0" w:color="auto"/>
            </w:tcBorders>
            <w:shd w:val="clear" w:color="FFFFFF" w:fill="FFFFFF"/>
            <w:vAlign w:val="center"/>
            <w:hideMark/>
          </w:tcPr>
          <w:p w14:paraId="296EB6D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768225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10FAB9E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Buxheti i shtetit dhe donatoret</w:t>
            </w:r>
          </w:p>
        </w:tc>
        <w:tc>
          <w:tcPr>
            <w:tcW w:w="120" w:type="pct"/>
            <w:tcBorders>
              <w:top w:val="nil"/>
              <w:left w:val="nil"/>
              <w:bottom w:val="single" w:sz="4" w:space="0" w:color="auto"/>
              <w:right w:val="single" w:sz="4" w:space="0" w:color="auto"/>
            </w:tcBorders>
            <w:shd w:val="clear" w:color="FFFFFF" w:fill="FFFFFF"/>
            <w:vAlign w:val="center"/>
            <w:hideMark/>
          </w:tcPr>
          <w:p w14:paraId="7DBA9946" w14:textId="2D60925F" w:rsidR="00482167" w:rsidRPr="006D6BE5" w:rsidRDefault="006D6BE5" w:rsidP="00A7241A">
            <w:pPr>
              <w:rPr>
                <w:rFonts w:ascii="Arial" w:hAnsi="Arial" w:cs="Arial"/>
                <w:sz w:val="4"/>
                <w:szCs w:val="8"/>
                <w:lang w:val="sq-AL"/>
              </w:rPr>
            </w:pPr>
            <w:r>
              <w:rPr>
                <w:rFonts w:ascii="Arial" w:hAnsi="Arial" w:cs="Arial"/>
                <w:sz w:val="4"/>
                <w:szCs w:val="8"/>
                <w:lang w:val="sq-AL"/>
              </w:rPr>
              <w:t xml:space="preserve">       </w:t>
            </w:r>
            <w:r w:rsidR="00482167" w:rsidRPr="006D6BE5">
              <w:rPr>
                <w:rFonts w:ascii="Arial" w:hAnsi="Arial" w:cs="Arial"/>
                <w:sz w:val="4"/>
                <w:szCs w:val="8"/>
                <w:lang w:val="sq-AL"/>
              </w:rPr>
              <w:t xml:space="preserve"> 207,936 </w:t>
            </w:r>
          </w:p>
        </w:tc>
        <w:tc>
          <w:tcPr>
            <w:tcW w:w="126" w:type="pct"/>
            <w:tcBorders>
              <w:top w:val="nil"/>
              <w:left w:val="nil"/>
              <w:bottom w:val="single" w:sz="4" w:space="0" w:color="auto"/>
              <w:right w:val="single" w:sz="4" w:space="0" w:color="auto"/>
            </w:tcBorders>
            <w:shd w:val="clear" w:color="FFFFFF" w:fill="FFFFFF"/>
            <w:vAlign w:val="center"/>
            <w:hideMark/>
          </w:tcPr>
          <w:p w14:paraId="7A9701C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344,455</w:t>
            </w:r>
          </w:p>
        </w:tc>
        <w:tc>
          <w:tcPr>
            <w:tcW w:w="117" w:type="pct"/>
            <w:tcBorders>
              <w:top w:val="nil"/>
              <w:left w:val="nil"/>
              <w:bottom w:val="single" w:sz="4" w:space="0" w:color="auto"/>
              <w:right w:val="single" w:sz="4" w:space="0" w:color="auto"/>
            </w:tcBorders>
            <w:shd w:val="clear" w:color="FFFFFF" w:fill="FFFFFF"/>
            <w:vAlign w:val="center"/>
            <w:hideMark/>
          </w:tcPr>
          <w:p w14:paraId="0E2BDFC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170,974</w:t>
            </w:r>
          </w:p>
        </w:tc>
        <w:tc>
          <w:tcPr>
            <w:tcW w:w="129" w:type="pct"/>
            <w:tcBorders>
              <w:top w:val="nil"/>
              <w:left w:val="nil"/>
              <w:bottom w:val="single" w:sz="4" w:space="0" w:color="auto"/>
              <w:right w:val="single" w:sz="4" w:space="0" w:color="auto"/>
            </w:tcBorders>
            <w:shd w:val="clear" w:color="FFFFFF" w:fill="FFFFFF"/>
            <w:vAlign w:val="center"/>
            <w:hideMark/>
          </w:tcPr>
          <w:p w14:paraId="4434767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B25ECC" w14:textId="77777777" w:rsidR="00482167" w:rsidRPr="006D6BE5" w:rsidRDefault="00482167" w:rsidP="00A7241A">
            <w:pPr>
              <w:rPr>
                <w:rFonts w:ascii="Arial" w:hAnsi="Arial" w:cs="Arial"/>
                <w:color w:val="FF0000"/>
                <w:sz w:val="4"/>
                <w:szCs w:val="8"/>
                <w:lang w:val="sq-AL"/>
              </w:rPr>
            </w:pPr>
            <w:r w:rsidRPr="006D6BE5">
              <w:rPr>
                <w:rFonts w:ascii="Arial" w:hAnsi="Arial" w:cs="Arial"/>
                <w:color w:val="FF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4EB733A" w14:textId="77777777" w:rsidR="00482167" w:rsidRPr="006D6BE5" w:rsidRDefault="00482167" w:rsidP="00A7241A">
            <w:pPr>
              <w:rPr>
                <w:rFonts w:ascii="Arial" w:hAnsi="Arial" w:cs="Arial"/>
                <w:color w:val="FF0000"/>
                <w:sz w:val="4"/>
                <w:szCs w:val="8"/>
                <w:lang w:val="sq-AL"/>
              </w:rPr>
            </w:pPr>
            <w:r w:rsidRPr="006D6BE5">
              <w:rPr>
                <w:rFonts w:ascii="Arial" w:hAnsi="Arial" w:cs="Arial"/>
                <w:color w:val="FF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7B05DFA" w14:textId="77777777" w:rsidR="00482167" w:rsidRPr="006D6BE5" w:rsidRDefault="00482167" w:rsidP="00A7241A">
            <w:pPr>
              <w:rPr>
                <w:rFonts w:ascii="Arial" w:hAnsi="Arial" w:cs="Arial"/>
                <w:color w:val="FF0000"/>
                <w:sz w:val="4"/>
                <w:szCs w:val="8"/>
                <w:lang w:val="sq-AL"/>
              </w:rPr>
            </w:pPr>
            <w:r w:rsidRPr="006D6BE5">
              <w:rPr>
                <w:rFonts w:ascii="Arial" w:hAnsi="Arial" w:cs="Arial"/>
                <w:color w:val="FF0000"/>
                <w:sz w:val="4"/>
                <w:szCs w:val="8"/>
                <w:lang w:val="sq-AL"/>
              </w:rPr>
              <w:t> </w:t>
            </w:r>
          </w:p>
        </w:tc>
      </w:tr>
      <w:tr w:rsidR="00482167" w:rsidRPr="006D6BE5" w14:paraId="51A3EE9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FDD7A3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Kriteri Ekonomik </w:t>
            </w:r>
          </w:p>
        </w:tc>
        <w:tc>
          <w:tcPr>
            <w:tcW w:w="144" w:type="pct"/>
            <w:tcBorders>
              <w:top w:val="nil"/>
              <w:left w:val="nil"/>
              <w:bottom w:val="single" w:sz="4" w:space="0" w:color="auto"/>
              <w:right w:val="single" w:sz="4" w:space="0" w:color="auto"/>
            </w:tcBorders>
            <w:shd w:val="clear" w:color="FFFFFF" w:fill="FFFFFF"/>
            <w:vAlign w:val="center"/>
            <w:hideMark/>
          </w:tcPr>
          <w:p w14:paraId="3EA64DC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D035F5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1.Ekzistenca e nje ekonomie tregu funksionale</w:t>
            </w:r>
          </w:p>
        </w:tc>
        <w:tc>
          <w:tcPr>
            <w:tcW w:w="171" w:type="pct"/>
            <w:tcBorders>
              <w:top w:val="nil"/>
              <w:left w:val="nil"/>
              <w:bottom w:val="single" w:sz="4" w:space="0" w:color="auto"/>
              <w:right w:val="single" w:sz="4" w:space="0" w:color="auto"/>
            </w:tcBorders>
            <w:shd w:val="clear" w:color="FFFFFF" w:fill="FFFFFF"/>
            <w:vAlign w:val="center"/>
            <w:hideMark/>
          </w:tcPr>
          <w:p w14:paraId="556CF9A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Tregu i punes</w:t>
            </w:r>
          </w:p>
        </w:tc>
        <w:tc>
          <w:tcPr>
            <w:tcW w:w="661" w:type="pct"/>
            <w:tcBorders>
              <w:top w:val="nil"/>
              <w:left w:val="nil"/>
              <w:bottom w:val="single" w:sz="4" w:space="0" w:color="auto"/>
              <w:right w:val="single" w:sz="4" w:space="0" w:color="auto"/>
            </w:tcBorders>
            <w:shd w:val="clear" w:color="FFFFFF" w:fill="FFFFFF"/>
            <w:vAlign w:val="center"/>
            <w:hideMark/>
          </w:tcPr>
          <w:p w14:paraId="50B230DE" w14:textId="51176DCB" w:rsidR="00482167" w:rsidRPr="006D6BE5" w:rsidRDefault="00482167" w:rsidP="00A7241A">
            <w:pPr>
              <w:rPr>
                <w:rFonts w:ascii="Arial" w:hAnsi="Arial" w:cs="Arial"/>
                <w:sz w:val="4"/>
                <w:szCs w:val="8"/>
                <w:lang w:val="sq-AL"/>
              </w:rPr>
            </w:pPr>
            <w:r w:rsidRPr="006D6BE5">
              <w:rPr>
                <w:rFonts w:ascii="Arial" w:hAnsi="Arial" w:cs="Arial"/>
                <w:sz w:val="4"/>
                <w:szCs w:val="8"/>
                <w:lang w:val="sq-AL"/>
              </w:rPr>
              <w:t>Plani i Zbatimit të Garancisë Rinore</w:t>
            </w:r>
            <w:r w:rsidR="006D6BE5">
              <w:rPr>
                <w:rFonts w:ascii="Arial" w:hAnsi="Arial" w:cs="Arial"/>
                <w:sz w:val="4"/>
                <w:szCs w:val="8"/>
                <w:lang w:val="sq-AL"/>
              </w:rPr>
              <w:t xml:space="preserve"> </w:t>
            </w:r>
            <w:r w:rsidRPr="006D6BE5">
              <w:rPr>
                <w:rFonts w:ascii="Arial" w:hAnsi="Arial" w:cs="Arial"/>
                <w:sz w:val="4"/>
                <w:szCs w:val="8"/>
                <w:lang w:val="sq-AL"/>
              </w:rPr>
              <w:t>(Rek. Shqipëria duhet të zhvillojë një Plan Zbatimi të Garancisë për të Rinjtë dhe instrumentat institucionalë për të monitoruar nevojat e aftësive të kërkuara në tregun e punës) </w:t>
            </w:r>
          </w:p>
        </w:tc>
        <w:tc>
          <w:tcPr>
            <w:tcW w:w="668" w:type="pct"/>
            <w:tcBorders>
              <w:top w:val="nil"/>
              <w:left w:val="nil"/>
              <w:bottom w:val="single" w:sz="4" w:space="0" w:color="auto"/>
              <w:right w:val="single" w:sz="4" w:space="0" w:color="auto"/>
            </w:tcBorders>
            <w:shd w:val="clear" w:color="FFFFFF" w:fill="FFFFFF"/>
            <w:vAlign w:val="center"/>
            <w:hideMark/>
          </w:tcPr>
          <w:p w14:paraId="5F098D2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506" w:type="pct"/>
            <w:tcBorders>
              <w:top w:val="nil"/>
              <w:left w:val="nil"/>
              <w:bottom w:val="single" w:sz="4" w:space="0" w:color="auto"/>
              <w:right w:val="single" w:sz="4" w:space="0" w:color="auto"/>
            </w:tcBorders>
            <w:shd w:val="clear" w:color="FFFFFF" w:fill="FFFFFF"/>
            <w:vAlign w:val="center"/>
            <w:hideMark/>
          </w:tcPr>
          <w:p w14:paraId="0C78656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01D743F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Zbatimi i fazës Pilot të Planit të Miratuar të Garancisë Rinore</w:t>
            </w:r>
          </w:p>
        </w:tc>
        <w:tc>
          <w:tcPr>
            <w:tcW w:w="330" w:type="pct"/>
            <w:tcBorders>
              <w:top w:val="nil"/>
              <w:left w:val="nil"/>
              <w:bottom w:val="single" w:sz="4" w:space="0" w:color="auto"/>
              <w:right w:val="single" w:sz="4" w:space="0" w:color="auto"/>
            </w:tcBorders>
            <w:shd w:val="clear" w:color="FFFFFF" w:fill="FFFFFF"/>
            <w:vAlign w:val="center"/>
            <w:hideMark/>
          </w:tcPr>
          <w:p w14:paraId="3A58086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 Lancimi i Fazës pilot</w:t>
            </w:r>
            <w:r w:rsidRPr="006D6BE5">
              <w:rPr>
                <w:rFonts w:ascii="Arial" w:hAnsi="Arial" w:cs="Arial"/>
                <w:sz w:val="4"/>
                <w:szCs w:val="8"/>
                <w:lang w:val="sq-AL"/>
              </w:rPr>
              <w:br/>
              <w:t>- Përgatitja institucionale dhe e instrumentave për fazën pilot</w:t>
            </w:r>
            <w:r w:rsidRPr="006D6BE5">
              <w:rPr>
                <w:rFonts w:ascii="Arial" w:hAnsi="Arial" w:cs="Arial"/>
                <w:sz w:val="4"/>
                <w:szCs w:val="8"/>
                <w:lang w:val="sq-AL"/>
              </w:rPr>
              <w:br/>
              <w:t>- Monitorimi i pilotimit të skemës</w:t>
            </w:r>
          </w:p>
        </w:tc>
        <w:tc>
          <w:tcPr>
            <w:tcW w:w="126" w:type="pct"/>
            <w:tcBorders>
              <w:top w:val="nil"/>
              <w:left w:val="nil"/>
              <w:bottom w:val="single" w:sz="4" w:space="0" w:color="auto"/>
              <w:right w:val="single" w:sz="4" w:space="0" w:color="auto"/>
            </w:tcBorders>
            <w:shd w:val="clear" w:color="FFFFFF" w:fill="FFFFFF"/>
            <w:vAlign w:val="center"/>
            <w:hideMark/>
          </w:tcPr>
          <w:p w14:paraId="5E46C9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5C9E0D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367577F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388447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DB7DEE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1F005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00D5D45" w14:textId="62131A15"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200,000 </w:t>
            </w:r>
          </w:p>
        </w:tc>
        <w:tc>
          <w:tcPr>
            <w:tcW w:w="126" w:type="pct"/>
            <w:tcBorders>
              <w:top w:val="nil"/>
              <w:left w:val="nil"/>
              <w:bottom w:val="single" w:sz="4" w:space="0" w:color="auto"/>
              <w:right w:val="single" w:sz="4" w:space="0" w:color="auto"/>
            </w:tcBorders>
            <w:shd w:val="clear" w:color="FFFFFF" w:fill="FFFFFF"/>
            <w:vAlign w:val="center"/>
            <w:hideMark/>
          </w:tcPr>
          <w:p w14:paraId="4BC01A2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3B72A5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4E061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0210C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499C0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BF358D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r>
      <w:tr w:rsidR="00482167" w:rsidRPr="006D6BE5" w14:paraId="42D7BD9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90529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76210B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6CCE23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3B2DB9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Klasik</w:t>
            </w:r>
          </w:p>
        </w:tc>
        <w:tc>
          <w:tcPr>
            <w:tcW w:w="661" w:type="pct"/>
            <w:tcBorders>
              <w:top w:val="nil"/>
              <w:left w:val="nil"/>
              <w:bottom w:val="single" w:sz="4" w:space="0" w:color="auto"/>
              <w:right w:val="single" w:sz="4" w:space="0" w:color="auto"/>
            </w:tcBorders>
            <w:shd w:val="clear" w:color="FFFFFF" w:fill="FFFFFF"/>
            <w:vAlign w:val="center"/>
            <w:hideMark/>
          </w:tcPr>
          <w:p w14:paraId="64385D23" w14:textId="77777777" w:rsidR="00482167" w:rsidRPr="006D6BE5" w:rsidRDefault="00482167" w:rsidP="00A7241A">
            <w:pPr>
              <w:rPr>
                <w:rFonts w:ascii="Arial" w:hAnsi="Arial" w:cs="Arial"/>
                <w:color w:val="C00000"/>
                <w:sz w:val="4"/>
                <w:szCs w:val="8"/>
                <w:lang w:val="sq-AL"/>
              </w:rPr>
            </w:pPr>
            <w:r w:rsidRPr="006D6BE5">
              <w:rPr>
                <w:rFonts w:ascii="Arial" w:hAnsi="Arial" w:cs="Arial"/>
                <w:sz w:val="4"/>
                <w:szCs w:val="8"/>
                <w:lang w:val="sq-AL"/>
              </w:rPr>
              <w:t>Direktiva 2014/24/BE të Parlamentit Evropian dhe të Këshillit, datë 26 shkurt 2014, “Mbi prokurimin publik dhe që shfuqizon direktivën 2014/18/KE”</w:t>
            </w:r>
          </w:p>
        </w:tc>
        <w:tc>
          <w:tcPr>
            <w:tcW w:w="668" w:type="pct"/>
            <w:tcBorders>
              <w:top w:val="nil"/>
              <w:left w:val="nil"/>
              <w:bottom w:val="single" w:sz="4" w:space="0" w:color="auto"/>
              <w:right w:val="single" w:sz="4" w:space="0" w:color="auto"/>
            </w:tcBorders>
            <w:shd w:val="clear" w:color="auto" w:fill="auto"/>
            <w:vAlign w:val="center"/>
            <w:hideMark/>
          </w:tcPr>
          <w:p w14:paraId="6159F243" w14:textId="77777777" w:rsidR="00482167" w:rsidRPr="006D6BE5" w:rsidRDefault="00E63D69" w:rsidP="00A7241A">
            <w:pPr>
              <w:rPr>
                <w:rFonts w:ascii="Arial" w:hAnsi="Arial" w:cs="Arial"/>
                <w:color w:val="0563C1"/>
                <w:sz w:val="4"/>
                <w:szCs w:val="8"/>
                <w:u w:val="single"/>
                <w:lang w:val="sq-AL"/>
              </w:rPr>
            </w:pPr>
            <w:hyperlink r:id="rId22" w:history="1">
              <w:r w:rsidR="00482167" w:rsidRPr="006D6BE5">
                <w:rPr>
                  <w:rFonts w:ascii="Arial" w:hAnsi="Arial" w:cs="Arial"/>
                  <w:color w:val="0563C1"/>
                  <w:sz w:val="4"/>
                  <w:szCs w:val="8"/>
                  <w:u w:val="single"/>
                  <w:lang w:val="sq-AL"/>
                </w:rPr>
                <w:t xml:space="preserve">http://data.europa.eu/eli/dir/2014/24/oj </w:t>
              </w:r>
            </w:hyperlink>
          </w:p>
        </w:tc>
        <w:tc>
          <w:tcPr>
            <w:tcW w:w="506" w:type="pct"/>
            <w:tcBorders>
              <w:top w:val="nil"/>
              <w:left w:val="nil"/>
              <w:bottom w:val="single" w:sz="4" w:space="0" w:color="auto"/>
              <w:right w:val="single" w:sz="4" w:space="0" w:color="auto"/>
            </w:tcBorders>
            <w:shd w:val="clear" w:color="FFFFFF" w:fill="FFFFFF"/>
            <w:vAlign w:val="center"/>
            <w:hideMark/>
          </w:tcPr>
          <w:p w14:paraId="52AFD9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F34B8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disa shtesa dhe ndryshime në Vendimin e Këshillit të Ministrave Nr.285, datë 19.05.2021 "Për miratimin e rregullave të prokurimit publik", i ndryshuar"</w:t>
            </w:r>
          </w:p>
        </w:tc>
        <w:tc>
          <w:tcPr>
            <w:tcW w:w="330" w:type="pct"/>
            <w:tcBorders>
              <w:top w:val="nil"/>
              <w:left w:val="nil"/>
              <w:bottom w:val="single" w:sz="4" w:space="0" w:color="auto"/>
              <w:right w:val="single" w:sz="4" w:space="0" w:color="auto"/>
            </w:tcBorders>
            <w:shd w:val="clear" w:color="FFFFFF" w:fill="FFFFFF"/>
            <w:vAlign w:val="center"/>
            <w:hideMark/>
          </w:tcPr>
          <w:p w14:paraId="64A970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 i mëtejshëm me Direktivat e BE. Zhvillimi dhe zgjerimi në VKM i konceptit të veprimtarive ndihmëse, saktësimi i momentit të dorëzimit të kthimit të mostrave në procesin e prokurimit; etj.</w:t>
            </w:r>
          </w:p>
        </w:tc>
        <w:tc>
          <w:tcPr>
            <w:tcW w:w="126" w:type="pct"/>
            <w:tcBorders>
              <w:top w:val="nil"/>
              <w:left w:val="nil"/>
              <w:bottom w:val="single" w:sz="4" w:space="0" w:color="auto"/>
              <w:right w:val="single" w:sz="4" w:space="0" w:color="auto"/>
            </w:tcBorders>
            <w:shd w:val="clear" w:color="FFFFFF" w:fill="FFFFFF"/>
            <w:vAlign w:val="center"/>
            <w:hideMark/>
          </w:tcPr>
          <w:p w14:paraId="535130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CCE55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2B6D1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7A9221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32B9B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AFEE5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FAAE0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1,202 </w:t>
            </w:r>
          </w:p>
        </w:tc>
        <w:tc>
          <w:tcPr>
            <w:tcW w:w="126" w:type="pct"/>
            <w:tcBorders>
              <w:top w:val="nil"/>
              <w:left w:val="nil"/>
              <w:bottom w:val="single" w:sz="4" w:space="0" w:color="auto"/>
              <w:right w:val="single" w:sz="4" w:space="0" w:color="auto"/>
            </w:tcBorders>
            <w:shd w:val="clear" w:color="FFFFFF" w:fill="FFFFFF"/>
            <w:vAlign w:val="center"/>
            <w:hideMark/>
          </w:tcPr>
          <w:p w14:paraId="496780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2B5EF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8C4D7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9725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79B2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6CA1D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95DD18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91C9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18E997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545CF3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D00FE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Utilitar</w:t>
            </w:r>
          </w:p>
        </w:tc>
        <w:tc>
          <w:tcPr>
            <w:tcW w:w="661" w:type="pct"/>
            <w:tcBorders>
              <w:top w:val="nil"/>
              <w:left w:val="nil"/>
              <w:bottom w:val="single" w:sz="4" w:space="0" w:color="auto"/>
              <w:right w:val="single" w:sz="4" w:space="0" w:color="auto"/>
            </w:tcBorders>
            <w:shd w:val="clear" w:color="FFFFFF" w:fill="FFFFFF"/>
            <w:vAlign w:val="center"/>
            <w:hideMark/>
          </w:tcPr>
          <w:p w14:paraId="7A33FD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2014/25/BE e Parlamentit Evropian dhe të Këshillit, datë 26 shkurt 2014, “Për prokurimin nga entitete që operojnë në sektorët e ujit, energjisë, transportit dhe shërbimeve postare dhe që shfuqizon direktivën 2004/17/KE”</w:t>
            </w:r>
          </w:p>
        </w:tc>
        <w:tc>
          <w:tcPr>
            <w:tcW w:w="668" w:type="pct"/>
            <w:tcBorders>
              <w:top w:val="nil"/>
              <w:left w:val="nil"/>
              <w:bottom w:val="single" w:sz="4" w:space="0" w:color="auto"/>
              <w:right w:val="single" w:sz="4" w:space="0" w:color="auto"/>
            </w:tcBorders>
            <w:shd w:val="clear" w:color="auto" w:fill="auto"/>
            <w:vAlign w:val="center"/>
            <w:hideMark/>
          </w:tcPr>
          <w:p w14:paraId="3786D5D7" w14:textId="77777777" w:rsidR="00482167" w:rsidRPr="006D6BE5" w:rsidRDefault="00E63D69" w:rsidP="00A7241A">
            <w:pPr>
              <w:rPr>
                <w:rFonts w:ascii="Arial" w:hAnsi="Arial" w:cs="Arial"/>
                <w:color w:val="0563C1"/>
                <w:sz w:val="4"/>
                <w:szCs w:val="8"/>
                <w:u w:val="single"/>
                <w:lang w:val="sq-AL"/>
              </w:rPr>
            </w:pPr>
            <w:hyperlink r:id="rId23" w:history="1">
              <w:r w:rsidR="00482167" w:rsidRPr="006D6BE5">
                <w:rPr>
                  <w:rFonts w:ascii="Arial" w:hAnsi="Arial" w:cs="Arial"/>
                  <w:color w:val="0563C1"/>
                  <w:sz w:val="4"/>
                  <w:szCs w:val="8"/>
                  <w:u w:val="single"/>
                  <w:lang w:val="sq-AL"/>
                </w:rPr>
                <w:t xml:space="preserve">http://data.europa.eu/eli/dir/2014/25/oj </w:t>
              </w:r>
            </w:hyperlink>
          </w:p>
        </w:tc>
        <w:tc>
          <w:tcPr>
            <w:tcW w:w="506" w:type="pct"/>
            <w:tcBorders>
              <w:top w:val="nil"/>
              <w:left w:val="nil"/>
              <w:bottom w:val="single" w:sz="4" w:space="0" w:color="auto"/>
              <w:right w:val="single" w:sz="4" w:space="0" w:color="auto"/>
            </w:tcBorders>
            <w:shd w:val="clear" w:color="FFFFFF" w:fill="FFFFFF"/>
            <w:vAlign w:val="center"/>
            <w:hideMark/>
          </w:tcPr>
          <w:p w14:paraId="4AC67A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B53F2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disa shtesa dhe ndryshime në Vendimin e Këshillit të Ministrave Nr.285, datë 19.05.2021 "Për miratimin e rregullave të prokurimit publik", i ndryshuar"</w:t>
            </w:r>
          </w:p>
        </w:tc>
        <w:tc>
          <w:tcPr>
            <w:tcW w:w="330" w:type="pct"/>
            <w:tcBorders>
              <w:top w:val="nil"/>
              <w:left w:val="nil"/>
              <w:bottom w:val="single" w:sz="4" w:space="0" w:color="auto"/>
              <w:right w:val="single" w:sz="4" w:space="0" w:color="auto"/>
            </w:tcBorders>
            <w:shd w:val="clear" w:color="FFFFFF" w:fill="FFFFFF"/>
            <w:vAlign w:val="center"/>
            <w:hideMark/>
          </w:tcPr>
          <w:p w14:paraId="1E90D3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 i mëtejshëm me Direktivat e BE. Zhvillimi dhe zgjerimi në VKM i konceptit të veprimtarive ndihmëse, saktësimi i momentit të dorëzimit të kthimit të mostrave në procesin e prokurimit; etj.</w:t>
            </w:r>
          </w:p>
        </w:tc>
        <w:tc>
          <w:tcPr>
            <w:tcW w:w="126" w:type="pct"/>
            <w:tcBorders>
              <w:top w:val="nil"/>
              <w:left w:val="nil"/>
              <w:bottom w:val="single" w:sz="4" w:space="0" w:color="auto"/>
              <w:right w:val="single" w:sz="4" w:space="0" w:color="auto"/>
            </w:tcBorders>
            <w:shd w:val="clear" w:color="FFFFFF" w:fill="FFFFFF"/>
            <w:vAlign w:val="center"/>
            <w:hideMark/>
          </w:tcPr>
          <w:p w14:paraId="351FDE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2ABA5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DEC39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5A6DF1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6CFD5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2E4102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F0604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1,202 </w:t>
            </w:r>
          </w:p>
        </w:tc>
        <w:tc>
          <w:tcPr>
            <w:tcW w:w="126" w:type="pct"/>
            <w:tcBorders>
              <w:top w:val="nil"/>
              <w:left w:val="nil"/>
              <w:bottom w:val="single" w:sz="4" w:space="0" w:color="auto"/>
              <w:right w:val="single" w:sz="4" w:space="0" w:color="auto"/>
            </w:tcBorders>
            <w:shd w:val="clear" w:color="FFFFFF" w:fill="FFFFFF"/>
            <w:vAlign w:val="center"/>
            <w:hideMark/>
          </w:tcPr>
          <w:p w14:paraId="74E2EA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0530A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CB58E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3924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2B5C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5903C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4D299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F3C61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7A8067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2B0555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6AE98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Klasik</w:t>
            </w:r>
          </w:p>
        </w:tc>
        <w:tc>
          <w:tcPr>
            <w:tcW w:w="661" w:type="pct"/>
            <w:tcBorders>
              <w:top w:val="nil"/>
              <w:left w:val="nil"/>
              <w:bottom w:val="single" w:sz="4" w:space="0" w:color="auto"/>
              <w:right w:val="single" w:sz="4" w:space="0" w:color="auto"/>
            </w:tcBorders>
            <w:shd w:val="clear" w:color="FFFFFF" w:fill="FFFFFF"/>
            <w:vAlign w:val="center"/>
            <w:hideMark/>
          </w:tcPr>
          <w:p w14:paraId="731852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2014/24/BE të Parlamentit Evropian dhe të Këshillit, datë 26 shkurt 2014, “Mbi prokurimin publik dhe që shfuqizon direktivën 2014/18/KE”</w:t>
            </w:r>
          </w:p>
        </w:tc>
        <w:tc>
          <w:tcPr>
            <w:tcW w:w="668" w:type="pct"/>
            <w:tcBorders>
              <w:top w:val="nil"/>
              <w:left w:val="nil"/>
              <w:bottom w:val="single" w:sz="4" w:space="0" w:color="auto"/>
              <w:right w:val="single" w:sz="4" w:space="0" w:color="auto"/>
            </w:tcBorders>
            <w:shd w:val="clear" w:color="auto" w:fill="auto"/>
            <w:vAlign w:val="center"/>
            <w:hideMark/>
          </w:tcPr>
          <w:p w14:paraId="07153DC6" w14:textId="77777777" w:rsidR="00482167" w:rsidRPr="006D6BE5" w:rsidRDefault="00E63D69" w:rsidP="00A7241A">
            <w:pPr>
              <w:rPr>
                <w:rFonts w:ascii="Arial" w:hAnsi="Arial" w:cs="Arial"/>
                <w:color w:val="0563C1"/>
                <w:sz w:val="4"/>
                <w:szCs w:val="8"/>
                <w:u w:val="single"/>
                <w:lang w:val="sq-AL"/>
              </w:rPr>
            </w:pPr>
            <w:hyperlink r:id="rId24" w:history="1">
              <w:r w:rsidR="00482167" w:rsidRPr="006D6BE5">
                <w:rPr>
                  <w:rFonts w:ascii="Arial" w:hAnsi="Arial" w:cs="Arial"/>
                  <w:color w:val="0563C1"/>
                  <w:sz w:val="4"/>
                  <w:szCs w:val="8"/>
                  <w:u w:val="single"/>
                  <w:lang w:val="sq-AL"/>
                </w:rPr>
                <w:t xml:space="preserve">http://data.europa.eu/eli/dir/2014/24/oj </w:t>
              </w:r>
            </w:hyperlink>
          </w:p>
        </w:tc>
        <w:tc>
          <w:tcPr>
            <w:tcW w:w="506" w:type="pct"/>
            <w:tcBorders>
              <w:top w:val="nil"/>
              <w:left w:val="nil"/>
              <w:bottom w:val="single" w:sz="4" w:space="0" w:color="auto"/>
              <w:right w:val="single" w:sz="4" w:space="0" w:color="auto"/>
            </w:tcBorders>
            <w:shd w:val="clear" w:color="FFFFFF" w:fill="FFFFFF"/>
            <w:vAlign w:val="center"/>
            <w:hideMark/>
          </w:tcPr>
          <w:p w14:paraId="54EF9C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741ED93" w14:textId="513077C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kufijve monetarë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në procedurat e prokurimit publik" </w:t>
            </w:r>
          </w:p>
        </w:tc>
        <w:tc>
          <w:tcPr>
            <w:tcW w:w="330" w:type="pct"/>
            <w:tcBorders>
              <w:top w:val="nil"/>
              <w:left w:val="nil"/>
              <w:bottom w:val="single" w:sz="4" w:space="0" w:color="auto"/>
              <w:right w:val="single" w:sz="4" w:space="0" w:color="auto"/>
            </w:tcBorders>
            <w:shd w:val="clear" w:color="FFFFFF" w:fill="FFFFFF"/>
            <w:vAlign w:val="center"/>
            <w:hideMark/>
          </w:tcPr>
          <w:p w14:paraId="0743CD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kufijve monetare</w:t>
            </w:r>
          </w:p>
        </w:tc>
        <w:tc>
          <w:tcPr>
            <w:tcW w:w="126" w:type="pct"/>
            <w:tcBorders>
              <w:top w:val="nil"/>
              <w:left w:val="nil"/>
              <w:bottom w:val="single" w:sz="4" w:space="0" w:color="auto"/>
              <w:right w:val="single" w:sz="4" w:space="0" w:color="auto"/>
            </w:tcBorders>
            <w:shd w:val="clear" w:color="FFFFFF" w:fill="FFFFFF"/>
            <w:vAlign w:val="center"/>
            <w:hideMark/>
          </w:tcPr>
          <w:p w14:paraId="4F3E3A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160EE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EA216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4B5082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AB96F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67027C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57CF4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962</w:t>
            </w:r>
          </w:p>
        </w:tc>
        <w:tc>
          <w:tcPr>
            <w:tcW w:w="126" w:type="pct"/>
            <w:tcBorders>
              <w:top w:val="nil"/>
              <w:left w:val="nil"/>
              <w:bottom w:val="single" w:sz="4" w:space="0" w:color="auto"/>
              <w:right w:val="single" w:sz="4" w:space="0" w:color="auto"/>
            </w:tcBorders>
            <w:shd w:val="clear" w:color="FFFFFF" w:fill="FFFFFF"/>
            <w:vAlign w:val="center"/>
            <w:hideMark/>
          </w:tcPr>
          <w:p w14:paraId="05AA0D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7C57B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E1FF4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AF8AC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FE15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E950E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891A75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6405E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3E667D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7CFB05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51010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Utilitar</w:t>
            </w:r>
          </w:p>
        </w:tc>
        <w:tc>
          <w:tcPr>
            <w:tcW w:w="661" w:type="pct"/>
            <w:tcBorders>
              <w:top w:val="nil"/>
              <w:left w:val="nil"/>
              <w:bottom w:val="single" w:sz="4" w:space="0" w:color="auto"/>
              <w:right w:val="single" w:sz="4" w:space="0" w:color="auto"/>
            </w:tcBorders>
            <w:shd w:val="clear" w:color="FFFFFF" w:fill="FFFFFF"/>
            <w:vAlign w:val="center"/>
            <w:hideMark/>
          </w:tcPr>
          <w:p w14:paraId="1467B6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2014/25/BE e Parlamentit Evropian dhe të Këshillit, datë 26 shkurt 2014, “Për prokurimin nga entitete që operojnë në sektorët e ujit, energjisë, transportit dhe shërbimeve postare dhe që shfuqizon direktivën 2004/17/KE”</w:t>
            </w:r>
          </w:p>
        </w:tc>
        <w:tc>
          <w:tcPr>
            <w:tcW w:w="668" w:type="pct"/>
            <w:tcBorders>
              <w:top w:val="nil"/>
              <w:left w:val="nil"/>
              <w:bottom w:val="single" w:sz="4" w:space="0" w:color="auto"/>
              <w:right w:val="single" w:sz="4" w:space="0" w:color="auto"/>
            </w:tcBorders>
            <w:shd w:val="clear" w:color="auto" w:fill="auto"/>
            <w:vAlign w:val="center"/>
            <w:hideMark/>
          </w:tcPr>
          <w:p w14:paraId="69D37C31" w14:textId="77777777" w:rsidR="00482167" w:rsidRPr="006D6BE5" w:rsidRDefault="00E63D69" w:rsidP="00A7241A">
            <w:pPr>
              <w:rPr>
                <w:rFonts w:ascii="Arial" w:hAnsi="Arial" w:cs="Arial"/>
                <w:color w:val="0563C1"/>
                <w:sz w:val="4"/>
                <w:szCs w:val="8"/>
                <w:u w:val="single"/>
                <w:lang w:val="sq-AL"/>
              </w:rPr>
            </w:pPr>
            <w:hyperlink r:id="rId25" w:history="1">
              <w:r w:rsidR="00482167" w:rsidRPr="006D6BE5">
                <w:rPr>
                  <w:rFonts w:ascii="Arial" w:hAnsi="Arial" w:cs="Arial"/>
                  <w:color w:val="0563C1"/>
                  <w:sz w:val="4"/>
                  <w:szCs w:val="8"/>
                  <w:u w:val="single"/>
                  <w:lang w:val="sq-AL"/>
                </w:rPr>
                <w:t xml:space="preserve">http://data.europa.eu/eli/dir/2014/25/oj </w:t>
              </w:r>
            </w:hyperlink>
          </w:p>
        </w:tc>
        <w:tc>
          <w:tcPr>
            <w:tcW w:w="506" w:type="pct"/>
            <w:tcBorders>
              <w:top w:val="nil"/>
              <w:left w:val="nil"/>
              <w:bottom w:val="single" w:sz="4" w:space="0" w:color="auto"/>
              <w:right w:val="single" w:sz="4" w:space="0" w:color="auto"/>
            </w:tcBorders>
            <w:shd w:val="clear" w:color="FFFFFF" w:fill="FFFFFF"/>
            <w:vAlign w:val="center"/>
            <w:hideMark/>
          </w:tcPr>
          <w:p w14:paraId="715041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EE947C9" w14:textId="4CB326C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kufijve monetarë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në procedurat e prokurimit publik" </w:t>
            </w:r>
          </w:p>
        </w:tc>
        <w:tc>
          <w:tcPr>
            <w:tcW w:w="330" w:type="pct"/>
            <w:tcBorders>
              <w:top w:val="nil"/>
              <w:left w:val="nil"/>
              <w:bottom w:val="single" w:sz="4" w:space="0" w:color="auto"/>
              <w:right w:val="single" w:sz="4" w:space="0" w:color="auto"/>
            </w:tcBorders>
            <w:shd w:val="clear" w:color="FFFFFF" w:fill="FFFFFF"/>
            <w:vAlign w:val="center"/>
            <w:hideMark/>
          </w:tcPr>
          <w:p w14:paraId="4673B5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ndryshimi i kufijve monetare</w:t>
            </w:r>
          </w:p>
        </w:tc>
        <w:tc>
          <w:tcPr>
            <w:tcW w:w="126" w:type="pct"/>
            <w:tcBorders>
              <w:top w:val="nil"/>
              <w:left w:val="nil"/>
              <w:bottom w:val="single" w:sz="4" w:space="0" w:color="auto"/>
              <w:right w:val="single" w:sz="4" w:space="0" w:color="auto"/>
            </w:tcBorders>
            <w:shd w:val="clear" w:color="FFFFFF" w:fill="FFFFFF"/>
            <w:vAlign w:val="center"/>
            <w:hideMark/>
          </w:tcPr>
          <w:p w14:paraId="5FFA39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D8DAE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F5A87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2EFFD4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79A9E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1ACCA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CDFBD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962</w:t>
            </w:r>
          </w:p>
        </w:tc>
        <w:tc>
          <w:tcPr>
            <w:tcW w:w="126" w:type="pct"/>
            <w:tcBorders>
              <w:top w:val="nil"/>
              <w:left w:val="nil"/>
              <w:bottom w:val="single" w:sz="4" w:space="0" w:color="auto"/>
              <w:right w:val="single" w:sz="4" w:space="0" w:color="auto"/>
            </w:tcBorders>
            <w:shd w:val="clear" w:color="FFFFFF" w:fill="FFFFFF"/>
            <w:vAlign w:val="center"/>
            <w:hideMark/>
          </w:tcPr>
          <w:p w14:paraId="7E76A1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81B09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0584F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6DC33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8B865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52507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9D989E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6CE55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54C544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2EE911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3E465F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Prokurimet ne fushen e mbrojtjes dhe sigurise</w:t>
            </w:r>
          </w:p>
        </w:tc>
        <w:tc>
          <w:tcPr>
            <w:tcW w:w="661" w:type="pct"/>
            <w:tcBorders>
              <w:top w:val="nil"/>
              <w:left w:val="nil"/>
              <w:bottom w:val="single" w:sz="4" w:space="0" w:color="auto"/>
              <w:right w:val="single" w:sz="4" w:space="0" w:color="auto"/>
            </w:tcBorders>
            <w:shd w:val="clear" w:color="FFFFFF" w:fill="FFFFFF"/>
            <w:vAlign w:val="center"/>
            <w:hideMark/>
          </w:tcPr>
          <w:p w14:paraId="2CD5CF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2009/81/KE e Parlamentit Evropian dhe e Këshillit e datës 13 korrik 2009 mbi koordinimin e procedurave për dhënien e kontratave të caktuara të punëve, kontratave të furnizimit dhe shërbimeve nga autoritetet ose entet kontraktore në fushat e mbrojtjes dhe sigurisë, dhe duke ndryshuar Direktivat 2004/17/KE dhe 2004/18/E</w:t>
            </w:r>
          </w:p>
        </w:tc>
        <w:tc>
          <w:tcPr>
            <w:tcW w:w="668" w:type="pct"/>
            <w:tcBorders>
              <w:top w:val="nil"/>
              <w:left w:val="nil"/>
              <w:bottom w:val="single" w:sz="4" w:space="0" w:color="auto"/>
              <w:right w:val="single" w:sz="4" w:space="0" w:color="auto"/>
            </w:tcBorders>
            <w:shd w:val="clear" w:color="auto" w:fill="auto"/>
            <w:vAlign w:val="center"/>
            <w:hideMark/>
          </w:tcPr>
          <w:p w14:paraId="21828866" w14:textId="77777777" w:rsidR="00482167" w:rsidRPr="006D6BE5" w:rsidRDefault="00E63D69" w:rsidP="00A7241A">
            <w:pPr>
              <w:rPr>
                <w:rFonts w:ascii="Arial" w:hAnsi="Arial" w:cs="Arial"/>
                <w:color w:val="0563C1"/>
                <w:sz w:val="4"/>
                <w:szCs w:val="8"/>
                <w:u w:val="single"/>
                <w:lang w:val="sq-AL"/>
              </w:rPr>
            </w:pPr>
            <w:hyperlink r:id="rId26" w:history="1">
              <w:r w:rsidR="00482167" w:rsidRPr="006D6BE5">
                <w:rPr>
                  <w:rFonts w:ascii="Arial" w:hAnsi="Arial" w:cs="Arial"/>
                  <w:color w:val="0563C1"/>
                  <w:sz w:val="4"/>
                  <w:szCs w:val="8"/>
                  <w:u w:val="single"/>
                  <w:lang w:val="sq-AL"/>
                </w:rPr>
                <w:t xml:space="preserve">http://data.europa.eu/eli/dir/2009/81/oj </w:t>
              </w:r>
            </w:hyperlink>
          </w:p>
        </w:tc>
        <w:tc>
          <w:tcPr>
            <w:tcW w:w="506" w:type="pct"/>
            <w:tcBorders>
              <w:top w:val="nil"/>
              <w:left w:val="nil"/>
              <w:bottom w:val="single" w:sz="4" w:space="0" w:color="auto"/>
              <w:right w:val="single" w:sz="4" w:space="0" w:color="auto"/>
            </w:tcBorders>
            <w:shd w:val="clear" w:color="FFFFFF" w:fill="FFFFFF"/>
            <w:vAlign w:val="center"/>
            <w:hideMark/>
          </w:tcPr>
          <w:p w14:paraId="27B76C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2D1D8FB" w14:textId="40EC185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Ligjin nr. 36/2020 “Për prokurimet në fushën e mbrojtjes dhe të sigurisë"</w:t>
            </w:r>
          </w:p>
        </w:tc>
        <w:tc>
          <w:tcPr>
            <w:tcW w:w="330" w:type="pct"/>
            <w:tcBorders>
              <w:top w:val="nil"/>
              <w:left w:val="nil"/>
              <w:bottom w:val="single" w:sz="4" w:space="0" w:color="auto"/>
              <w:right w:val="single" w:sz="4" w:space="0" w:color="auto"/>
            </w:tcBorders>
            <w:shd w:val="clear" w:color="FFFFFF" w:fill="FFFFFF"/>
            <w:vAlign w:val="center"/>
            <w:hideMark/>
          </w:tcPr>
          <w:p w14:paraId="077DF9BE" w14:textId="5E3359C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Ligjit 36/2020 për te adresuar ceshtje te lidhura me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fushën e zbatimit, përkufizimet, kufijtë monetare dhe procedurat</w:t>
            </w:r>
          </w:p>
        </w:tc>
        <w:tc>
          <w:tcPr>
            <w:tcW w:w="126" w:type="pct"/>
            <w:tcBorders>
              <w:top w:val="nil"/>
              <w:left w:val="nil"/>
              <w:bottom w:val="single" w:sz="4" w:space="0" w:color="auto"/>
              <w:right w:val="single" w:sz="4" w:space="0" w:color="auto"/>
            </w:tcBorders>
            <w:shd w:val="clear" w:color="FFFFFF" w:fill="FFFFFF"/>
            <w:vAlign w:val="center"/>
            <w:hideMark/>
          </w:tcPr>
          <w:p w14:paraId="06E298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DFBCC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FF263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MM</w:t>
            </w:r>
          </w:p>
        </w:tc>
        <w:tc>
          <w:tcPr>
            <w:tcW w:w="113" w:type="pct"/>
            <w:tcBorders>
              <w:top w:val="nil"/>
              <w:left w:val="nil"/>
              <w:bottom w:val="single" w:sz="4" w:space="0" w:color="auto"/>
              <w:right w:val="single" w:sz="4" w:space="0" w:color="auto"/>
            </w:tcBorders>
            <w:shd w:val="clear" w:color="FFFFFF" w:fill="FFFFFF"/>
            <w:vAlign w:val="center"/>
            <w:hideMark/>
          </w:tcPr>
          <w:p w14:paraId="10E82A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5AE05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00F55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7560E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B7E24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15561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9" w:type="pct"/>
            <w:tcBorders>
              <w:top w:val="nil"/>
              <w:left w:val="nil"/>
              <w:bottom w:val="single" w:sz="4" w:space="0" w:color="auto"/>
              <w:right w:val="single" w:sz="4" w:space="0" w:color="auto"/>
            </w:tcBorders>
            <w:shd w:val="clear" w:color="FFFFFF" w:fill="FFFFFF"/>
            <w:vAlign w:val="center"/>
            <w:hideMark/>
          </w:tcPr>
          <w:p w14:paraId="137EAD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DE16E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499B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ED9F0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5A20F9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98BD1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43FAE8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0BC2CF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B9899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Prokurimet ne fushen e mbrojtjes dhe sigurise</w:t>
            </w:r>
          </w:p>
        </w:tc>
        <w:tc>
          <w:tcPr>
            <w:tcW w:w="661" w:type="pct"/>
            <w:tcBorders>
              <w:top w:val="nil"/>
              <w:left w:val="nil"/>
              <w:bottom w:val="single" w:sz="4" w:space="0" w:color="auto"/>
              <w:right w:val="single" w:sz="4" w:space="0" w:color="auto"/>
            </w:tcBorders>
            <w:shd w:val="clear" w:color="FFFFFF" w:fill="FFFFFF"/>
            <w:vAlign w:val="center"/>
            <w:hideMark/>
          </w:tcPr>
          <w:p w14:paraId="38529C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2009/81/KE e Parlamentit Evropian dhe e Këshillit e datës 13 korrik 2009 mbi koordinimin e procedurave për dhënien e kontratave të caktuara të punëve, kontratave të furnizimit dhe shërbimeve nga autoritetet ose entet kontraktore në fushat e mbrojtjes dhe sigurisë, dhe duke ndryshuar Direktivat 2004/17/KE dhe 2004/18/E</w:t>
            </w:r>
          </w:p>
        </w:tc>
        <w:tc>
          <w:tcPr>
            <w:tcW w:w="668" w:type="pct"/>
            <w:tcBorders>
              <w:top w:val="nil"/>
              <w:left w:val="nil"/>
              <w:bottom w:val="single" w:sz="4" w:space="0" w:color="auto"/>
              <w:right w:val="single" w:sz="4" w:space="0" w:color="auto"/>
            </w:tcBorders>
            <w:shd w:val="clear" w:color="auto" w:fill="auto"/>
            <w:vAlign w:val="center"/>
            <w:hideMark/>
          </w:tcPr>
          <w:p w14:paraId="543D7635" w14:textId="77777777" w:rsidR="00482167" w:rsidRPr="006D6BE5" w:rsidRDefault="00E63D69" w:rsidP="00A7241A">
            <w:pPr>
              <w:rPr>
                <w:rFonts w:ascii="Arial" w:hAnsi="Arial" w:cs="Arial"/>
                <w:color w:val="0563C1"/>
                <w:sz w:val="4"/>
                <w:szCs w:val="8"/>
                <w:u w:val="single"/>
                <w:lang w:val="sq-AL"/>
              </w:rPr>
            </w:pPr>
            <w:hyperlink r:id="rId27" w:history="1">
              <w:r w:rsidR="00482167" w:rsidRPr="006D6BE5">
                <w:rPr>
                  <w:rFonts w:ascii="Arial" w:hAnsi="Arial" w:cs="Arial"/>
                  <w:color w:val="0563C1"/>
                  <w:sz w:val="4"/>
                  <w:szCs w:val="8"/>
                  <w:u w:val="single"/>
                  <w:lang w:val="sq-AL"/>
                </w:rPr>
                <w:t xml:space="preserve">http://data.europa.eu/eli/dir/2009/81/oj </w:t>
              </w:r>
            </w:hyperlink>
          </w:p>
        </w:tc>
        <w:tc>
          <w:tcPr>
            <w:tcW w:w="506" w:type="pct"/>
            <w:tcBorders>
              <w:top w:val="nil"/>
              <w:left w:val="nil"/>
              <w:bottom w:val="single" w:sz="4" w:space="0" w:color="auto"/>
              <w:right w:val="single" w:sz="4" w:space="0" w:color="auto"/>
            </w:tcBorders>
            <w:shd w:val="clear" w:color="FFFFFF" w:fill="FFFFFF"/>
            <w:vAlign w:val="center"/>
            <w:hideMark/>
          </w:tcPr>
          <w:p w14:paraId="54ECBA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8C071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Keshillit te Ministrave"Për disa shtesa dhe ndryshime në Vendimin e Këshillit të Ministrave nr. 1170, datë 24.12.2020 "Për miratimin e rregullave të prokurimit në fushën e mbrojtjes dhe të sigurisë"</w:t>
            </w:r>
          </w:p>
        </w:tc>
        <w:tc>
          <w:tcPr>
            <w:tcW w:w="330" w:type="pct"/>
            <w:tcBorders>
              <w:top w:val="nil"/>
              <w:left w:val="nil"/>
              <w:bottom w:val="single" w:sz="4" w:space="0" w:color="auto"/>
              <w:right w:val="single" w:sz="4" w:space="0" w:color="auto"/>
            </w:tcBorders>
            <w:shd w:val="clear" w:color="FFFFFF" w:fill="FFFFFF"/>
            <w:vAlign w:val="center"/>
            <w:hideMark/>
          </w:tcPr>
          <w:p w14:paraId="29C0D3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VKM-së Nr. 1170 për të trajtuar çështje që lidhen me fushen e zbatimit, përkufizimet, kufijtë monetare dhe procedurat e prokurimit.</w:t>
            </w:r>
          </w:p>
        </w:tc>
        <w:tc>
          <w:tcPr>
            <w:tcW w:w="126" w:type="pct"/>
            <w:tcBorders>
              <w:top w:val="nil"/>
              <w:left w:val="nil"/>
              <w:bottom w:val="single" w:sz="4" w:space="0" w:color="auto"/>
              <w:right w:val="single" w:sz="4" w:space="0" w:color="auto"/>
            </w:tcBorders>
            <w:shd w:val="clear" w:color="FFFFFF" w:fill="FFFFFF"/>
            <w:vAlign w:val="center"/>
            <w:hideMark/>
          </w:tcPr>
          <w:p w14:paraId="65709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B97DF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C6B48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MM</w:t>
            </w:r>
          </w:p>
        </w:tc>
        <w:tc>
          <w:tcPr>
            <w:tcW w:w="113" w:type="pct"/>
            <w:tcBorders>
              <w:top w:val="nil"/>
              <w:left w:val="nil"/>
              <w:bottom w:val="single" w:sz="4" w:space="0" w:color="auto"/>
              <w:right w:val="single" w:sz="4" w:space="0" w:color="auto"/>
            </w:tcBorders>
            <w:shd w:val="clear" w:color="FFFFFF" w:fill="FFFFFF"/>
            <w:vAlign w:val="center"/>
            <w:hideMark/>
          </w:tcPr>
          <w:p w14:paraId="3AC2AF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9DC84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BD249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D4A76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CB219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78517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9" w:type="pct"/>
            <w:tcBorders>
              <w:top w:val="nil"/>
              <w:left w:val="nil"/>
              <w:bottom w:val="single" w:sz="4" w:space="0" w:color="auto"/>
              <w:right w:val="single" w:sz="4" w:space="0" w:color="auto"/>
            </w:tcBorders>
            <w:shd w:val="clear" w:color="FFFFFF" w:fill="FFFFFF"/>
            <w:vAlign w:val="center"/>
            <w:hideMark/>
          </w:tcPr>
          <w:p w14:paraId="67DBB6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E692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84F2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1661E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13E288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53C74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7B46E8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6A5F80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6CDB67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Prokurimet ne fushen e mbrojtjes dhe sigurise</w:t>
            </w:r>
          </w:p>
        </w:tc>
        <w:tc>
          <w:tcPr>
            <w:tcW w:w="661" w:type="pct"/>
            <w:tcBorders>
              <w:top w:val="nil"/>
              <w:left w:val="nil"/>
              <w:bottom w:val="single" w:sz="4" w:space="0" w:color="auto"/>
              <w:right w:val="single" w:sz="4" w:space="0" w:color="auto"/>
            </w:tcBorders>
            <w:shd w:val="clear" w:color="FFFFFF" w:fill="FFFFFF"/>
            <w:vAlign w:val="center"/>
            <w:hideMark/>
          </w:tcPr>
          <w:p w14:paraId="3824F9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2009/81/KE e Parlamentit Evropian dhe e Këshillit e datës 13 korrik 2009 mbi koordinimin e procedurave për dhënien e kontratave të caktuara të punëve, kontratave të furnizimit dhe shërbimeve nga autoritetet ose entet kontraktore në fushat e mbrojtjes dhe sigurisë, dhe duke ndryshuar Direktivat 2004/17/KE dhe 2004/18/E</w:t>
            </w:r>
          </w:p>
        </w:tc>
        <w:tc>
          <w:tcPr>
            <w:tcW w:w="668" w:type="pct"/>
            <w:tcBorders>
              <w:top w:val="nil"/>
              <w:left w:val="nil"/>
              <w:bottom w:val="single" w:sz="4" w:space="0" w:color="auto"/>
              <w:right w:val="single" w:sz="4" w:space="0" w:color="auto"/>
            </w:tcBorders>
            <w:shd w:val="clear" w:color="auto" w:fill="auto"/>
            <w:vAlign w:val="center"/>
            <w:hideMark/>
          </w:tcPr>
          <w:p w14:paraId="7D75C03F" w14:textId="77777777" w:rsidR="00482167" w:rsidRPr="006D6BE5" w:rsidRDefault="00E63D69" w:rsidP="00A7241A">
            <w:pPr>
              <w:rPr>
                <w:rFonts w:ascii="Arial" w:hAnsi="Arial" w:cs="Arial"/>
                <w:color w:val="0563C1"/>
                <w:sz w:val="4"/>
                <w:szCs w:val="8"/>
                <w:u w:val="single"/>
                <w:lang w:val="sq-AL"/>
              </w:rPr>
            </w:pPr>
            <w:hyperlink r:id="rId28" w:history="1">
              <w:r w:rsidR="00482167" w:rsidRPr="006D6BE5">
                <w:rPr>
                  <w:rFonts w:ascii="Arial" w:hAnsi="Arial" w:cs="Arial"/>
                  <w:color w:val="0563C1"/>
                  <w:sz w:val="4"/>
                  <w:szCs w:val="8"/>
                  <w:u w:val="single"/>
                  <w:lang w:val="sq-AL"/>
                </w:rPr>
                <w:t xml:space="preserve">http://data.europa.eu/eli/dir/2009/81/oj </w:t>
              </w:r>
            </w:hyperlink>
          </w:p>
        </w:tc>
        <w:tc>
          <w:tcPr>
            <w:tcW w:w="506" w:type="pct"/>
            <w:tcBorders>
              <w:top w:val="nil"/>
              <w:left w:val="nil"/>
              <w:bottom w:val="single" w:sz="4" w:space="0" w:color="auto"/>
              <w:right w:val="single" w:sz="4" w:space="0" w:color="auto"/>
            </w:tcBorders>
            <w:shd w:val="clear" w:color="FFFFFF" w:fill="FFFFFF"/>
            <w:vAlign w:val="center"/>
            <w:hideMark/>
          </w:tcPr>
          <w:p w14:paraId="295D34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7B82B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“Rregullore për sigurinë industriale, rregullat, procedurat dhe kërkesat për mbrojtjen e informacionit të klasifikuar gjatë prokurimit në fushën e mbrojtjes dhe të sigurisë”</w:t>
            </w:r>
          </w:p>
        </w:tc>
        <w:tc>
          <w:tcPr>
            <w:tcW w:w="330" w:type="pct"/>
            <w:tcBorders>
              <w:top w:val="nil"/>
              <w:left w:val="nil"/>
              <w:bottom w:val="single" w:sz="4" w:space="0" w:color="auto"/>
              <w:right w:val="single" w:sz="4" w:space="0" w:color="auto"/>
            </w:tcBorders>
            <w:shd w:val="clear" w:color="FFFFFF" w:fill="FFFFFF"/>
            <w:vAlign w:val="center"/>
            <w:hideMark/>
          </w:tcPr>
          <w:p w14:paraId="6F5A43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Zëvendësimi i VKM-së nr. 542, datë 29.9.2021 me një VKM të re, në zbatim të ligjit të ri për sekretin shtetëror të miratuar në Mars të 2023, si dhe duke adresuar rekomandimet e ardhura nga KE sa i takon informacionit të klasifikuar.</w:t>
            </w:r>
          </w:p>
        </w:tc>
        <w:tc>
          <w:tcPr>
            <w:tcW w:w="126" w:type="pct"/>
            <w:tcBorders>
              <w:top w:val="nil"/>
              <w:left w:val="nil"/>
              <w:bottom w:val="single" w:sz="4" w:space="0" w:color="auto"/>
              <w:right w:val="single" w:sz="4" w:space="0" w:color="auto"/>
            </w:tcBorders>
            <w:shd w:val="clear" w:color="FFFFFF" w:fill="FFFFFF"/>
            <w:vAlign w:val="center"/>
            <w:hideMark/>
          </w:tcPr>
          <w:p w14:paraId="74DDB6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8AF8E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1E8F6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AKSIK</w:t>
            </w:r>
          </w:p>
        </w:tc>
        <w:tc>
          <w:tcPr>
            <w:tcW w:w="113" w:type="pct"/>
            <w:tcBorders>
              <w:top w:val="nil"/>
              <w:left w:val="nil"/>
              <w:bottom w:val="single" w:sz="4" w:space="0" w:color="auto"/>
              <w:right w:val="single" w:sz="4" w:space="0" w:color="auto"/>
            </w:tcBorders>
            <w:shd w:val="clear" w:color="FFFFFF" w:fill="FFFFFF"/>
            <w:vAlign w:val="center"/>
            <w:hideMark/>
          </w:tcPr>
          <w:p w14:paraId="61403A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81CD5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53EC4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405ADEE" w14:textId="2AA4B8C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1,173.42 </w:t>
            </w:r>
          </w:p>
        </w:tc>
        <w:tc>
          <w:tcPr>
            <w:tcW w:w="126" w:type="pct"/>
            <w:tcBorders>
              <w:top w:val="nil"/>
              <w:left w:val="nil"/>
              <w:bottom w:val="single" w:sz="4" w:space="0" w:color="auto"/>
              <w:right w:val="single" w:sz="4" w:space="0" w:color="auto"/>
            </w:tcBorders>
            <w:shd w:val="clear" w:color="FFFFFF" w:fill="FFFFFF"/>
            <w:vAlign w:val="center"/>
            <w:hideMark/>
          </w:tcPr>
          <w:p w14:paraId="78EE63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C613A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90B54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BFD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8435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F0440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0EC203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8A60E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259756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39EF2D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7AC7C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Koncesione/ PPP</w:t>
            </w:r>
          </w:p>
        </w:tc>
        <w:tc>
          <w:tcPr>
            <w:tcW w:w="661" w:type="pct"/>
            <w:tcBorders>
              <w:top w:val="nil"/>
              <w:left w:val="nil"/>
              <w:bottom w:val="single" w:sz="4" w:space="0" w:color="auto"/>
              <w:right w:val="single" w:sz="4" w:space="0" w:color="auto"/>
            </w:tcBorders>
            <w:shd w:val="clear" w:color="FFFFFF" w:fill="FFFFFF"/>
            <w:vAlign w:val="center"/>
            <w:hideMark/>
          </w:tcPr>
          <w:p w14:paraId="1F3E0A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2014/23 / BE e Parlamentit Evropian dhe e Këshillit e datës 26 shkurt 2014 mbi dhënien e kontratave të koncesionit.</w:t>
            </w:r>
          </w:p>
        </w:tc>
        <w:tc>
          <w:tcPr>
            <w:tcW w:w="668" w:type="pct"/>
            <w:tcBorders>
              <w:top w:val="nil"/>
              <w:left w:val="nil"/>
              <w:bottom w:val="single" w:sz="4" w:space="0" w:color="auto"/>
              <w:right w:val="single" w:sz="4" w:space="0" w:color="auto"/>
            </w:tcBorders>
            <w:shd w:val="clear" w:color="auto" w:fill="auto"/>
            <w:vAlign w:val="center"/>
            <w:hideMark/>
          </w:tcPr>
          <w:p w14:paraId="2A15E0DC" w14:textId="77777777" w:rsidR="00482167" w:rsidRPr="006D6BE5" w:rsidRDefault="00E63D69" w:rsidP="00A7241A">
            <w:pPr>
              <w:rPr>
                <w:rFonts w:ascii="Arial" w:hAnsi="Arial" w:cs="Arial"/>
                <w:color w:val="0563C1"/>
                <w:sz w:val="4"/>
                <w:szCs w:val="8"/>
                <w:u w:val="single"/>
                <w:lang w:val="sq-AL"/>
              </w:rPr>
            </w:pPr>
            <w:hyperlink r:id="rId29" w:history="1">
              <w:r w:rsidR="00482167" w:rsidRPr="006D6BE5">
                <w:rPr>
                  <w:rFonts w:ascii="Arial" w:hAnsi="Arial" w:cs="Arial"/>
                  <w:color w:val="0563C1"/>
                  <w:sz w:val="4"/>
                  <w:szCs w:val="8"/>
                  <w:u w:val="single"/>
                  <w:lang w:val="sq-AL"/>
                </w:rPr>
                <w:t xml:space="preserve">http://data.europa.eu/eli/dir/2014/23/oj </w:t>
              </w:r>
            </w:hyperlink>
          </w:p>
        </w:tc>
        <w:tc>
          <w:tcPr>
            <w:tcW w:w="506" w:type="pct"/>
            <w:tcBorders>
              <w:top w:val="nil"/>
              <w:left w:val="nil"/>
              <w:bottom w:val="single" w:sz="4" w:space="0" w:color="auto"/>
              <w:right w:val="single" w:sz="4" w:space="0" w:color="auto"/>
            </w:tcBorders>
            <w:shd w:val="clear" w:color="FFFFFF" w:fill="FFFFFF"/>
            <w:vAlign w:val="center"/>
            <w:hideMark/>
          </w:tcPr>
          <w:p w14:paraId="24601C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63FDB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koncesionet dhe partneritetin publik privat"</w:t>
            </w:r>
          </w:p>
        </w:tc>
        <w:tc>
          <w:tcPr>
            <w:tcW w:w="330" w:type="pct"/>
            <w:tcBorders>
              <w:top w:val="nil"/>
              <w:left w:val="nil"/>
              <w:bottom w:val="single" w:sz="4" w:space="0" w:color="auto"/>
              <w:right w:val="single" w:sz="4" w:space="0" w:color="auto"/>
            </w:tcBorders>
            <w:shd w:val="clear" w:color="FFFFFF" w:fill="FFFFFF"/>
            <w:vAlign w:val="center"/>
            <w:hideMark/>
          </w:tcPr>
          <w:p w14:paraId="2AD82E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Ligjit 125/2013 "Per koncesionet dhe Partneritetin Publik Privat", i ndryshuar</w:t>
            </w:r>
          </w:p>
        </w:tc>
        <w:tc>
          <w:tcPr>
            <w:tcW w:w="126" w:type="pct"/>
            <w:tcBorders>
              <w:top w:val="nil"/>
              <w:left w:val="nil"/>
              <w:bottom w:val="single" w:sz="4" w:space="0" w:color="auto"/>
              <w:right w:val="single" w:sz="4" w:space="0" w:color="auto"/>
            </w:tcBorders>
            <w:shd w:val="clear" w:color="FFFFFF" w:fill="FFFFFF"/>
            <w:vAlign w:val="center"/>
            <w:hideMark/>
          </w:tcPr>
          <w:p w14:paraId="427C23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F77AB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D0C4F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C57E9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399F9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51326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ABA701F" w14:textId="2422C95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892 </w:t>
            </w:r>
          </w:p>
        </w:tc>
        <w:tc>
          <w:tcPr>
            <w:tcW w:w="126" w:type="pct"/>
            <w:tcBorders>
              <w:top w:val="nil"/>
              <w:left w:val="nil"/>
              <w:bottom w:val="single" w:sz="4" w:space="0" w:color="auto"/>
              <w:right w:val="single" w:sz="4" w:space="0" w:color="auto"/>
            </w:tcBorders>
            <w:shd w:val="clear" w:color="FFFFFF" w:fill="FFFFFF"/>
            <w:vAlign w:val="center"/>
            <w:hideMark/>
          </w:tcPr>
          <w:p w14:paraId="3D6C35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603E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63FC8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7F149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AA7E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DCD1D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441B5B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D9C0C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66A52C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69990B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F66A0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Ankesat</w:t>
            </w:r>
          </w:p>
        </w:tc>
        <w:tc>
          <w:tcPr>
            <w:tcW w:w="661" w:type="pct"/>
            <w:tcBorders>
              <w:top w:val="nil"/>
              <w:left w:val="nil"/>
              <w:bottom w:val="single" w:sz="4" w:space="0" w:color="auto"/>
              <w:right w:val="single" w:sz="4" w:space="0" w:color="auto"/>
            </w:tcBorders>
            <w:shd w:val="clear" w:color="FFFFFF" w:fill="FFFFFF"/>
            <w:vAlign w:val="center"/>
            <w:hideMark/>
          </w:tcPr>
          <w:p w14:paraId="0F17C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89/665 e 21 Dhjetorit 1989 për koordinimin e ligjeve, rregulloreve dhe dispozitave administrative në lidhje me zbatimin e procedurave të rishikimit për dhënien e kontratave të furnizimit publik dhe punëve publike</w:t>
            </w:r>
          </w:p>
        </w:tc>
        <w:tc>
          <w:tcPr>
            <w:tcW w:w="668" w:type="pct"/>
            <w:tcBorders>
              <w:top w:val="nil"/>
              <w:left w:val="nil"/>
              <w:bottom w:val="single" w:sz="4" w:space="0" w:color="auto"/>
              <w:right w:val="single" w:sz="4" w:space="0" w:color="auto"/>
            </w:tcBorders>
            <w:shd w:val="clear" w:color="auto" w:fill="auto"/>
            <w:vAlign w:val="center"/>
            <w:hideMark/>
          </w:tcPr>
          <w:p w14:paraId="1D843126" w14:textId="77777777" w:rsidR="00482167" w:rsidRPr="006D6BE5" w:rsidRDefault="00E63D69" w:rsidP="00A7241A">
            <w:pPr>
              <w:rPr>
                <w:rFonts w:ascii="Arial" w:hAnsi="Arial" w:cs="Arial"/>
                <w:color w:val="0563C1"/>
                <w:sz w:val="4"/>
                <w:szCs w:val="8"/>
                <w:u w:val="single"/>
                <w:lang w:val="sq-AL"/>
              </w:rPr>
            </w:pPr>
            <w:hyperlink r:id="rId30" w:history="1">
              <w:r w:rsidR="00482167" w:rsidRPr="006D6BE5">
                <w:rPr>
                  <w:rFonts w:ascii="Arial" w:hAnsi="Arial" w:cs="Arial"/>
                  <w:color w:val="0563C1"/>
                  <w:sz w:val="4"/>
                  <w:szCs w:val="8"/>
                  <w:u w:val="single"/>
                  <w:lang w:val="sq-AL"/>
                </w:rPr>
                <w:t>http://data.europa.eu/eli/dir/1989/665/oj</w:t>
              </w:r>
            </w:hyperlink>
          </w:p>
        </w:tc>
        <w:tc>
          <w:tcPr>
            <w:tcW w:w="506" w:type="pct"/>
            <w:tcBorders>
              <w:top w:val="nil"/>
              <w:left w:val="nil"/>
              <w:bottom w:val="single" w:sz="4" w:space="0" w:color="auto"/>
              <w:right w:val="single" w:sz="4" w:space="0" w:color="auto"/>
            </w:tcBorders>
            <w:shd w:val="clear" w:color="FFFFFF" w:fill="FFFFFF"/>
            <w:vAlign w:val="center"/>
            <w:hideMark/>
          </w:tcPr>
          <w:p w14:paraId="735E4A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34DDCB5" w14:textId="7AA882D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kufijve monetarë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në procedurat e prokurimit publik" </w:t>
            </w:r>
          </w:p>
        </w:tc>
        <w:tc>
          <w:tcPr>
            <w:tcW w:w="330" w:type="pct"/>
            <w:tcBorders>
              <w:top w:val="nil"/>
              <w:left w:val="nil"/>
              <w:bottom w:val="single" w:sz="4" w:space="0" w:color="auto"/>
              <w:right w:val="single" w:sz="4" w:space="0" w:color="auto"/>
            </w:tcBorders>
            <w:shd w:val="clear" w:color="FFFFFF" w:fill="FFFFFF"/>
            <w:vAlign w:val="center"/>
            <w:hideMark/>
          </w:tcPr>
          <w:p w14:paraId="5D18B8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 i kufijve monetarë në fushen e prokurimit publik të cilat sjellin afatet kohore për ankim në perputhje të plotë me afatet kohore e percaktuara ne direktivat e BE-së</w:t>
            </w:r>
          </w:p>
        </w:tc>
        <w:tc>
          <w:tcPr>
            <w:tcW w:w="126" w:type="pct"/>
            <w:tcBorders>
              <w:top w:val="nil"/>
              <w:left w:val="nil"/>
              <w:bottom w:val="single" w:sz="4" w:space="0" w:color="auto"/>
              <w:right w:val="single" w:sz="4" w:space="0" w:color="auto"/>
            </w:tcBorders>
            <w:shd w:val="clear" w:color="FFFFFF" w:fill="FFFFFF"/>
            <w:vAlign w:val="center"/>
            <w:hideMark/>
          </w:tcPr>
          <w:p w14:paraId="187017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F41F1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FE6F6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1A801E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02B81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6004DD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5B9DD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967</w:t>
            </w:r>
          </w:p>
        </w:tc>
        <w:tc>
          <w:tcPr>
            <w:tcW w:w="126" w:type="pct"/>
            <w:tcBorders>
              <w:top w:val="nil"/>
              <w:left w:val="nil"/>
              <w:bottom w:val="single" w:sz="4" w:space="0" w:color="auto"/>
              <w:right w:val="single" w:sz="4" w:space="0" w:color="auto"/>
            </w:tcBorders>
            <w:shd w:val="clear" w:color="FFFFFF" w:fill="FFFFFF"/>
            <w:vAlign w:val="center"/>
            <w:hideMark/>
          </w:tcPr>
          <w:p w14:paraId="366B41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BC5D2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F17B6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BE69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2F1E2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48318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3E0AD1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7E597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w:t>
            </w:r>
          </w:p>
        </w:tc>
        <w:tc>
          <w:tcPr>
            <w:tcW w:w="144" w:type="pct"/>
            <w:tcBorders>
              <w:top w:val="nil"/>
              <w:left w:val="nil"/>
              <w:bottom w:val="single" w:sz="4" w:space="0" w:color="auto"/>
              <w:right w:val="single" w:sz="4" w:space="0" w:color="auto"/>
            </w:tcBorders>
            <w:shd w:val="clear" w:color="FFFFFF" w:fill="FFFFFF"/>
            <w:vAlign w:val="center"/>
            <w:hideMark/>
          </w:tcPr>
          <w:p w14:paraId="4DF6ED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65" w:type="pct"/>
            <w:tcBorders>
              <w:top w:val="nil"/>
              <w:left w:val="nil"/>
              <w:bottom w:val="single" w:sz="4" w:space="0" w:color="auto"/>
              <w:right w:val="single" w:sz="4" w:space="0" w:color="auto"/>
            </w:tcBorders>
            <w:shd w:val="clear" w:color="FFFFFF" w:fill="FFFFFF"/>
            <w:vAlign w:val="center"/>
            <w:hideMark/>
          </w:tcPr>
          <w:p w14:paraId="14FD7F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5C17D6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Ankesat</w:t>
            </w:r>
          </w:p>
        </w:tc>
        <w:tc>
          <w:tcPr>
            <w:tcW w:w="661" w:type="pct"/>
            <w:tcBorders>
              <w:top w:val="nil"/>
              <w:left w:val="nil"/>
              <w:bottom w:val="single" w:sz="4" w:space="0" w:color="auto"/>
              <w:right w:val="single" w:sz="4" w:space="0" w:color="auto"/>
            </w:tcBorders>
            <w:shd w:val="clear" w:color="FFFFFF" w:fill="FFFFFF"/>
            <w:vAlign w:val="center"/>
            <w:hideMark/>
          </w:tcPr>
          <w:p w14:paraId="199597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92/13/KEE e 25 shkurtit 1992 që bashkërendon ligjet, rregulloret dhe dispozitat administrative në lidhje me zbatimin e rregullave të Komunitetit për procedurat e prokurimit të enteve që veprojnë në sektorët e ujit, energjisë, transportit dhe telekomunikacionit</w:t>
            </w:r>
          </w:p>
        </w:tc>
        <w:tc>
          <w:tcPr>
            <w:tcW w:w="668" w:type="pct"/>
            <w:tcBorders>
              <w:top w:val="nil"/>
              <w:left w:val="nil"/>
              <w:bottom w:val="single" w:sz="4" w:space="0" w:color="auto"/>
              <w:right w:val="single" w:sz="4" w:space="0" w:color="auto"/>
            </w:tcBorders>
            <w:shd w:val="clear" w:color="auto" w:fill="auto"/>
            <w:vAlign w:val="center"/>
            <w:hideMark/>
          </w:tcPr>
          <w:p w14:paraId="1ADB51BA" w14:textId="77777777" w:rsidR="00482167" w:rsidRPr="006D6BE5" w:rsidRDefault="00E63D69" w:rsidP="00A7241A">
            <w:pPr>
              <w:rPr>
                <w:rFonts w:ascii="Arial" w:hAnsi="Arial" w:cs="Arial"/>
                <w:color w:val="0563C1"/>
                <w:sz w:val="4"/>
                <w:szCs w:val="8"/>
                <w:u w:val="single"/>
                <w:lang w:val="sq-AL"/>
              </w:rPr>
            </w:pPr>
            <w:hyperlink r:id="rId31" w:history="1">
              <w:r w:rsidR="00482167" w:rsidRPr="006D6BE5">
                <w:rPr>
                  <w:rFonts w:ascii="Arial" w:hAnsi="Arial" w:cs="Arial"/>
                  <w:color w:val="0563C1"/>
                  <w:sz w:val="4"/>
                  <w:szCs w:val="8"/>
                  <w:u w:val="single"/>
                  <w:lang w:val="sq-AL"/>
                </w:rPr>
                <w:t xml:space="preserve">http://data.europa.eu/eli/dir/1992/13/2014-04-17 </w:t>
              </w:r>
            </w:hyperlink>
          </w:p>
        </w:tc>
        <w:tc>
          <w:tcPr>
            <w:tcW w:w="506" w:type="pct"/>
            <w:tcBorders>
              <w:top w:val="nil"/>
              <w:left w:val="nil"/>
              <w:bottom w:val="single" w:sz="4" w:space="0" w:color="auto"/>
              <w:right w:val="single" w:sz="4" w:space="0" w:color="auto"/>
            </w:tcBorders>
            <w:shd w:val="clear" w:color="FFFFFF" w:fill="FFFFFF"/>
            <w:vAlign w:val="center"/>
            <w:hideMark/>
          </w:tcPr>
          <w:p w14:paraId="6ADB08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FEB0F07" w14:textId="0E2B39A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kufijve monetarë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në procedurat e prokurimit publik" </w:t>
            </w:r>
          </w:p>
        </w:tc>
        <w:tc>
          <w:tcPr>
            <w:tcW w:w="330" w:type="pct"/>
            <w:tcBorders>
              <w:top w:val="nil"/>
              <w:left w:val="nil"/>
              <w:bottom w:val="single" w:sz="4" w:space="0" w:color="auto"/>
              <w:right w:val="single" w:sz="4" w:space="0" w:color="auto"/>
            </w:tcBorders>
            <w:shd w:val="clear" w:color="FFFFFF" w:fill="FFFFFF"/>
            <w:vAlign w:val="center"/>
            <w:hideMark/>
          </w:tcPr>
          <w:p w14:paraId="27AC6D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 i kufijve monetarë në fushen e prokurimit publik të cilat sjellin afatet kohore për ankim në perputhje të plotë me afatet kohore e percaktuara ne direktivat e BE-së</w:t>
            </w:r>
          </w:p>
        </w:tc>
        <w:tc>
          <w:tcPr>
            <w:tcW w:w="126" w:type="pct"/>
            <w:tcBorders>
              <w:top w:val="nil"/>
              <w:left w:val="nil"/>
              <w:bottom w:val="single" w:sz="4" w:space="0" w:color="auto"/>
              <w:right w:val="single" w:sz="4" w:space="0" w:color="auto"/>
            </w:tcBorders>
            <w:shd w:val="clear" w:color="FFFFFF" w:fill="FFFFFF"/>
            <w:vAlign w:val="center"/>
            <w:hideMark/>
          </w:tcPr>
          <w:p w14:paraId="1CFBB3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F1576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812B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APP</w:t>
            </w:r>
          </w:p>
        </w:tc>
        <w:tc>
          <w:tcPr>
            <w:tcW w:w="113" w:type="pct"/>
            <w:tcBorders>
              <w:top w:val="nil"/>
              <w:left w:val="nil"/>
              <w:bottom w:val="single" w:sz="4" w:space="0" w:color="auto"/>
              <w:right w:val="single" w:sz="4" w:space="0" w:color="auto"/>
            </w:tcBorders>
            <w:shd w:val="clear" w:color="FFFFFF" w:fill="FFFFFF"/>
            <w:vAlign w:val="center"/>
            <w:hideMark/>
          </w:tcPr>
          <w:p w14:paraId="7770DA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F757A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18ED19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AFAD5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967</w:t>
            </w:r>
          </w:p>
        </w:tc>
        <w:tc>
          <w:tcPr>
            <w:tcW w:w="126" w:type="pct"/>
            <w:tcBorders>
              <w:top w:val="nil"/>
              <w:left w:val="nil"/>
              <w:bottom w:val="single" w:sz="4" w:space="0" w:color="auto"/>
              <w:right w:val="single" w:sz="4" w:space="0" w:color="auto"/>
            </w:tcBorders>
            <w:shd w:val="clear" w:color="FFFFFF" w:fill="FFFFFF"/>
            <w:vAlign w:val="center"/>
            <w:hideMark/>
          </w:tcPr>
          <w:p w14:paraId="63E312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947BB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FE232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BC53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AE7C4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85AF1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8297B5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5D37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1C17C1E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5677870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Ekonomike</w:t>
            </w:r>
          </w:p>
        </w:tc>
        <w:tc>
          <w:tcPr>
            <w:tcW w:w="171" w:type="pct"/>
            <w:tcBorders>
              <w:top w:val="nil"/>
              <w:left w:val="nil"/>
              <w:bottom w:val="single" w:sz="4" w:space="0" w:color="auto"/>
              <w:right w:val="single" w:sz="4" w:space="0" w:color="auto"/>
            </w:tcBorders>
            <w:shd w:val="clear" w:color="FFFFFF" w:fill="FFFFFF"/>
            <w:vAlign w:val="center"/>
            <w:hideMark/>
          </w:tcPr>
          <w:p w14:paraId="4282E60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Makro Ekonomike</w:t>
            </w:r>
          </w:p>
        </w:tc>
        <w:tc>
          <w:tcPr>
            <w:tcW w:w="661" w:type="pct"/>
            <w:tcBorders>
              <w:top w:val="nil"/>
              <w:left w:val="nil"/>
              <w:bottom w:val="single" w:sz="4" w:space="0" w:color="auto"/>
              <w:right w:val="single" w:sz="4" w:space="0" w:color="auto"/>
            </w:tcBorders>
            <w:shd w:val="clear" w:color="FFFFFF" w:fill="FFFFFF"/>
            <w:vAlign w:val="center"/>
            <w:hideMark/>
          </w:tcPr>
          <w:p w14:paraId="32BFDBB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e Komisionit (BE) 2016/2304 e datës 19 dhjetor 2016 mbi modalitetet, strukturën, periodicitetin dhe treguesit e vlerësimit të raporteve të cilësisë mbi të dhënat e transmetuara në përputhje me Rregulloren (BE) Nr. 549/2013 të Parlamentit Evropian dhe të Këshillit. OJ L 345, 20.12.2016, f. 27–36</w:t>
            </w:r>
          </w:p>
        </w:tc>
        <w:tc>
          <w:tcPr>
            <w:tcW w:w="668" w:type="pct"/>
            <w:tcBorders>
              <w:top w:val="nil"/>
              <w:left w:val="nil"/>
              <w:bottom w:val="single" w:sz="4" w:space="0" w:color="auto"/>
              <w:right w:val="single" w:sz="4" w:space="0" w:color="auto"/>
            </w:tcBorders>
            <w:shd w:val="clear" w:color="auto" w:fill="auto"/>
            <w:vAlign w:val="center"/>
            <w:hideMark/>
          </w:tcPr>
          <w:p w14:paraId="055C92F0" w14:textId="77777777" w:rsidR="00482167" w:rsidRPr="006D6BE5" w:rsidRDefault="00E63D69" w:rsidP="00A7241A">
            <w:pPr>
              <w:rPr>
                <w:rFonts w:ascii="Arial" w:hAnsi="Arial" w:cs="Arial"/>
                <w:color w:val="0563C1"/>
                <w:sz w:val="4"/>
                <w:szCs w:val="8"/>
                <w:u w:val="single"/>
                <w:lang w:val="sq-AL"/>
              </w:rPr>
            </w:pPr>
            <w:hyperlink r:id="rId32" w:history="1">
              <w:r w:rsidR="00482167" w:rsidRPr="006D6BE5">
                <w:rPr>
                  <w:rFonts w:ascii="Arial" w:hAnsi="Arial" w:cs="Arial"/>
                  <w:color w:val="0563C1"/>
                  <w:sz w:val="4"/>
                  <w:szCs w:val="8"/>
                  <w:u w:val="single"/>
                  <w:lang w:val="sq-AL"/>
                </w:rPr>
                <w:t xml:space="preserve">https://eur-lex.europa.eu/legal-content/EN/TXT/?uri=uriserv%3AOJ.L_.2016.345.01.0027.01.ENG </w:t>
              </w:r>
            </w:hyperlink>
          </w:p>
        </w:tc>
        <w:tc>
          <w:tcPr>
            <w:tcW w:w="506" w:type="pct"/>
            <w:tcBorders>
              <w:top w:val="nil"/>
              <w:left w:val="nil"/>
              <w:bottom w:val="single" w:sz="4" w:space="0" w:color="auto"/>
              <w:right w:val="single" w:sz="4" w:space="0" w:color="auto"/>
            </w:tcBorders>
            <w:shd w:val="clear" w:color="FFFFFF" w:fill="FFFFFF"/>
            <w:vAlign w:val="center"/>
            <w:hideMark/>
          </w:tcPr>
          <w:p w14:paraId="4B7DAF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FB1192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i Drejtorit të Përgjithshëm të INSTAT “Për modalitetet, strukturën, periodicitetin dhe vlerësimin e treguesve të cilësisë mbi të dhënat e transmetuara në Eurostat”</w:t>
            </w:r>
          </w:p>
        </w:tc>
        <w:tc>
          <w:tcPr>
            <w:tcW w:w="330" w:type="pct"/>
            <w:tcBorders>
              <w:top w:val="nil"/>
              <w:left w:val="nil"/>
              <w:bottom w:val="single" w:sz="4" w:space="0" w:color="auto"/>
              <w:right w:val="single" w:sz="4" w:space="0" w:color="auto"/>
            </w:tcBorders>
            <w:shd w:val="clear" w:color="FFFFFF" w:fill="FFFFFF"/>
            <w:vAlign w:val="center"/>
            <w:hideMark/>
          </w:tcPr>
          <w:p w14:paraId="381DE28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 krijimi i bazes ligjore mbi modalitetet, strukturën, periodicitetin dhe treguesit e vlerësimit të raporteve të cilësisë mbi të dhënat e transmetuara në përputhje me Rregulloren (BE) Nr. 549/2013 të Parlamentit Evropian dhe të Këshillit. OJ L 345, 20.12.2016, f. 27–361 dhe Rregullorja e Komisionit (BE) 2016/2304 e datës 19 dhjetor 2016;</w:t>
            </w:r>
            <w:r w:rsidRPr="006D6BE5">
              <w:rPr>
                <w:rFonts w:ascii="Arial" w:hAnsi="Arial" w:cs="Arial"/>
                <w:sz w:val="4"/>
                <w:szCs w:val="8"/>
                <w:lang w:val="sq-AL"/>
              </w:rPr>
              <w:br/>
              <w:t>2. Rritje e numrit të punonjësve përmes Programit të Statistikave Zyrtare 2022 - 2026;</w:t>
            </w:r>
          </w:p>
        </w:tc>
        <w:tc>
          <w:tcPr>
            <w:tcW w:w="126" w:type="pct"/>
            <w:tcBorders>
              <w:top w:val="nil"/>
              <w:left w:val="nil"/>
              <w:bottom w:val="single" w:sz="4" w:space="0" w:color="auto"/>
              <w:right w:val="single" w:sz="4" w:space="0" w:color="auto"/>
            </w:tcBorders>
            <w:shd w:val="clear" w:color="FFFFFF" w:fill="FFFFFF"/>
            <w:vAlign w:val="center"/>
            <w:hideMark/>
          </w:tcPr>
          <w:p w14:paraId="6D8913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EC61A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0FF74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732181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768CC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A6B80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493073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2DB18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A5AAB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36B94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61251F31" w14:textId="58B2F757"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24,440 </w:t>
            </w:r>
          </w:p>
        </w:tc>
        <w:tc>
          <w:tcPr>
            <w:tcW w:w="111" w:type="pct"/>
            <w:tcBorders>
              <w:top w:val="nil"/>
              <w:left w:val="nil"/>
              <w:bottom w:val="single" w:sz="4" w:space="0" w:color="auto"/>
              <w:right w:val="single" w:sz="4" w:space="0" w:color="auto"/>
            </w:tcBorders>
            <w:shd w:val="clear" w:color="FFFFFF" w:fill="FFFFFF"/>
            <w:vAlign w:val="center"/>
            <w:hideMark/>
          </w:tcPr>
          <w:p w14:paraId="682A971B" w14:textId="7560BCF1"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24,440 </w:t>
            </w:r>
          </w:p>
        </w:tc>
        <w:tc>
          <w:tcPr>
            <w:tcW w:w="101" w:type="pct"/>
            <w:tcBorders>
              <w:top w:val="nil"/>
              <w:left w:val="nil"/>
              <w:bottom w:val="single" w:sz="4" w:space="0" w:color="auto"/>
              <w:right w:val="single" w:sz="4" w:space="0" w:color="auto"/>
            </w:tcBorders>
            <w:shd w:val="clear" w:color="FFFFFF" w:fill="FFFFFF"/>
            <w:vAlign w:val="center"/>
            <w:hideMark/>
          </w:tcPr>
          <w:p w14:paraId="44F3CD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88F152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A6DC01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6F6E825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7D8A99C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Ekonomike</w:t>
            </w:r>
          </w:p>
        </w:tc>
        <w:tc>
          <w:tcPr>
            <w:tcW w:w="171" w:type="pct"/>
            <w:tcBorders>
              <w:top w:val="nil"/>
              <w:left w:val="nil"/>
              <w:bottom w:val="single" w:sz="4" w:space="0" w:color="auto"/>
              <w:right w:val="single" w:sz="4" w:space="0" w:color="auto"/>
            </w:tcBorders>
            <w:shd w:val="clear" w:color="FFFFFF" w:fill="FFFFFF"/>
            <w:vAlign w:val="center"/>
            <w:hideMark/>
          </w:tcPr>
          <w:p w14:paraId="493AF3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Ekonomike</w:t>
            </w:r>
          </w:p>
        </w:tc>
        <w:tc>
          <w:tcPr>
            <w:tcW w:w="661" w:type="pct"/>
            <w:tcBorders>
              <w:top w:val="nil"/>
              <w:left w:val="nil"/>
              <w:bottom w:val="single" w:sz="4" w:space="0" w:color="auto"/>
              <w:right w:val="single" w:sz="4" w:space="0" w:color="auto"/>
            </w:tcBorders>
            <w:shd w:val="clear" w:color="FFFFFF" w:fill="FFFFFF"/>
            <w:vAlign w:val="center"/>
            <w:hideMark/>
          </w:tcPr>
          <w:p w14:paraId="759AD34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e Komisionit (EC) Nr. 1889/2002 e datës 23 tetor 2002, mbi zbatimin e Rregullores së Këshillit (EC) Nr. 448/98 që plotëson dhe ndryshon Rregulloren (EC) Nr. 2223/96 në lidhje me shpërndarjen e shërbimeve të ndërmjetësimit financiar të matur në mënyrë indirekte ( FISIM) brenda Sistemit Evropian të Llogarive Kombëtare dhe Rajonale (ESA), OJ L 286, 24.10.2002</w:t>
            </w:r>
          </w:p>
        </w:tc>
        <w:tc>
          <w:tcPr>
            <w:tcW w:w="668" w:type="pct"/>
            <w:tcBorders>
              <w:top w:val="nil"/>
              <w:left w:val="nil"/>
              <w:bottom w:val="single" w:sz="4" w:space="0" w:color="auto"/>
              <w:right w:val="single" w:sz="4" w:space="0" w:color="auto"/>
            </w:tcBorders>
            <w:shd w:val="clear" w:color="auto" w:fill="auto"/>
            <w:vAlign w:val="center"/>
            <w:hideMark/>
          </w:tcPr>
          <w:p w14:paraId="4FA91E38" w14:textId="77777777" w:rsidR="00482167" w:rsidRPr="006D6BE5" w:rsidRDefault="00E63D69" w:rsidP="00A7241A">
            <w:pPr>
              <w:rPr>
                <w:rFonts w:ascii="Arial" w:hAnsi="Arial" w:cs="Arial"/>
                <w:color w:val="0563C1"/>
                <w:sz w:val="4"/>
                <w:szCs w:val="8"/>
                <w:u w:val="single"/>
                <w:lang w:val="sq-AL"/>
              </w:rPr>
            </w:pPr>
            <w:hyperlink r:id="rId33" w:history="1">
              <w:r w:rsidR="00482167" w:rsidRPr="006D6BE5">
                <w:rPr>
                  <w:rFonts w:ascii="Arial" w:hAnsi="Arial" w:cs="Arial"/>
                  <w:color w:val="0563C1"/>
                  <w:sz w:val="4"/>
                  <w:szCs w:val="8"/>
                  <w:u w:val="single"/>
                  <w:lang w:val="sq-AL"/>
                </w:rPr>
                <w:t xml:space="preserve">https://eur-lex.europa.eu/legal-content/EN/TXT/?uri=CELEX%3A32002R1889 </w:t>
              </w:r>
            </w:hyperlink>
          </w:p>
        </w:tc>
        <w:tc>
          <w:tcPr>
            <w:tcW w:w="506" w:type="pct"/>
            <w:tcBorders>
              <w:top w:val="nil"/>
              <w:left w:val="nil"/>
              <w:bottom w:val="single" w:sz="4" w:space="0" w:color="auto"/>
              <w:right w:val="single" w:sz="4" w:space="0" w:color="auto"/>
            </w:tcBorders>
            <w:shd w:val="clear" w:color="FFFFFF" w:fill="FFFFFF"/>
            <w:vAlign w:val="center"/>
            <w:hideMark/>
          </w:tcPr>
          <w:p w14:paraId="25F91D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0FC7B9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i Drejtorit të Përgjithshëm të INSTAT “Për zbatimin e Rregullores 1889/2002 në lidhje me shpërndarjen e shërbimeve të ndërmjetësimit financiar të matur në mënyrë indirekte (FISIM) brenda Sistemit Evropian të Llogarive Kombëtare dhe Rajonale (ESA 2010)”</w:t>
            </w:r>
          </w:p>
        </w:tc>
        <w:tc>
          <w:tcPr>
            <w:tcW w:w="330" w:type="pct"/>
            <w:tcBorders>
              <w:top w:val="nil"/>
              <w:left w:val="nil"/>
              <w:bottom w:val="single" w:sz="4" w:space="0" w:color="auto"/>
              <w:right w:val="single" w:sz="4" w:space="0" w:color="auto"/>
            </w:tcBorders>
            <w:shd w:val="clear" w:color="FFFFFF" w:fill="FFFFFF"/>
            <w:vAlign w:val="center"/>
            <w:hideMark/>
          </w:tcPr>
          <w:p w14:paraId="511EE9F6" w14:textId="3F7532C8" w:rsidR="00482167" w:rsidRPr="006D6BE5" w:rsidRDefault="00482167" w:rsidP="00A7241A">
            <w:pPr>
              <w:rPr>
                <w:rFonts w:ascii="Arial" w:hAnsi="Arial" w:cs="Arial"/>
                <w:sz w:val="4"/>
                <w:szCs w:val="8"/>
                <w:lang w:val="sq-AL"/>
              </w:rPr>
            </w:pPr>
            <w:r w:rsidRPr="006D6BE5">
              <w:rPr>
                <w:rFonts w:ascii="Arial" w:hAnsi="Arial" w:cs="Arial"/>
                <w:sz w:val="4"/>
                <w:szCs w:val="8"/>
                <w:lang w:val="sq-AL"/>
              </w:rPr>
              <w:t>1. Krijimi i bazes ligjore mbi zbatimin e Rregullores 1889/2002;ne lidhje me shpërndarjen e shërbimeve të ndërmjetësimit financiar të matur në mënyrë indirekte ( FISIM) brenda Sistemit Evropian të Llogarive Kombëtare dhe Rajonale (ESA 2010);</w:t>
            </w:r>
            <w:r w:rsidRPr="006D6BE5">
              <w:rPr>
                <w:rFonts w:ascii="Arial" w:hAnsi="Arial" w:cs="Arial"/>
                <w:sz w:val="4"/>
                <w:szCs w:val="8"/>
                <w:lang w:val="sq-AL"/>
              </w:rPr>
              <w:br/>
              <w:t>2. Rritje e numrit të punonjësve përmes Programit të Statistikave Zyrtare 2022 - 2026;</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2A0257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6E317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0F904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2C29B3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6E5E8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D1DC6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A66CF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53A8A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1E3EC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FF480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51F684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93A0305" w14:textId="7ACA60D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 </w:t>
            </w:r>
          </w:p>
        </w:tc>
        <w:tc>
          <w:tcPr>
            <w:tcW w:w="101" w:type="pct"/>
            <w:tcBorders>
              <w:top w:val="nil"/>
              <w:left w:val="nil"/>
              <w:bottom w:val="single" w:sz="4" w:space="0" w:color="auto"/>
              <w:right w:val="single" w:sz="4" w:space="0" w:color="auto"/>
            </w:tcBorders>
            <w:shd w:val="clear" w:color="FFFFFF" w:fill="FFFFFF"/>
            <w:vAlign w:val="center"/>
            <w:hideMark/>
          </w:tcPr>
          <w:p w14:paraId="4192D200" w14:textId="63538535"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 </w:t>
            </w:r>
          </w:p>
        </w:tc>
      </w:tr>
      <w:tr w:rsidR="00482167" w:rsidRPr="006D6BE5" w14:paraId="3FDF021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42B5A2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6E2D59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5CC07F0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Sektoriale</w:t>
            </w:r>
          </w:p>
        </w:tc>
        <w:tc>
          <w:tcPr>
            <w:tcW w:w="171" w:type="pct"/>
            <w:tcBorders>
              <w:top w:val="nil"/>
              <w:left w:val="nil"/>
              <w:bottom w:val="single" w:sz="4" w:space="0" w:color="auto"/>
              <w:right w:val="single" w:sz="4" w:space="0" w:color="auto"/>
            </w:tcBorders>
            <w:shd w:val="clear" w:color="FFFFFF" w:fill="FFFFFF"/>
            <w:vAlign w:val="center"/>
            <w:hideMark/>
          </w:tcPr>
          <w:p w14:paraId="5FD72DE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 Peshkimit</w:t>
            </w:r>
          </w:p>
        </w:tc>
        <w:tc>
          <w:tcPr>
            <w:tcW w:w="661" w:type="pct"/>
            <w:tcBorders>
              <w:top w:val="nil"/>
              <w:left w:val="nil"/>
              <w:bottom w:val="single" w:sz="4" w:space="0" w:color="auto"/>
              <w:right w:val="single" w:sz="4" w:space="0" w:color="auto"/>
            </w:tcBorders>
            <w:shd w:val="clear" w:color="FFFFFF" w:fill="FFFFFF"/>
            <w:vAlign w:val="center"/>
            <w:hideMark/>
          </w:tcPr>
          <w:p w14:paraId="5D08CD6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(KE) Nr. 216/2009 e Parlamentit Evropian dhe e Këshillit e datës 11 mars 2009 mbi mbi statistikat e zënieve nominale të peshkut nga shtetet anëtare që peshkojnë në zona të caktuara të ndryshme nga ato të Atlantikut të Veriut (riformuluar), OJ L 87, 31.3. 2009, f. 1</w:t>
            </w:r>
          </w:p>
        </w:tc>
        <w:tc>
          <w:tcPr>
            <w:tcW w:w="668" w:type="pct"/>
            <w:tcBorders>
              <w:top w:val="nil"/>
              <w:left w:val="nil"/>
              <w:bottom w:val="single" w:sz="4" w:space="0" w:color="auto"/>
              <w:right w:val="single" w:sz="4" w:space="0" w:color="auto"/>
            </w:tcBorders>
            <w:shd w:val="clear" w:color="auto" w:fill="auto"/>
            <w:vAlign w:val="center"/>
            <w:hideMark/>
          </w:tcPr>
          <w:p w14:paraId="35BC19F8" w14:textId="77777777" w:rsidR="00482167" w:rsidRPr="006D6BE5" w:rsidRDefault="00E63D69" w:rsidP="00A7241A">
            <w:pPr>
              <w:rPr>
                <w:rFonts w:ascii="Arial" w:hAnsi="Arial" w:cs="Arial"/>
                <w:color w:val="0563C1"/>
                <w:sz w:val="4"/>
                <w:szCs w:val="8"/>
                <w:u w:val="single"/>
                <w:lang w:val="sq-AL"/>
              </w:rPr>
            </w:pPr>
            <w:hyperlink r:id="rId34" w:history="1">
              <w:r w:rsidR="00482167" w:rsidRPr="006D6BE5">
                <w:rPr>
                  <w:rFonts w:ascii="Arial" w:hAnsi="Arial" w:cs="Arial"/>
                  <w:color w:val="0563C1"/>
                  <w:sz w:val="4"/>
                  <w:szCs w:val="8"/>
                  <w:u w:val="single"/>
                  <w:lang w:val="sq-AL"/>
                </w:rPr>
                <w:t xml:space="preserve">https://eur-lex.europa.eu/legal-content/EN/TXT/PDF/?uri=CELEX:32009R0216 </w:t>
              </w:r>
            </w:hyperlink>
          </w:p>
        </w:tc>
        <w:tc>
          <w:tcPr>
            <w:tcW w:w="506" w:type="pct"/>
            <w:tcBorders>
              <w:top w:val="nil"/>
              <w:left w:val="nil"/>
              <w:bottom w:val="single" w:sz="4" w:space="0" w:color="auto"/>
              <w:right w:val="single" w:sz="4" w:space="0" w:color="auto"/>
            </w:tcBorders>
            <w:shd w:val="clear" w:color="FFFFFF" w:fill="FFFFFF"/>
            <w:vAlign w:val="center"/>
            <w:hideMark/>
          </w:tcPr>
          <w:p w14:paraId="0C3D12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DECC64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i Drejtorit të Përgjithshëm të INSTAT “Për zbatimin e Rregullores 216/2009 mbi statistikat e zënieve nominale të peshkut nga shtetet anëtare që peshkojnë në zona të caktuara të ndryshme nga ato të Atlantikut të Veriut”</w:t>
            </w:r>
          </w:p>
        </w:tc>
        <w:tc>
          <w:tcPr>
            <w:tcW w:w="330" w:type="pct"/>
            <w:tcBorders>
              <w:top w:val="nil"/>
              <w:left w:val="nil"/>
              <w:bottom w:val="single" w:sz="4" w:space="0" w:color="auto"/>
              <w:right w:val="single" w:sz="4" w:space="0" w:color="auto"/>
            </w:tcBorders>
            <w:shd w:val="clear" w:color="FFFFFF" w:fill="FFFFFF"/>
            <w:vAlign w:val="center"/>
            <w:hideMark/>
          </w:tcPr>
          <w:p w14:paraId="1F7EEF7A" w14:textId="47C4903C" w:rsidR="00482167" w:rsidRPr="006D6BE5" w:rsidRDefault="00482167" w:rsidP="00A7241A">
            <w:pPr>
              <w:rPr>
                <w:rFonts w:ascii="Arial" w:hAnsi="Arial" w:cs="Arial"/>
                <w:sz w:val="4"/>
                <w:szCs w:val="8"/>
                <w:lang w:val="sq-AL"/>
              </w:rPr>
            </w:pPr>
            <w:r w:rsidRPr="006D6BE5">
              <w:rPr>
                <w:rFonts w:ascii="Arial" w:hAnsi="Arial" w:cs="Arial"/>
                <w:sz w:val="4"/>
                <w:szCs w:val="8"/>
                <w:lang w:val="sq-AL"/>
              </w:rPr>
              <w:t>1. Krijimi i bazes ligjore mbi listën e llojeve të peshkut (mbështetur në ASFIS), strukturën, periodicitetin dhe treguesit e vlerësimit të raporteve të cilësisë mbi të dhënat e transmetuara në përputhje me Rregullores 216/2009 mbi mbi statistikat e zënieve nominale të peshkut nga shtetet anëtare që peshkojnë në zona të caktuara të ndryshme nga ato të Atlantikut të Veriut.</w:t>
            </w:r>
            <w:r w:rsidRPr="006D6BE5">
              <w:rPr>
                <w:rFonts w:ascii="Arial" w:hAnsi="Arial" w:cs="Arial"/>
                <w:sz w:val="4"/>
                <w:szCs w:val="8"/>
                <w:lang w:val="sq-AL"/>
              </w:rPr>
              <w:br/>
              <w:t>2. Rritje e numrit të punonjësve përmes Programit të Statistikave Zyrtare 2022 - 2026;</w:t>
            </w:r>
            <w:r w:rsid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63B5ED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557144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53C5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29D759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59282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0982A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8B18D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E9D5E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64741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6B2A0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4DD4315C" w14:textId="66B958E2"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 </w:t>
            </w:r>
          </w:p>
        </w:tc>
        <w:tc>
          <w:tcPr>
            <w:tcW w:w="111" w:type="pct"/>
            <w:tcBorders>
              <w:top w:val="nil"/>
              <w:left w:val="nil"/>
              <w:bottom w:val="single" w:sz="4" w:space="0" w:color="auto"/>
              <w:right w:val="single" w:sz="4" w:space="0" w:color="auto"/>
            </w:tcBorders>
            <w:shd w:val="clear" w:color="FFFFFF" w:fill="FFFFFF"/>
            <w:vAlign w:val="center"/>
            <w:hideMark/>
          </w:tcPr>
          <w:p w14:paraId="607676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B9AE2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535AA8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5EE48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7871B1C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3CBF36D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ekonomike</w:t>
            </w:r>
          </w:p>
        </w:tc>
        <w:tc>
          <w:tcPr>
            <w:tcW w:w="171" w:type="pct"/>
            <w:tcBorders>
              <w:top w:val="nil"/>
              <w:left w:val="nil"/>
              <w:bottom w:val="single" w:sz="4" w:space="0" w:color="auto"/>
              <w:right w:val="single" w:sz="4" w:space="0" w:color="auto"/>
            </w:tcBorders>
            <w:shd w:val="clear" w:color="FFFFFF" w:fill="FFFFFF"/>
            <w:vAlign w:val="center"/>
            <w:hideMark/>
          </w:tcPr>
          <w:p w14:paraId="0EA73AC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 biznesit</w:t>
            </w:r>
          </w:p>
        </w:tc>
        <w:tc>
          <w:tcPr>
            <w:tcW w:w="661" w:type="pct"/>
            <w:tcBorders>
              <w:top w:val="nil"/>
              <w:left w:val="nil"/>
              <w:bottom w:val="single" w:sz="4" w:space="0" w:color="auto"/>
              <w:right w:val="single" w:sz="4" w:space="0" w:color="auto"/>
            </w:tcBorders>
            <w:shd w:val="clear" w:color="FFFFFF" w:fill="FFFFFF"/>
            <w:vAlign w:val="center"/>
            <w:hideMark/>
          </w:tcPr>
          <w:p w14:paraId="4085F2D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e Komisionit (BE) 2023/137 që ndryshon Rregulloren (KE) Nr. 1893/2006 dhe përcakton versionin e ri të klasifikimit të aktiviteteve ekonomike në Komunitetet Evropiane (NACE)</w:t>
            </w:r>
          </w:p>
        </w:tc>
        <w:tc>
          <w:tcPr>
            <w:tcW w:w="668" w:type="pct"/>
            <w:tcBorders>
              <w:top w:val="nil"/>
              <w:left w:val="nil"/>
              <w:bottom w:val="single" w:sz="4" w:space="0" w:color="auto"/>
              <w:right w:val="single" w:sz="4" w:space="0" w:color="auto"/>
            </w:tcBorders>
            <w:shd w:val="clear" w:color="auto" w:fill="auto"/>
            <w:vAlign w:val="center"/>
            <w:hideMark/>
          </w:tcPr>
          <w:p w14:paraId="6DC26EE2" w14:textId="77777777" w:rsidR="00482167" w:rsidRPr="006D6BE5" w:rsidRDefault="00E63D69" w:rsidP="00A7241A">
            <w:pPr>
              <w:rPr>
                <w:rFonts w:ascii="Arial" w:hAnsi="Arial" w:cs="Arial"/>
                <w:color w:val="0563C1"/>
                <w:sz w:val="4"/>
                <w:szCs w:val="8"/>
                <w:u w:val="single"/>
                <w:lang w:val="sq-AL"/>
              </w:rPr>
            </w:pPr>
            <w:hyperlink r:id="rId35" w:history="1">
              <w:r w:rsidR="00482167" w:rsidRPr="006D6BE5">
                <w:rPr>
                  <w:rFonts w:ascii="Arial" w:hAnsi="Arial" w:cs="Arial"/>
                  <w:color w:val="0563C1"/>
                  <w:sz w:val="4"/>
                  <w:szCs w:val="8"/>
                  <w:u w:val="single"/>
                  <w:lang w:val="sq-AL"/>
                </w:rPr>
                <w:t xml:space="preserve">https://eur-lex.europa.eu/legal-content/EN/TXT/PDF/?uri=CELEX:32023R0137 </w:t>
              </w:r>
            </w:hyperlink>
          </w:p>
        </w:tc>
        <w:tc>
          <w:tcPr>
            <w:tcW w:w="506" w:type="pct"/>
            <w:tcBorders>
              <w:top w:val="nil"/>
              <w:left w:val="nil"/>
              <w:bottom w:val="single" w:sz="4" w:space="0" w:color="auto"/>
              <w:right w:val="single" w:sz="4" w:space="0" w:color="auto"/>
            </w:tcBorders>
            <w:shd w:val="clear" w:color="FFFFFF" w:fill="FFFFFF"/>
            <w:vAlign w:val="center"/>
            <w:hideMark/>
          </w:tcPr>
          <w:p w14:paraId="5724BE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7A18C2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Nomenklaturës së Veprimtarive Ekonomike, NVE Rev. 2.1”</w:t>
            </w:r>
          </w:p>
        </w:tc>
        <w:tc>
          <w:tcPr>
            <w:tcW w:w="330" w:type="pct"/>
            <w:tcBorders>
              <w:top w:val="nil"/>
              <w:left w:val="nil"/>
              <w:bottom w:val="single" w:sz="4" w:space="0" w:color="auto"/>
              <w:right w:val="single" w:sz="4" w:space="0" w:color="auto"/>
            </w:tcBorders>
            <w:shd w:val="clear" w:color="FFFFFF" w:fill="FFFFFF"/>
            <w:vAlign w:val="center"/>
            <w:hideMark/>
          </w:tcPr>
          <w:p w14:paraId="4B8ACE5F" w14:textId="109D990B" w:rsidR="00482167" w:rsidRPr="006D6BE5" w:rsidRDefault="00482167" w:rsidP="00A7241A">
            <w:pPr>
              <w:rPr>
                <w:rFonts w:ascii="Arial" w:hAnsi="Arial" w:cs="Arial"/>
                <w:sz w:val="4"/>
                <w:szCs w:val="8"/>
                <w:lang w:val="sq-AL"/>
              </w:rPr>
            </w:pPr>
            <w:r w:rsidRPr="006D6BE5">
              <w:rPr>
                <w:rFonts w:ascii="Arial" w:hAnsi="Arial" w:cs="Arial"/>
                <w:sz w:val="4"/>
                <w:szCs w:val="8"/>
                <w:lang w:val="sq-AL"/>
              </w:rPr>
              <w:t>1.Krijimi i bazës ligjore për zbatimin e</w:t>
            </w:r>
            <w:r w:rsidR="006D6BE5">
              <w:rPr>
                <w:rFonts w:ascii="Arial" w:hAnsi="Arial" w:cs="Arial"/>
                <w:sz w:val="4"/>
                <w:szCs w:val="8"/>
                <w:lang w:val="sq-AL"/>
              </w:rPr>
              <w:t xml:space="preserve"> </w:t>
            </w:r>
            <w:r w:rsidRPr="006D6BE5">
              <w:rPr>
                <w:rFonts w:ascii="Arial" w:hAnsi="Arial" w:cs="Arial"/>
                <w:sz w:val="4"/>
                <w:szCs w:val="8"/>
                <w:lang w:val="sq-AL"/>
              </w:rPr>
              <w:t xml:space="preserve">versionin e ri të klasifikimit të aktiviteteve ekonomike (NACE), që përdoret për prodhimin dhe krahasimin e statistikave ekonomike, të përpiluara nga INSTAT dhe institucione të tjera. </w:t>
            </w:r>
          </w:p>
        </w:tc>
        <w:tc>
          <w:tcPr>
            <w:tcW w:w="126" w:type="pct"/>
            <w:tcBorders>
              <w:top w:val="nil"/>
              <w:left w:val="nil"/>
              <w:bottom w:val="single" w:sz="4" w:space="0" w:color="auto"/>
              <w:right w:val="single" w:sz="4" w:space="0" w:color="auto"/>
            </w:tcBorders>
            <w:shd w:val="clear" w:color="FFFFFF" w:fill="FFFFFF"/>
            <w:vAlign w:val="center"/>
            <w:hideMark/>
          </w:tcPr>
          <w:p w14:paraId="271BE5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438D6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38AAF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3A87B6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36C45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6BADB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205FE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B09AF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D9A3A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0D3EF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7D882064" w14:textId="41AD605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1,210 </w:t>
            </w:r>
          </w:p>
        </w:tc>
        <w:tc>
          <w:tcPr>
            <w:tcW w:w="111" w:type="pct"/>
            <w:tcBorders>
              <w:top w:val="nil"/>
              <w:left w:val="nil"/>
              <w:bottom w:val="single" w:sz="4" w:space="0" w:color="auto"/>
              <w:right w:val="single" w:sz="4" w:space="0" w:color="auto"/>
            </w:tcBorders>
            <w:shd w:val="clear" w:color="FFFFFF" w:fill="FFFFFF"/>
            <w:vAlign w:val="center"/>
            <w:hideMark/>
          </w:tcPr>
          <w:p w14:paraId="6A4F90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7193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1C290C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6DD2E3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7E425D3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52FE655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ekonomike</w:t>
            </w:r>
          </w:p>
        </w:tc>
        <w:tc>
          <w:tcPr>
            <w:tcW w:w="171" w:type="pct"/>
            <w:tcBorders>
              <w:top w:val="nil"/>
              <w:left w:val="nil"/>
              <w:bottom w:val="single" w:sz="4" w:space="0" w:color="auto"/>
              <w:right w:val="single" w:sz="4" w:space="0" w:color="auto"/>
            </w:tcBorders>
            <w:shd w:val="clear" w:color="FFFFFF" w:fill="FFFFFF"/>
            <w:vAlign w:val="center"/>
            <w:hideMark/>
          </w:tcPr>
          <w:p w14:paraId="04827F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e biznesit</w:t>
            </w:r>
          </w:p>
        </w:tc>
        <w:tc>
          <w:tcPr>
            <w:tcW w:w="661" w:type="pct"/>
            <w:tcBorders>
              <w:top w:val="nil"/>
              <w:left w:val="nil"/>
              <w:bottom w:val="single" w:sz="4" w:space="0" w:color="auto"/>
              <w:right w:val="single" w:sz="4" w:space="0" w:color="auto"/>
            </w:tcBorders>
            <w:shd w:val="clear" w:color="FFFFFF" w:fill="FFFFFF"/>
            <w:vAlign w:val="center"/>
            <w:hideMark/>
          </w:tcPr>
          <w:p w14:paraId="1D554FD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(BE) 2019/2152 e Parlamentit Evropian dhe e Këshillit e datës 27 nëntor 2019 për statistikat evropiane të biznesit, duke shfuqizuar 10 akte ligjore në fushën e statistikave të biznesit</w:t>
            </w:r>
          </w:p>
        </w:tc>
        <w:tc>
          <w:tcPr>
            <w:tcW w:w="668" w:type="pct"/>
            <w:tcBorders>
              <w:top w:val="nil"/>
              <w:left w:val="nil"/>
              <w:bottom w:val="single" w:sz="4" w:space="0" w:color="auto"/>
              <w:right w:val="single" w:sz="4" w:space="0" w:color="auto"/>
            </w:tcBorders>
            <w:shd w:val="clear" w:color="auto" w:fill="auto"/>
            <w:vAlign w:val="center"/>
            <w:hideMark/>
          </w:tcPr>
          <w:p w14:paraId="6CE3CB6E" w14:textId="77777777" w:rsidR="00482167" w:rsidRPr="006D6BE5" w:rsidRDefault="00E63D69" w:rsidP="00A7241A">
            <w:pPr>
              <w:rPr>
                <w:rFonts w:ascii="Arial" w:hAnsi="Arial" w:cs="Arial"/>
                <w:color w:val="0563C1"/>
                <w:sz w:val="4"/>
                <w:szCs w:val="8"/>
                <w:u w:val="single"/>
                <w:lang w:val="sq-AL"/>
              </w:rPr>
            </w:pPr>
            <w:hyperlink r:id="rId36" w:history="1">
              <w:r w:rsidR="00482167" w:rsidRPr="006D6BE5">
                <w:rPr>
                  <w:rFonts w:ascii="Arial" w:hAnsi="Arial" w:cs="Arial"/>
                  <w:color w:val="0563C1"/>
                  <w:sz w:val="4"/>
                  <w:szCs w:val="8"/>
                  <w:u w:val="single"/>
                  <w:lang w:val="sq-AL"/>
                </w:rPr>
                <w:t xml:space="preserve">https://eur-lex.europa.eu/legal-content/EN/TXT/PDF/?uri=CELEX:32019R2152 </w:t>
              </w:r>
            </w:hyperlink>
          </w:p>
        </w:tc>
        <w:tc>
          <w:tcPr>
            <w:tcW w:w="506" w:type="pct"/>
            <w:tcBorders>
              <w:top w:val="nil"/>
              <w:left w:val="nil"/>
              <w:bottom w:val="single" w:sz="4" w:space="0" w:color="auto"/>
              <w:right w:val="single" w:sz="4" w:space="0" w:color="auto"/>
            </w:tcBorders>
            <w:shd w:val="clear" w:color="FFFFFF" w:fill="FFFFFF"/>
            <w:vAlign w:val="center"/>
            <w:hideMark/>
          </w:tcPr>
          <w:p w14:paraId="7A0038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57A70F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i Drejtorit të Përgjithshëm të INSTAT “Për zbatimin e Rregullores së Statistikave të Biznesit”</w:t>
            </w:r>
          </w:p>
        </w:tc>
        <w:tc>
          <w:tcPr>
            <w:tcW w:w="330" w:type="pct"/>
            <w:tcBorders>
              <w:top w:val="nil"/>
              <w:left w:val="nil"/>
              <w:bottom w:val="single" w:sz="4" w:space="0" w:color="auto"/>
              <w:right w:val="single" w:sz="4" w:space="0" w:color="auto"/>
            </w:tcBorders>
            <w:shd w:val="clear" w:color="FFFFFF" w:fill="FFFFFF"/>
            <w:vAlign w:val="center"/>
            <w:hideMark/>
          </w:tcPr>
          <w:p w14:paraId="754CE130" w14:textId="5F3F8718" w:rsidR="00482167" w:rsidRPr="006D6BE5" w:rsidRDefault="00482167" w:rsidP="00A7241A">
            <w:pPr>
              <w:rPr>
                <w:rFonts w:ascii="Arial" w:hAnsi="Arial" w:cs="Arial"/>
                <w:sz w:val="4"/>
                <w:szCs w:val="8"/>
                <w:lang w:val="sq-AL"/>
              </w:rPr>
            </w:pPr>
            <w:r w:rsidRPr="006D6BE5">
              <w:rPr>
                <w:rFonts w:ascii="Arial" w:hAnsi="Arial" w:cs="Arial"/>
                <w:sz w:val="4"/>
                <w:szCs w:val="8"/>
                <w:lang w:val="sq-AL"/>
              </w:rPr>
              <w:t>1.Krijimi i bazës ligjore për prodhimin e Statistikave te Biznesit, në përputhje me</w:t>
            </w:r>
            <w:r w:rsidR="006D6BE5">
              <w:rPr>
                <w:rFonts w:ascii="Arial" w:hAnsi="Arial" w:cs="Arial"/>
                <w:sz w:val="4"/>
                <w:szCs w:val="8"/>
                <w:lang w:val="sq-AL"/>
              </w:rPr>
              <w:t xml:space="preserve"> </w:t>
            </w:r>
            <w:r w:rsidRPr="006D6BE5">
              <w:rPr>
                <w:rFonts w:ascii="Arial" w:hAnsi="Arial" w:cs="Arial"/>
                <w:sz w:val="4"/>
                <w:szCs w:val="8"/>
                <w:lang w:val="sq-AL"/>
              </w:rPr>
              <w:t>Rregulloren (BE) 2019/2152 e Parlamentit Evropian dhe e Këshillit e datës 27 nëntor 2019 për Statistikat Evropiane të Biznesit.</w:t>
            </w:r>
            <w:r w:rsidR="006D6BE5">
              <w:rPr>
                <w:rFonts w:ascii="Arial" w:hAnsi="Arial" w:cs="Arial"/>
                <w:sz w:val="4"/>
                <w:szCs w:val="8"/>
                <w:lang w:val="sq-AL"/>
              </w:rPr>
              <w:t xml:space="preserve">     </w:t>
            </w:r>
            <w:r w:rsidRPr="006D6BE5">
              <w:rPr>
                <w:rFonts w:ascii="Arial" w:hAnsi="Arial" w:cs="Arial"/>
                <w:sz w:val="4"/>
                <w:szCs w:val="8"/>
                <w:lang w:val="sq-AL"/>
              </w:rPr>
              <w:t>2. Rritje e numrit të punonjësve përmes Programit të Statistikave Zyrtare 2022 - 2026;</w:t>
            </w:r>
            <w:r w:rsid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2167DB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285AFC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592FB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32C73A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202710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15AA42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3FB8B1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B8330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2F01A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02BA6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15ACA3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F644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588</w:t>
            </w:r>
          </w:p>
        </w:tc>
        <w:tc>
          <w:tcPr>
            <w:tcW w:w="101" w:type="pct"/>
            <w:tcBorders>
              <w:top w:val="nil"/>
              <w:left w:val="nil"/>
              <w:bottom w:val="single" w:sz="4" w:space="0" w:color="auto"/>
              <w:right w:val="single" w:sz="4" w:space="0" w:color="auto"/>
            </w:tcBorders>
            <w:shd w:val="clear" w:color="FFFFFF" w:fill="FFFFFF"/>
            <w:vAlign w:val="center"/>
            <w:hideMark/>
          </w:tcPr>
          <w:p w14:paraId="74BBC0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AB376F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039F49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4A69492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44293B0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Sociale</w:t>
            </w:r>
          </w:p>
        </w:tc>
        <w:tc>
          <w:tcPr>
            <w:tcW w:w="171" w:type="pct"/>
            <w:tcBorders>
              <w:top w:val="nil"/>
              <w:left w:val="nil"/>
              <w:bottom w:val="single" w:sz="4" w:space="0" w:color="auto"/>
              <w:right w:val="single" w:sz="4" w:space="0" w:color="auto"/>
            </w:tcBorders>
            <w:shd w:val="clear" w:color="FFFFFF" w:fill="FFFFFF"/>
            <w:vAlign w:val="center"/>
            <w:hideMark/>
          </w:tcPr>
          <w:p w14:paraId="7CC9A70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Anketa e të Ardhurave dhe Nivelit të jetesës dhe anketave të tjera sociale </w:t>
            </w:r>
          </w:p>
        </w:tc>
        <w:tc>
          <w:tcPr>
            <w:tcW w:w="661" w:type="pct"/>
            <w:tcBorders>
              <w:top w:val="nil"/>
              <w:left w:val="nil"/>
              <w:bottom w:val="single" w:sz="4" w:space="0" w:color="auto"/>
              <w:right w:val="single" w:sz="4" w:space="0" w:color="auto"/>
            </w:tcBorders>
            <w:shd w:val="clear" w:color="FFFFFF" w:fill="FFFFFF"/>
            <w:vAlign w:val="center"/>
            <w:hideMark/>
          </w:tcPr>
          <w:p w14:paraId="5F196F3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Rregullore (BE) 2019/1700 e Parlamentit dhe të Këshillit Evropian e datës 10 tetor 2019 që vendos një kornizë të përbashkët për statistikat evropiane në lidhje me personat dhe familjet, bazuar në të dhënat në nivel individual të mbledhura nga kampioni, duke ndryshuar Rregulloret (EC) Nr. 808/ 2004, (EC) Nr 452/2008 dhe (EC) Nr 1338/2008 të Parlamentit Evropian dhe të Këshillit, dhe duke shfuqizuar Rregulloren (KE) Nr 1177/2003 të Parlamentit Evropian dhe të Këshillit dhe Rregullores së Këshillit (KE) Nr 577/98</w:t>
            </w:r>
          </w:p>
        </w:tc>
        <w:tc>
          <w:tcPr>
            <w:tcW w:w="668" w:type="pct"/>
            <w:tcBorders>
              <w:top w:val="nil"/>
              <w:left w:val="nil"/>
              <w:bottom w:val="single" w:sz="4" w:space="0" w:color="auto"/>
              <w:right w:val="single" w:sz="4" w:space="0" w:color="auto"/>
            </w:tcBorders>
            <w:shd w:val="clear" w:color="auto" w:fill="auto"/>
            <w:vAlign w:val="center"/>
            <w:hideMark/>
          </w:tcPr>
          <w:p w14:paraId="6DCC6952" w14:textId="77777777" w:rsidR="00482167" w:rsidRPr="006D6BE5" w:rsidRDefault="00E63D69" w:rsidP="00A7241A">
            <w:pPr>
              <w:rPr>
                <w:rFonts w:ascii="Arial" w:hAnsi="Arial" w:cs="Arial"/>
                <w:color w:val="0563C1"/>
                <w:sz w:val="4"/>
                <w:szCs w:val="8"/>
                <w:u w:val="single"/>
                <w:lang w:val="sq-AL"/>
              </w:rPr>
            </w:pPr>
            <w:hyperlink r:id="rId37" w:history="1">
              <w:r w:rsidR="00482167" w:rsidRPr="006D6BE5">
                <w:rPr>
                  <w:rFonts w:ascii="Arial" w:hAnsi="Arial" w:cs="Arial"/>
                  <w:color w:val="0563C1"/>
                  <w:sz w:val="4"/>
                  <w:szCs w:val="8"/>
                  <w:u w:val="single"/>
                  <w:lang w:val="sq-AL"/>
                </w:rPr>
                <w:t xml:space="preserve">https://eur-lex.europa.eu/legal-content/EN/TXT/PDF/?uri=CELEX:32019R1700 </w:t>
              </w:r>
            </w:hyperlink>
          </w:p>
        </w:tc>
        <w:tc>
          <w:tcPr>
            <w:tcW w:w="506" w:type="pct"/>
            <w:tcBorders>
              <w:top w:val="nil"/>
              <w:left w:val="nil"/>
              <w:bottom w:val="single" w:sz="4" w:space="0" w:color="auto"/>
              <w:right w:val="single" w:sz="4" w:space="0" w:color="auto"/>
            </w:tcBorders>
            <w:shd w:val="clear" w:color="FFFFFF" w:fill="FFFFFF"/>
            <w:vAlign w:val="center"/>
            <w:hideMark/>
          </w:tcPr>
          <w:p w14:paraId="55F14E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55F301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i Drejtorit të Përgjithshëm të INSTAT “Për krijimin e një kornize të përbashkët për statistikat evropiane në lidhje me personat dhe familjet, bazuar në të dhënat në nivel individual të mbledhura nga kampioni”</w:t>
            </w:r>
          </w:p>
        </w:tc>
        <w:tc>
          <w:tcPr>
            <w:tcW w:w="330" w:type="pct"/>
            <w:tcBorders>
              <w:top w:val="nil"/>
              <w:left w:val="nil"/>
              <w:bottom w:val="single" w:sz="4" w:space="0" w:color="auto"/>
              <w:right w:val="single" w:sz="4" w:space="0" w:color="auto"/>
            </w:tcBorders>
            <w:shd w:val="clear" w:color="FFFFFF" w:fill="FFFFFF"/>
            <w:vAlign w:val="center"/>
            <w:hideMark/>
          </w:tcPr>
          <w:p w14:paraId="4FC4DD63" w14:textId="3C001711" w:rsidR="00482167" w:rsidRPr="006D6BE5" w:rsidRDefault="00482167" w:rsidP="00A7241A">
            <w:pPr>
              <w:rPr>
                <w:rFonts w:ascii="Arial" w:hAnsi="Arial" w:cs="Arial"/>
                <w:sz w:val="4"/>
                <w:szCs w:val="8"/>
                <w:lang w:val="sq-AL"/>
              </w:rPr>
            </w:pPr>
            <w:r w:rsidRPr="006D6BE5">
              <w:rPr>
                <w:rFonts w:ascii="Arial" w:hAnsi="Arial" w:cs="Arial"/>
                <w:sz w:val="4"/>
                <w:szCs w:val="8"/>
                <w:lang w:val="sq-AL"/>
              </w:rPr>
              <w:t>1.Krijimi i bazes ligjore mbi formatin e transmetimit për të dhënat ne perputhje me</w:t>
            </w:r>
            <w:r w:rsidR="006D6BE5">
              <w:rPr>
                <w:rFonts w:ascii="Arial" w:hAnsi="Arial" w:cs="Arial"/>
                <w:sz w:val="4"/>
                <w:szCs w:val="8"/>
                <w:lang w:val="sq-AL"/>
              </w:rPr>
              <w:t xml:space="preserve"> </w:t>
            </w:r>
            <w:r w:rsidRPr="006D6BE5">
              <w:rPr>
                <w:rFonts w:ascii="Arial" w:hAnsi="Arial" w:cs="Arial"/>
                <w:sz w:val="4"/>
                <w:szCs w:val="8"/>
                <w:lang w:val="sq-AL"/>
              </w:rPr>
              <w:t>Rregulloren e</w:t>
            </w:r>
            <w:r w:rsidR="006D6BE5">
              <w:rPr>
                <w:rFonts w:ascii="Arial" w:hAnsi="Arial" w:cs="Arial"/>
                <w:sz w:val="4"/>
                <w:szCs w:val="8"/>
                <w:lang w:val="sq-AL"/>
              </w:rPr>
              <w:t xml:space="preserve"> </w:t>
            </w:r>
            <w:r w:rsidRPr="006D6BE5">
              <w:rPr>
                <w:rFonts w:ascii="Arial" w:hAnsi="Arial" w:cs="Arial"/>
                <w:sz w:val="4"/>
                <w:szCs w:val="8"/>
                <w:lang w:val="sq-AL"/>
              </w:rPr>
              <w:t>Komisionit (BE) 2019/1700 e datës 10 tetor 2019 "mbi krijimin e një kornize të përbashkët për statistikat evropiane në lidhje me personat dhe familjet, bazuar në të dhënat në nivel individual të mbledhura nga kampioni.</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4E6E02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D6477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250C2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2F3EC2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5A78E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81AF7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D9398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253CF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45302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97B7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11" w:type="pct"/>
            <w:tcBorders>
              <w:top w:val="nil"/>
              <w:left w:val="nil"/>
              <w:bottom w:val="single" w:sz="4" w:space="0" w:color="auto"/>
              <w:right w:val="single" w:sz="4" w:space="0" w:color="auto"/>
            </w:tcBorders>
            <w:shd w:val="clear" w:color="FFFFFF" w:fill="FFFFFF"/>
            <w:vAlign w:val="center"/>
            <w:hideMark/>
          </w:tcPr>
          <w:p w14:paraId="1A5CC10E" w14:textId="44CDE20D"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244 </w:t>
            </w:r>
          </w:p>
        </w:tc>
        <w:tc>
          <w:tcPr>
            <w:tcW w:w="111" w:type="pct"/>
            <w:tcBorders>
              <w:top w:val="nil"/>
              <w:left w:val="nil"/>
              <w:bottom w:val="single" w:sz="4" w:space="0" w:color="auto"/>
              <w:right w:val="single" w:sz="4" w:space="0" w:color="auto"/>
            </w:tcBorders>
            <w:shd w:val="clear" w:color="FFFFFF" w:fill="FFFFFF"/>
            <w:vAlign w:val="center"/>
            <w:hideMark/>
          </w:tcPr>
          <w:p w14:paraId="7366E4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D4C14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1ED4DE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1E77C8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w:t>
            </w:r>
          </w:p>
        </w:tc>
        <w:tc>
          <w:tcPr>
            <w:tcW w:w="144" w:type="pct"/>
            <w:tcBorders>
              <w:top w:val="nil"/>
              <w:left w:val="nil"/>
              <w:bottom w:val="single" w:sz="4" w:space="0" w:color="auto"/>
              <w:right w:val="single" w:sz="4" w:space="0" w:color="auto"/>
            </w:tcBorders>
            <w:shd w:val="clear" w:color="FFFFFF" w:fill="FFFFFF"/>
            <w:vAlign w:val="center"/>
            <w:hideMark/>
          </w:tcPr>
          <w:p w14:paraId="38A22EA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INSTAT</w:t>
            </w:r>
          </w:p>
        </w:tc>
        <w:tc>
          <w:tcPr>
            <w:tcW w:w="165" w:type="pct"/>
            <w:tcBorders>
              <w:top w:val="nil"/>
              <w:left w:val="nil"/>
              <w:bottom w:val="single" w:sz="4" w:space="0" w:color="auto"/>
              <w:right w:val="single" w:sz="4" w:space="0" w:color="auto"/>
            </w:tcBorders>
            <w:shd w:val="clear" w:color="FFFFFF" w:fill="FFFFFF"/>
            <w:vAlign w:val="center"/>
            <w:hideMark/>
          </w:tcPr>
          <w:p w14:paraId="40E37E3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Statistikat Sektoriale</w:t>
            </w:r>
          </w:p>
        </w:tc>
        <w:tc>
          <w:tcPr>
            <w:tcW w:w="171" w:type="pct"/>
            <w:tcBorders>
              <w:top w:val="nil"/>
              <w:left w:val="nil"/>
              <w:bottom w:val="single" w:sz="4" w:space="0" w:color="auto"/>
              <w:right w:val="single" w:sz="4" w:space="0" w:color="auto"/>
            </w:tcBorders>
            <w:shd w:val="clear" w:color="FFFFFF" w:fill="FFFFFF"/>
            <w:vAlign w:val="center"/>
            <w:hideMark/>
          </w:tcPr>
          <w:p w14:paraId="726D4E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Censi i Bujqësisë dhe Fermave Bujqësore</w:t>
            </w:r>
          </w:p>
        </w:tc>
        <w:tc>
          <w:tcPr>
            <w:tcW w:w="661" w:type="pct"/>
            <w:tcBorders>
              <w:top w:val="nil"/>
              <w:left w:val="nil"/>
              <w:bottom w:val="single" w:sz="4" w:space="0" w:color="auto"/>
              <w:right w:val="single" w:sz="4" w:space="0" w:color="auto"/>
            </w:tcBorders>
            <w:shd w:val="clear" w:color="auto" w:fill="auto"/>
            <w:vAlign w:val="center"/>
            <w:hideMark/>
          </w:tcPr>
          <w:p w14:paraId="667149F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(BE) 2018/1091 e Parlamentit Evropian dhe e Këshillit e datës 18 korrik 2018 mbi statistikat e integruara të fermave dhe shfuqizimin e Rregulloreve (KE) Nr 1166/2008 dhe (BE) Nr 1337/2011</w:t>
            </w:r>
          </w:p>
        </w:tc>
        <w:tc>
          <w:tcPr>
            <w:tcW w:w="668" w:type="pct"/>
            <w:tcBorders>
              <w:top w:val="nil"/>
              <w:left w:val="nil"/>
              <w:bottom w:val="single" w:sz="4" w:space="0" w:color="auto"/>
              <w:right w:val="single" w:sz="4" w:space="0" w:color="auto"/>
            </w:tcBorders>
            <w:shd w:val="clear" w:color="auto" w:fill="auto"/>
            <w:vAlign w:val="center"/>
            <w:hideMark/>
          </w:tcPr>
          <w:p w14:paraId="232FB598" w14:textId="77777777" w:rsidR="00482167" w:rsidRPr="006D6BE5" w:rsidRDefault="00E63D69" w:rsidP="00A7241A">
            <w:pPr>
              <w:rPr>
                <w:rFonts w:ascii="Arial" w:hAnsi="Arial" w:cs="Arial"/>
                <w:color w:val="0563C1"/>
                <w:sz w:val="4"/>
                <w:szCs w:val="8"/>
                <w:u w:val="single"/>
                <w:lang w:val="sq-AL"/>
              </w:rPr>
            </w:pPr>
            <w:hyperlink r:id="rId38" w:history="1">
              <w:r w:rsidR="00482167" w:rsidRPr="006D6BE5">
                <w:rPr>
                  <w:rFonts w:ascii="Arial" w:hAnsi="Arial" w:cs="Arial"/>
                  <w:color w:val="0563C1"/>
                  <w:sz w:val="4"/>
                  <w:szCs w:val="8"/>
                  <w:u w:val="single"/>
                  <w:lang w:val="sq-AL"/>
                </w:rPr>
                <w:t xml:space="preserve">https://eur-lex.europa.eu/eli/reg/2018/1091/oj </w:t>
              </w:r>
            </w:hyperlink>
          </w:p>
        </w:tc>
        <w:tc>
          <w:tcPr>
            <w:tcW w:w="506" w:type="pct"/>
            <w:tcBorders>
              <w:top w:val="nil"/>
              <w:left w:val="nil"/>
              <w:bottom w:val="single" w:sz="4" w:space="0" w:color="auto"/>
              <w:right w:val="single" w:sz="4" w:space="0" w:color="auto"/>
            </w:tcBorders>
            <w:shd w:val="clear" w:color="FFFFFF" w:fill="FFFFFF"/>
            <w:vAlign w:val="center"/>
            <w:hideMark/>
          </w:tcPr>
          <w:p w14:paraId="78563D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F7F0A5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Censin e Bujqësisë dhe Fermave Bujqësore”</w:t>
            </w:r>
          </w:p>
        </w:tc>
        <w:tc>
          <w:tcPr>
            <w:tcW w:w="330" w:type="pct"/>
            <w:tcBorders>
              <w:top w:val="nil"/>
              <w:left w:val="nil"/>
              <w:bottom w:val="single" w:sz="4" w:space="0" w:color="auto"/>
              <w:right w:val="single" w:sz="4" w:space="0" w:color="auto"/>
            </w:tcBorders>
            <w:shd w:val="clear" w:color="FFFFFF" w:fill="FFFFFF"/>
            <w:vAlign w:val="center"/>
            <w:hideMark/>
          </w:tcPr>
          <w:p w14:paraId="67BD5931" w14:textId="441D2190" w:rsidR="00482167" w:rsidRPr="006D6BE5" w:rsidRDefault="00482167" w:rsidP="00A7241A">
            <w:pPr>
              <w:rPr>
                <w:rFonts w:ascii="Arial" w:hAnsi="Arial" w:cs="Arial"/>
                <w:sz w:val="4"/>
                <w:szCs w:val="8"/>
                <w:lang w:val="sq-AL"/>
              </w:rPr>
            </w:pPr>
            <w:r w:rsidRPr="006D6BE5">
              <w:rPr>
                <w:rFonts w:ascii="Arial" w:hAnsi="Arial" w:cs="Arial"/>
                <w:sz w:val="4"/>
                <w:szCs w:val="8"/>
                <w:lang w:val="sq-AL"/>
              </w:rPr>
              <w:br/>
              <w:t xml:space="preserve">1. Konsultim me përfaqësuesit e Delegacionit të BE në Tiranë, Ekspertë të FAOs dhe pale të tjera </w:t>
            </w:r>
            <w:r w:rsidRPr="006D6BE5">
              <w:rPr>
                <w:rFonts w:ascii="Arial" w:hAnsi="Arial" w:cs="Arial"/>
                <w:sz w:val="4"/>
                <w:szCs w:val="8"/>
                <w:lang w:val="sq-AL"/>
              </w:rPr>
              <w:br/>
              <w:t>2. Përgatitja e projektligjit</w:t>
            </w:r>
            <w:r w:rsidR="006D6BE5">
              <w:rPr>
                <w:rFonts w:ascii="Arial" w:hAnsi="Arial" w:cs="Arial"/>
                <w:sz w:val="4"/>
                <w:szCs w:val="8"/>
                <w:lang w:val="sq-AL"/>
              </w:rPr>
              <w:t xml:space="preserve"> </w:t>
            </w:r>
            <w:r w:rsidRPr="006D6BE5">
              <w:rPr>
                <w:rFonts w:ascii="Arial" w:hAnsi="Arial" w:cs="Arial"/>
                <w:sz w:val="4"/>
                <w:szCs w:val="8"/>
                <w:lang w:val="sq-AL"/>
              </w:rPr>
              <w:br/>
              <w:t>3. Konsultim Publik</w:t>
            </w:r>
            <w:r w:rsidRPr="006D6BE5">
              <w:rPr>
                <w:rFonts w:ascii="Arial" w:hAnsi="Arial" w:cs="Arial"/>
                <w:sz w:val="4"/>
                <w:szCs w:val="8"/>
                <w:lang w:val="sq-AL"/>
              </w:rPr>
              <w:br/>
              <w:t>4. Dërgim në Këshillin e Ministrave</w:t>
            </w:r>
            <w:r w:rsidRPr="006D6BE5">
              <w:rPr>
                <w:rFonts w:ascii="Arial" w:hAnsi="Arial" w:cs="Arial"/>
                <w:sz w:val="4"/>
                <w:szCs w:val="8"/>
                <w:lang w:val="sq-AL"/>
              </w:rPr>
              <w:br/>
              <w:t xml:space="preserve">5. Miratimi i projektligjit ne Kuvend – Brenda Q1 2024 </w:t>
            </w:r>
            <w:r w:rsidRPr="006D6BE5">
              <w:rPr>
                <w:rFonts w:ascii="Arial" w:hAnsi="Arial" w:cs="Arial"/>
                <w:sz w:val="4"/>
                <w:szCs w:val="8"/>
                <w:lang w:val="sq-AL"/>
              </w:rPr>
              <w:b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66138A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16B96C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628043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auto" w:fill="auto"/>
            <w:vAlign w:val="center"/>
            <w:hideMark/>
          </w:tcPr>
          <w:p w14:paraId="6DB797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373DCD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8F3E4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FA036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055A1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02C64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225C7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749D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C84A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0ED12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C53D08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7D2E7A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32</w:t>
            </w:r>
          </w:p>
        </w:tc>
        <w:tc>
          <w:tcPr>
            <w:tcW w:w="144" w:type="pct"/>
            <w:tcBorders>
              <w:top w:val="nil"/>
              <w:left w:val="nil"/>
              <w:bottom w:val="single" w:sz="4" w:space="0" w:color="auto"/>
              <w:right w:val="single" w:sz="4" w:space="0" w:color="auto"/>
            </w:tcBorders>
            <w:shd w:val="clear" w:color="FFFFFF" w:fill="FFFFFF"/>
            <w:vAlign w:val="center"/>
            <w:hideMark/>
          </w:tcPr>
          <w:p w14:paraId="410E66E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08ED6A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32.3.Mbrojtja e interesave financiare të BE-së</w:t>
            </w:r>
          </w:p>
        </w:tc>
        <w:tc>
          <w:tcPr>
            <w:tcW w:w="171" w:type="pct"/>
            <w:tcBorders>
              <w:top w:val="nil"/>
              <w:left w:val="nil"/>
              <w:bottom w:val="single" w:sz="4" w:space="0" w:color="auto"/>
              <w:right w:val="single" w:sz="4" w:space="0" w:color="auto"/>
            </w:tcBorders>
            <w:shd w:val="clear" w:color="FFFFFF" w:fill="FFFFFF"/>
            <w:vAlign w:val="center"/>
            <w:hideMark/>
          </w:tcPr>
          <w:p w14:paraId="62CE4D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Mbrojtja e interesave financiare të BE-së - Menaxhimi i Parregullsive</w:t>
            </w:r>
          </w:p>
        </w:tc>
        <w:tc>
          <w:tcPr>
            <w:tcW w:w="661" w:type="pct"/>
            <w:tcBorders>
              <w:top w:val="nil"/>
              <w:left w:val="nil"/>
              <w:bottom w:val="single" w:sz="4" w:space="0" w:color="auto"/>
              <w:right w:val="single" w:sz="4" w:space="0" w:color="auto"/>
            </w:tcBorders>
            <w:shd w:val="clear" w:color="FFFFFF" w:fill="FFFFFF"/>
            <w:vAlign w:val="center"/>
            <w:hideMark/>
          </w:tcPr>
          <w:p w14:paraId="1F7EA4ED" w14:textId="19F2B725" w:rsidR="00482167" w:rsidRPr="006D6BE5" w:rsidRDefault="00482167" w:rsidP="00A7241A">
            <w:pPr>
              <w:rPr>
                <w:rFonts w:ascii="Arial" w:hAnsi="Arial" w:cs="Arial"/>
                <w:sz w:val="4"/>
                <w:szCs w:val="8"/>
                <w:lang w:val="sq-AL"/>
              </w:rPr>
            </w:pPr>
            <w:r w:rsidRPr="006D6BE5">
              <w:rPr>
                <w:rFonts w:ascii="Arial" w:hAnsi="Arial" w:cs="Arial"/>
                <w:color w:val="C00000"/>
                <w:sz w:val="4"/>
                <w:szCs w:val="8"/>
                <w:lang w:val="sq-AL"/>
              </w:rPr>
              <w:br/>
            </w:r>
            <w:r w:rsidRPr="006D6BE5">
              <w:rPr>
                <w:rFonts w:ascii="Arial" w:hAnsi="Arial" w:cs="Arial"/>
                <w:sz w:val="4"/>
                <w:szCs w:val="8"/>
                <w:u w:val="single"/>
                <w:lang w:val="sq-AL"/>
              </w:rPr>
              <w:t>1.</w:t>
            </w:r>
            <w:r w:rsidR="006D6BE5">
              <w:rPr>
                <w:rFonts w:ascii="Arial" w:hAnsi="Arial" w:cs="Arial"/>
                <w:sz w:val="4"/>
                <w:szCs w:val="8"/>
                <w:lang w:val="sq-AL"/>
              </w:rPr>
              <w:t xml:space="preserve"> </w:t>
            </w:r>
            <w:r w:rsidRPr="006D6BE5">
              <w:rPr>
                <w:rFonts w:ascii="Arial" w:hAnsi="Arial" w:cs="Arial"/>
                <w:sz w:val="4"/>
                <w:szCs w:val="8"/>
                <w:lang w:val="sq-AL"/>
              </w:rPr>
              <w:t>Lista acquis/rekomandime:</w:t>
            </w:r>
            <w:r w:rsidR="006D6BE5">
              <w:rPr>
                <w:rFonts w:ascii="Arial" w:hAnsi="Arial" w:cs="Arial"/>
                <w:sz w:val="4"/>
                <w:szCs w:val="8"/>
                <w:lang w:val="sq-AL"/>
              </w:rPr>
              <w:t xml:space="preserve"> </w:t>
            </w:r>
            <w:r w:rsidRPr="006D6BE5">
              <w:rPr>
                <w:rFonts w:ascii="Arial" w:hAnsi="Arial" w:cs="Arial"/>
                <w:sz w:val="4"/>
                <w:szCs w:val="8"/>
                <w:lang w:val="sq-AL"/>
              </w:rPr>
              <w:t>Trajnime për oficeret e parregullsive mbi indentifikimin, trajtimin dhe raportimin e parregullsive në platformen dixhitale të OLAF AFIS IMS.</w:t>
            </w:r>
            <w:r w:rsidRPr="006D6BE5">
              <w:rPr>
                <w:rFonts w:ascii="Arial" w:hAnsi="Arial" w:cs="Arial"/>
                <w:sz w:val="4"/>
                <w:szCs w:val="8"/>
                <w:lang w:val="sq-AL"/>
              </w:rPr>
              <w:br/>
            </w:r>
            <w:r w:rsidRPr="006D6BE5">
              <w:rPr>
                <w:rFonts w:ascii="Arial" w:hAnsi="Arial" w:cs="Arial"/>
                <w:sz w:val="4"/>
                <w:szCs w:val="8"/>
                <w:u w:val="single"/>
                <w:lang w:val="sq-AL"/>
              </w:rPr>
              <w:t>2</w:t>
            </w:r>
            <w:r w:rsidRPr="006D6BE5">
              <w:rPr>
                <w:rFonts w:ascii="Arial" w:hAnsi="Arial" w:cs="Arial"/>
                <w:sz w:val="4"/>
                <w:szCs w:val="8"/>
                <w:lang w:val="sq-AL"/>
              </w:rPr>
              <w:t>. Acquis për të cilat është bërë prezantim gjatë takimeve bilaterale: 1. Procedurat për menaxhimin e parregullsive; 2. Perdorimi i sistemit AFIS IMS; 3. Raportimi i parregullsive pranë AFCOS dhe OLAF; 4. Përmirësimet e bëra në përdorimin e AFIS IMS dhe rritja e numrit të parregullsive të raportuara; 5. Ngritja e kapaciteteve dhe trajnimet e marra</w:t>
            </w:r>
            <w:r w:rsidRPr="006D6BE5">
              <w:rPr>
                <w:rFonts w:ascii="Arial" w:hAnsi="Arial" w:cs="Arial"/>
                <w:sz w:val="4"/>
                <w:szCs w:val="8"/>
                <w:lang w:val="sq-AL"/>
              </w:rPr>
              <w:br/>
            </w:r>
            <w:r w:rsidRPr="006D6BE5">
              <w:rPr>
                <w:rFonts w:ascii="Arial" w:hAnsi="Arial" w:cs="Arial"/>
                <w:sz w:val="4"/>
                <w:szCs w:val="8"/>
                <w:u w:val="single"/>
                <w:lang w:val="sq-AL"/>
              </w:rPr>
              <w:t>3</w:t>
            </w:r>
            <w:r w:rsidRPr="006D6BE5">
              <w:rPr>
                <w:rFonts w:ascii="Arial" w:hAnsi="Arial" w:cs="Arial"/>
                <w:sz w:val="4"/>
                <w:szCs w:val="8"/>
                <w:lang w:val="sq-AL"/>
              </w:rPr>
              <w:t xml:space="preserve">. ZKA/DM ZKA ka kërkuar te identifikohen trajnime te tjera te nevojshme. </w:t>
            </w:r>
          </w:p>
        </w:tc>
        <w:tc>
          <w:tcPr>
            <w:tcW w:w="668" w:type="pct"/>
            <w:tcBorders>
              <w:top w:val="nil"/>
              <w:left w:val="nil"/>
              <w:bottom w:val="single" w:sz="4" w:space="0" w:color="auto"/>
              <w:right w:val="single" w:sz="4" w:space="0" w:color="auto"/>
            </w:tcBorders>
            <w:shd w:val="clear" w:color="FFFFFF" w:fill="FFFFFF"/>
            <w:vAlign w:val="center"/>
            <w:hideMark/>
          </w:tcPr>
          <w:p w14:paraId="5889D1A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506" w:type="pct"/>
            <w:tcBorders>
              <w:top w:val="nil"/>
              <w:left w:val="nil"/>
              <w:bottom w:val="single" w:sz="4" w:space="0" w:color="auto"/>
              <w:right w:val="single" w:sz="4" w:space="0" w:color="auto"/>
            </w:tcBorders>
            <w:shd w:val="clear" w:color="FFFFFF" w:fill="FFFFFF"/>
            <w:vAlign w:val="center"/>
            <w:hideMark/>
          </w:tcPr>
          <w:p w14:paraId="3A3C6D9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3B456B7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br/>
              <w:t xml:space="preserve"> Masat zbatuese: ZKA/DMZKA ZKA/ DM ZKA me shkresë Prot. 17375 datë 27.09.2023 i është drejtuar AFCOS si pikë kontakti e Zyrës Evropiane Kundër Mashtrimit (OLAF), të mundësojë organizimin e trajnimeve për oficeret e parregullsise në përdorimin e sistemit elektronik AFIS IMS </w:t>
            </w:r>
          </w:p>
        </w:tc>
        <w:tc>
          <w:tcPr>
            <w:tcW w:w="330" w:type="pct"/>
            <w:tcBorders>
              <w:top w:val="nil"/>
              <w:left w:val="nil"/>
              <w:bottom w:val="single" w:sz="4" w:space="0" w:color="auto"/>
              <w:right w:val="single" w:sz="4" w:space="0" w:color="auto"/>
            </w:tcBorders>
            <w:shd w:val="clear" w:color="FFFFFF" w:fill="FFFFFF"/>
            <w:vAlign w:val="center"/>
            <w:hideMark/>
          </w:tcPr>
          <w:p w14:paraId="71376DE5" w14:textId="14CE8B13" w:rsidR="00482167" w:rsidRPr="006D6BE5" w:rsidRDefault="00482167" w:rsidP="00A7241A">
            <w:pPr>
              <w:rPr>
                <w:rFonts w:ascii="Arial" w:hAnsi="Arial" w:cs="Arial"/>
                <w:sz w:val="4"/>
                <w:szCs w:val="8"/>
                <w:lang w:val="sq-AL"/>
              </w:rPr>
            </w:pPr>
            <w:r w:rsidRPr="006D6BE5">
              <w:rPr>
                <w:rFonts w:ascii="Arial" w:hAnsi="Arial" w:cs="Arial"/>
                <w:sz w:val="4"/>
                <w:szCs w:val="8"/>
                <w:lang w:val="sq-AL"/>
              </w:rPr>
              <w:br/>
              <w:t>Sistem elektronik të Menaxhimit të Parregullsive</w:t>
            </w:r>
            <w:r w:rsidR="006D6BE5">
              <w:rPr>
                <w:rFonts w:ascii="Arial" w:hAnsi="Arial" w:cs="Arial"/>
                <w:sz w:val="4"/>
                <w:szCs w:val="8"/>
                <w:lang w:val="sq-AL"/>
              </w:rPr>
              <w:t xml:space="preserve"> </w:t>
            </w:r>
            <w:r w:rsidRPr="006D6BE5">
              <w:rPr>
                <w:rFonts w:ascii="Arial" w:hAnsi="Arial" w:cs="Arial"/>
                <w:sz w:val="4"/>
                <w:szCs w:val="8"/>
                <w:lang w:val="sq-AL"/>
              </w:rPr>
              <w:t>i vënë në dispozicion nga OLAF,</w:t>
            </w:r>
            <w:r w:rsidR="006D6BE5">
              <w:rPr>
                <w:rFonts w:ascii="Arial" w:hAnsi="Arial" w:cs="Arial"/>
                <w:sz w:val="4"/>
                <w:szCs w:val="8"/>
                <w:lang w:val="sq-AL"/>
              </w:rPr>
              <w:t xml:space="preserve"> </w:t>
            </w:r>
            <w:r w:rsidRPr="006D6BE5">
              <w:rPr>
                <w:rFonts w:ascii="Arial" w:hAnsi="Arial" w:cs="Arial"/>
                <w:sz w:val="4"/>
                <w:szCs w:val="8"/>
                <w:lang w:val="sq-AL"/>
              </w:rPr>
              <w:t xml:space="preserve">është funksional duke ju mundësuar përfituesve të IPA II, të raportojnë parregullsitë e identifikuara dhe ndjekjen e tyre në nivel kombëtar. </w:t>
            </w:r>
          </w:p>
        </w:tc>
        <w:tc>
          <w:tcPr>
            <w:tcW w:w="126" w:type="pct"/>
            <w:tcBorders>
              <w:top w:val="nil"/>
              <w:left w:val="nil"/>
              <w:bottom w:val="single" w:sz="4" w:space="0" w:color="auto"/>
              <w:right w:val="single" w:sz="4" w:space="0" w:color="auto"/>
            </w:tcBorders>
            <w:shd w:val="clear" w:color="FFFFFF" w:fill="FFFFFF"/>
            <w:vAlign w:val="center"/>
            <w:hideMark/>
          </w:tcPr>
          <w:p w14:paraId="767FCB9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1FB28B8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1F9F263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3788D4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73DF36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3EAF062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5B8C53F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17F363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84F373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05258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A7D4D8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14620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D01778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r>
      <w:tr w:rsidR="00482167" w:rsidRPr="006D6BE5" w14:paraId="6A372A4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673E4B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32</w:t>
            </w:r>
          </w:p>
        </w:tc>
        <w:tc>
          <w:tcPr>
            <w:tcW w:w="144" w:type="pct"/>
            <w:tcBorders>
              <w:top w:val="nil"/>
              <w:left w:val="nil"/>
              <w:bottom w:val="single" w:sz="4" w:space="0" w:color="auto"/>
              <w:right w:val="single" w:sz="4" w:space="0" w:color="auto"/>
            </w:tcBorders>
            <w:shd w:val="clear" w:color="FFFFFF" w:fill="FFFFFF"/>
            <w:vAlign w:val="center"/>
            <w:hideMark/>
          </w:tcPr>
          <w:p w14:paraId="571A559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852475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Mbrojtja e interesave financiare te BE-se</w:t>
            </w:r>
          </w:p>
        </w:tc>
        <w:tc>
          <w:tcPr>
            <w:tcW w:w="171" w:type="pct"/>
            <w:tcBorders>
              <w:top w:val="nil"/>
              <w:left w:val="nil"/>
              <w:bottom w:val="single" w:sz="4" w:space="0" w:color="auto"/>
              <w:right w:val="single" w:sz="4" w:space="0" w:color="auto"/>
            </w:tcBorders>
            <w:shd w:val="clear" w:color="FFFFFF" w:fill="FFFFFF"/>
            <w:vAlign w:val="center"/>
            <w:hideMark/>
          </w:tcPr>
          <w:p w14:paraId="7786B08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Lufta kundër mashtrimit ndaj interesave financiare të BE-së</w:t>
            </w:r>
          </w:p>
        </w:tc>
        <w:tc>
          <w:tcPr>
            <w:tcW w:w="661" w:type="pct"/>
            <w:tcBorders>
              <w:top w:val="nil"/>
              <w:left w:val="nil"/>
              <w:bottom w:val="single" w:sz="4" w:space="0" w:color="auto"/>
              <w:right w:val="single" w:sz="4" w:space="0" w:color="auto"/>
            </w:tcBorders>
            <w:shd w:val="clear" w:color="FFFFFF" w:fill="FFFFFF"/>
            <w:vAlign w:val="center"/>
            <w:hideMark/>
          </w:tcPr>
          <w:p w14:paraId="052E7360" w14:textId="46283BDA" w:rsidR="00482167" w:rsidRPr="006D6BE5" w:rsidRDefault="00482167" w:rsidP="00A7241A">
            <w:pPr>
              <w:rPr>
                <w:rFonts w:ascii="Arial" w:hAnsi="Arial" w:cs="Arial"/>
                <w:sz w:val="4"/>
                <w:szCs w:val="8"/>
                <w:lang w:val="sq-AL"/>
              </w:rPr>
            </w:pPr>
            <w:r w:rsidRPr="006D6BE5">
              <w:rPr>
                <w:rFonts w:ascii="Arial" w:hAnsi="Arial" w:cs="Arial"/>
                <w:sz w:val="4"/>
                <w:szCs w:val="8"/>
                <w:lang w:val="sq-AL"/>
              </w:rPr>
              <w:t>Directive (EU) 2017/1371 of the European Parliament and of the Council of 5 July 2017 on the fight against fraud to the Union's financial interests by means of criminal law. OJ L 198, 28.7.2017, p. 29–41</w:t>
            </w:r>
            <w:r w:rsidR="006D6BE5">
              <w:rPr>
                <w:rFonts w:ascii="Arial" w:hAnsi="Arial" w:cs="Arial"/>
                <w:sz w:val="4"/>
                <w:szCs w:val="8"/>
                <w:lang w:val="sq-AL"/>
              </w:rPr>
              <w:t xml:space="preserve"> </w:t>
            </w:r>
            <w:r w:rsidRPr="006D6BE5">
              <w:rPr>
                <w:rFonts w:ascii="Arial" w:hAnsi="Arial" w:cs="Arial"/>
                <w:sz w:val="4"/>
                <w:szCs w:val="8"/>
                <w:lang w:val="sq-AL"/>
              </w:rPr>
              <w:t>I10</w:t>
            </w:r>
          </w:p>
        </w:tc>
        <w:tc>
          <w:tcPr>
            <w:tcW w:w="668" w:type="pct"/>
            <w:tcBorders>
              <w:top w:val="nil"/>
              <w:left w:val="nil"/>
              <w:bottom w:val="single" w:sz="4" w:space="0" w:color="auto"/>
              <w:right w:val="single" w:sz="4" w:space="0" w:color="auto"/>
            </w:tcBorders>
            <w:shd w:val="clear" w:color="auto" w:fill="auto"/>
            <w:vAlign w:val="center"/>
            <w:hideMark/>
          </w:tcPr>
          <w:p w14:paraId="620CDEFF" w14:textId="77777777" w:rsidR="00482167" w:rsidRPr="006D6BE5" w:rsidRDefault="00E63D69" w:rsidP="00A7241A">
            <w:pPr>
              <w:rPr>
                <w:rFonts w:ascii="Arial" w:hAnsi="Arial" w:cs="Arial"/>
                <w:color w:val="0563C1"/>
                <w:sz w:val="4"/>
                <w:szCs w:val="8"/>
                <w:u w:val="single"/>
                <w:lang w:val="sq-AL"/>
              </w:rPr>
            </w:pPr>
            <w:hyperlink r:id="rId39" w:history="1">
              <w:r w:rsidR="00482167" w:rsidRPr="006D6BE5">
                <w:rPr>
                  <w:rFonts w:ascii="Arial" w:hAnsi="Arial" w:cs="Arial"/>
                  <w:color w:val="0563C1"/>
                  <w:sz w:val="4"/>
                  <w:szCs w:val="8"/>
                  <w:u w:val="single"/>
                  <w:lang w:val="sq-AL"/>
                </w:rPr>
                <w:t xml:space="preserve">http://data.europa.eu/eli/dir/2017/1371/oj </w:t>
              </w:r>
            </w:hyperlink>
          </w:p>
        </w:tc>
        <w:tc>
          <w:tcPr>
            <w:tcW w:w="506" w:type="pct"/>
            <w:tcBorders>
              <w:top w:val="nil"/>
              <w:left w:val="nil"/>
              <w:bottom w:val="single" w:sz="4" w:space="0" w:color="auto"/>
              <w:right w:val="single" w:sz="4" w:space="0" w:color="auto"/>
            </w:tcBorders>
            <w:shd w:val="clear" w:color="FFFFFF" w:fill="FFFFFF"/>
            <w:vAlign w:val="center"/>
            <w:hideMark/>
          </w:tcPr>
          <w:p w14:paraId="22D3D48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38CE42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Projektvendimi i Këshillit të Ministrave mbi miratimin e "Strategjisë kombetare kundër mashtrimit, me qellim mbrojtjen e interesave finnciare te BE-se".</w:t>
            </w:r>
          </w:p>
        </w:tc>
        <w:tc>
          <w:tcPr>
            <w:tcW w:w="330" w:type="pct"/>
            <w:tcBorders>
              <w:top w:val="nil"/>
              <w:left w:val="nil"/>
              <w:bottom w:val="single" w:sz="4" w:space="0" w:color="auto"/>
              <w:right w:val="single" w:sz="4" w:space="0" w:color="auto"/>
            </w:tcBorders>
            <w:shd w:val="clear" w:color="FFFFFF" w:fill="FFFFFF"/>
            <w:vAlign w:val="center"/>
            <w:hideMark/>
          </w:tcPr>
          <w:p w14:paraId="3F18C2D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Hartimi i Strategjisë nuk lidhet me përafrimin e acquis, por është kërkesë e OLAF e bërë në takimin shpjegues të bërë në vitin 2018. Eshtë ngritur një grup pune për hartimin e strategjisë. </w:t>
            </w:r>
          </w:p>
        </w:tc>
        <w:tc>
          <w:tcPr>
            <w:tcW w:w="126" w:type="pct"/>
            <w:tcBorders>
              <w:top w:val="nil"/>
              <w:left w:val="nil"/>
              <w:bottom w:val="single" w:sz="4" w:space="0" w:color="auto"/>
              <w:right w:val="single" w:sz="4" w:space="0" w:color="auto"/>
            </w:tcBorders>
            <w:shd w:val="clear" w:color="FFFFFF" w:fill="FFFFFF"/>
            <w:vAlign w:val="center"/>
            <w:hideMark/>
          </w:tcPr>
          <w:p w14:paraId="33F6BD4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BC8B94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7E78496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67A5F81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52BA9B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71B2BD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86CFCA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829</w:t>
            </w:r>
          </w:p>
        </w:tc>
        <w:tc>
          <w:tcPr>
            <w:tcW w:w="126" w:type="pct"/>
            <w:tcBorders>
              <w:top w:val="nil"/>
              <w:left w:val="nil"/>
              <w:bottom w:val="single" w:sz="4" w:space="0" w:color="auto"/>
              <w:right w:val="single" w:sz="4" w:space="0" w:color="auto"/>
            </w:tcBorders>
            <w:shd w:val="clear" w:color="FFFFFF" w:fill="FFFFFF"/>
            <w:vAlign w:val="center"/>
            <w:hideMark/>
          </w:tcPr>
          <w:p w14:paraId="1825FCB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277 </w:t>
            </w:r>
          </w:p>
        </w:tc>
        <w:tc>
          <w:tcPr>
            <w:tcW w:w="117" w:type="pct"/>
            <w:tcBorders>
              <w:top w:val="nil"/>
              <w:left w:val="nil"/>
              <w:bottom w:val="single" w:sz="4" w:space="0" w:color="auto"/>
              <w:right w:val="single" w:sz="4" w:space="0" w:color="auto"/>
            </w:tcBorders>
            <w:shd w:val="clear" w:color="FFFFFF" w:fill="FFFFFF"/>
            <w:vAlign w:val="center"/>
            <w:hideMark/>
          </w:tcPr>
          <w:p w14:paraId="045DEFF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2CAF87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AB007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3DAC2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F01FC4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r>
      <w:tr w:rsidR="00482167" w:rsidRPr="006D6BE5" w14:paraId="0251C97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15D7F0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32</w:t>
            </w:r>
          </w:p>
        </w:tc>
        <w:tc>
          <w:tcPr>
            <w:tcW w:w="144" w:type="pct"/>
            <w:tcBorders>
              <w:top w:val="nil"/>
              <w:left w:val="nil"/>
              <w:bottom w:val="single" w:sz="4" w:space="0" w:color="auto"/>
              <w:right w:val="single" w:sz="4" w:space="0" w:color="auto"/>
            </w:tcBorders>
            <w:shd w:val="clear" w:color="FFFFFF" w:fill="FFFFFF"/>
            <w:vAlign w:val="center"/>
            <w:hideMark/>
          </w:tcPr>
          <w:p w14:paraId="5ADFAB0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1B00F5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Kontrolli i Brendshem Financiar Publik (KBFP)</w:t>
            </w:r>
          </w:p>
        </w:tc>
        <w:tc>
          <w:tcPr>
            <w:tcW w:w="171" w:type="pct"/>
            <w:tcBorders>
              <w:top w:val="nil"/>
              <w:left w:val="nil"/>
              <w:bottom w:val="single" w:sz="4" w:space="0" w:color="auto"/>
              <w:right w:val="single" w:sz="4" w:space="0" w:color="auto"/>
            </w:tcBorders>
            <w:shd w:val="clear" w:color="FFFFFF" w:fill="FFFFFF"/>
            <w:vAlign w:val="center"/>
            <w:hideMark/>
          </w:tcPr>
          <w:p w14:paraId="6A487AF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Ne perputhje me standartet COSO</w:t>
            </w:r>
          </w:p>
        </w:tc>
        <w:tc>
          <w:tcPr>
            <w:tcW w:w="661" w:type="pct"/>
            <w:tcBorders>
              <w:top w:val="nil"/>
              <w:left w:val="nil"/>
              <w:bottom w:val="single" w:sz="4" w:space="0" w:color="auto"/>
              <w:right w:val="single" w:sz="4" w:space="0" w:color="auto"/>
            </w:tcBorders>
            <w:shd w:val="clear" w:color="FFFFFF" w:fill="FFFFFF"/>
            <w:vAlign w:val="center"/>
            <w:hideMark/>
          </w:tcPr>
          <w:p w14:paraId="79A2BFE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Standartet COSO </w:t>
            </w:r>
          </w:p>
        </w:tc>
        <w:tc>
          <w:tcPr>
            <w:tcW w:w="668" w:type="pct"/>
            <w:tcBorders>
              <w:top w:val="nil"/>
              <w:left w:val="nil"/>
              <w:bottom w:val="single" w:sz="4" w:space="0" w:color="auto"/>
              <w:right w:val="single" w:sz="4" w:space="0" w:color="auto"/>
            </w:tcBorders>
            <w:shd w:val="clear" w:color="auto" w:fill="auto"/>
            <w:noWrap/>
            <w:vAlign w:val="center"/>
            <w:hideMark/>
          </w:tcPr>
          <w:p w14:paraId="73A80CA0" w14:textId="082D8975" w:rsidR="00482167" w:rsidRPr="006D6BE5" w:rsidRDefault="00E63D69" w:rsidP="00A7241A">
            <w:pPr>
              <w:rPr>
                <w:rFonts w:ascii="Arial" w:hAnsi="Arial" w:cs="Arial"/>
                <w:color w:val="0563C1"/>
                <w:sz w:val="4"/>
                <w:szCs w:val="8"/>
                <w:u w:val="single"/>
                <w:lang w:val="sq-AL"/>
              </w:rPr>
            </w:pPr>
            <w:hyperlink r:id="rId40" w:history="1">
              <w:r w:rsidR="00482167" w:rsidRPr="006D6BE5">
                <w:rPr>
                  <w:rFonts w:ascii="Arial" w:hAnsi="Arial" w:cs="Arial"/>
                  <w:color w:val="0563C1"/>
                  <w:sz w:val="4"/>
                  <w:szCs w:val="8"/>
                  <w:u w:val="single"/>
                  <w:lang w:val="sq-AL"/>
                </w:rPr>
                <w:t>http://www.coso.org</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0F959E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8FBA00E" w14:textId="604AE984"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i Ministrit te Financave dhe Ekonomise "Për disa shtesa dhe ndryshime</w:t>
            </w:r>
            <w:r w:rsidR="006D6BE5">
              <w:rPr>
                <w:rFonts w:ascii="Arial" w:hAnsi="Arial" w:cs="Arial"/>
                <w:sz w:val="4"/>
                <w:szCs w:val="8"/>
                <w:lang w:val="sq-AL"/>
              </w:rPr>
              <w:t xml:space="preserve"> </w:t>
            </w:r>
            <w:r w:rsidRPr="006D6BE5">
              <w:rPr>
                <w:rFonts w:ascii="Arial" w:hAnsi="Arial" w:cs="Arial"/>
                <w:sz w:val="4"/>
                <w:szCs w:val="8"/>
                <w:lang w:val="sq-AL"/>
              </w:rPr>
              <w:t>në Udhëzimin nr.16, datë 20.07.2016 mbi përgjegjësitë</w:t>
            </w:r>
            <w:r w:rsidR="006D6BE5">
              <w:rPr>
                <w:rFonts w:ascii="Arial" w:hAnsi="Arial" w:cs="Arial"/>
                <w:sz w:val="4"/>
                <w:szCs w:val="8"/>
                <w:lang w:val="sq-AL"/>
              </w:rPr>
              <w:t xml:space="preserve"> </w:t>
            </w:r>
            <w:r w:rsidRPr="006D6BE5">
              <w:rPr>
                <w:rFonts w:ascii="Arial" w:hAnsi="Arial" w:cs="Arial"/>
                <w:sz w:val="4"/>
                <w:szCs w:val="8"/>
                <w:lang w:val="sq-AL"/>
              </w:rPr>
              <w:t xml:space="preserve">dhe detyrat e koordinatorit të menaxhimit financiar dhe kontrollit dhe koordinatorit të riskut në njësitë publike". </w:t>
            </w:r>
          </w:p>
        </w:tc>
        <w:tc>
          <w:tcPr>
            <w:tcW w:w="330" w:type="pct"/>
            <w:tcBorders>
              <w:top w:val="nil"/>
              <w:left w:val="nil"/>
              <w:bottom w:val="single" w:sz="4" w:space="0" w:color="auto"/>
              <w:right w:val="single" w:sz="4" w:space="0" w:color="auto"/>
            </w:tcBorders>
            <w:shd w:val="clear" w:color="FFFFFF" w:fill="FFFFFF"/>
            <w:vAlign w:val="center"/>
            <w:hideMark/>
          </w:tcPr>
          <w:p w14:paraId="7838137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Trajtimi i çështjeve që dalin gjatë zbatimit praktik të ligjit të ndryshuar për MFK-në, sqarimi i terminologjisë së përdorur në disa dispozita ligjore</w:t>
            </w:r>
          </w:p>
        </w:tc>
        <w:tc>
          <w:tcPr>
            <w:tcW w:w="126" w:type="pct"/>
            <w:tcBorders>
              <w:top w:val="nil"/>
              <w:left w:val="nil"/>
              <w:bottom w:val="single" w:sz="4" w:space="0" w:color="auto"/>
              <w:right w:val="single" w:sz="4" w:space="0" w:color="auto"/>
            </w:tcBorders>
            <w:shd w:val="clear" w:color="FFFFFF" w:fill="FFFFFF"/>
            <w:vAlign w:val="center"/>
            <w:hideMark/>
          </w:tcPr>
          <w:p w14:paraId="1A4EFED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394474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A7ED38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E856AA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F59AAF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E0089F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5BA9AF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3,974 </w:t>
            </w:r>
          </w:p>
        </w:tc>
        <w:tc>
          <w:tcPr>
            <w:tcW w:w="126" w:type="pct"/>
            <w:tcBorders>
              <w:top w:val="nil"/>
              <w:left w:val="nil"/>
              <w:bottom w:val="single" w:sz="4" w:space="0" w:color="auto"/>
              <w:right w:val="single" w:sz="4" w:space="0" w:color="auto"/>
            </w:tcBorders>
            <w:shd w:val="clear" w:color="FFFFFF" w:fill="FFFFFF"/>
            <w:vAlign w:val="center"/>
            <w:hideMark/>
          </w:tcPr>
          <w:p w14:paraId="22D77FF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0562F0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558089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D4FA21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0B110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A98C88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r>
      <w:tr w:rsidR="00482167" w:rsidRPr="006D6BE5" w14:paraId="0E77B0D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6AAE60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32</w:t>
            </w:r>
          </w:p>
        </w:tc>
        <w:tc>
          <w:tcPr>
            <w:tcW w:w="144" w:type="pct"/>
            <w:tcBorders>
              <w:top w:val="nil"/>
              <w:left w:val="nil"/>
              <w:bottom w:val="single" w:sz="4" w:space="0" w:color="auto"/>
              <w:right w:val="single" w:sz="4" w:space="0" w:color="auto"/>
            </w:tcBorders>
            <w:shd w:val="clear" w:color="FFFFFF" w:fill="FFFFFF"/>
            <w:vAlign w:val="center"/>
            <w:hideMark/>
          </w:tcPr>
          <w:p w14:paraId="354831F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DB1351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Kontrolli i Brendshem Financiar Publik (KBFP)</w:t>
            </w:r>
          </w:p>
        </w:tc>
        <w:tc>
          <w:tcPr>
            <w:tcW w:w="171" w:type="pct"/>
            <w:tcBorders>
              <w:top w:val="nil"/>
              <w:left w:val="nil"/>
              <w:bottom w:val="single" w:sz="4" w:space="0" w:color="auto"/>
              <w:right w:val="single" w:sz="4" w:space="0" w:color="auto"/>
            </w:tcBorders>
            <w:shd w:val="clear" w:color="FFFFFF" w:fill="FFFFFF"/>
            <w:vAlign w:val="center"/>
            <w:hideMark/>
          </w:tcPr>
          <w:p w14:paraId="024E3F7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Ne perputhje me standartet COSO</w:t>
            </w:r>
          </w:p>
        </w:tc>
        <w:tc>
          <w:tcPr>
            <w:tcW w:w="661" w:type="pct"/>
            <w:tcBorders>
              <w:top w:val="nil"/>
              <w:left w:val="nil"/>
              <w:bottom w:val="single" w:sz="4" w:space="0" w:color="auto"/>
              <w:right w:val="single" w:sz="4" w:space="0" w:color="auto"/>
            </w:tcBorders>
            <w:shd w:val="clear" w:color="FFFFFF" w:fill="FFFFFF"/>
            <w:vAlign w:val="center"/>
            <w:hideMark/>
          </w:tcPr>
          <w:p w14:paraId="0EE6AEF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Standartet COSO </w:t>
            </w:r>
          </w:p>
        </w:tc>
        <w:tc>
          <w:tcPr>
            <w:tcW w:w="668" w:type="pct"/>
            <w:tcBorders>
              <w:top w:val="nil"/>
              <w:left w:val="nil"/>
              <w:bottom w:val="single" w:sz="4" w:space="0" w:color="auto"/>
              <w:right w:val="single" w:sz="4" w:space="0" w:color="auto"/>
            </w:tcBorders>
            <w:shd w:val="clear" w:color="auto" w:fill="auto"/>
            <w:noWrap/>
            <w:vAlign w:val="center"/>
            <w:hideMark/>
          </w:tcPr>
          <w:p w14:paraId="42D26284" w14:textId="0EC17FE9" w:rsidR="00482167" w:rsidRPr="006D6BE5" w:rsidRDefault="00E63D69" w:rsidP="00A7241A">
            <w:pPr>
              <w:rPr>
                <w:rFonts w:ascii="Arial" w:hAnsi="Arial" w:cs="Arial"/>
                <w:color w:val="0563C1"/>
                <w:sz w:val="4"/>
                <w:szCs w:val="8"/>
                <w:u w:val="single"/>
                <w:lang w:val="sq-AL"/>
              </w:rPr>
            </w:pPr>
            <w:hyperlink r:id="rId41" w:history="1">
              <w:r w:rsidR="00482167" w:rsidRPr="006D6BE5">
                <w:rPr>
                  <w:rFonts w:ascii="Arial" w:hAnsi="Arial" w:cs="Arial"/>
                  <w:color w:val="0563C1"/>
                  <w:sz w:val="4"/>
                  <w:szCs w:val="8"/>
                  <w:u w:val="single"/>
                  <w:lang w:val="sq-AL"/>
                </w:rPr>
                <w:t>http://www.coso.org</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C1A425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66EC1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i Ministrit te Financave dhe Ekonomise "Për disa shtesa dhe ndryshime të Urdhërit nr.311, datë 23.12.2020 mbi Metodologjinë për Vlerësimin e Cilësisë së Sistemit të Kontrollit të Brendshëm në Njësitë e Qeverisjes së Përgjithshme"</w:t>
            </w:r>
          </w:p>
        </w:tc>
        <w:tc>
          <w:tcPr>
            <w:tcW w:w="330" w:type="pct"/>
            <w:tcBorders>
              <w:top w:val="nil"/>
              <w:left w:val="nil"/>
              <w:bottom w:val="single" w:sz="4" w:space="0" w:color="auto"/>
              <w:right w:val="single" w:sz="4" w:space="0" w:color="auto"/>
            </w:tcBorders>
            <w:shd w:val="clear" w:color="FFFFFF" w:fill="FFFFFF"/>
            <w:vAlign w:val="center"/>
            <w:hideMark/>
          </w:tcPr>
          <w:p w14:paraId="51F55AB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procesi i vlerësimit të cilësisë dhe asitenca teknike parashikohen të rishikohet në kuadër të përmirësimit të tyre</w:t>
            </w:r>
          </w:p>
        </w:tc>
        <w:tc>
          <w:tcPr>
            <w:tcW w:w="126" w:type="pct"/>
            <w:tcBorders>
              <w:top w:val="nil"/>
              <w:left w:val="nil"/>
              <w:bottom w:val="single" w:sz="4" w:space="0" w:color="auto"/>
              <w:right w:val="single" w:sz="4" w:space="0" w:color="auto"/>
            </w:tcBorders>
            <w:shd w:val="clear" w:color="FFFFFF" w:fill="FFFFFF"/>
            <w:vAlign w:val="center"/>
            <w:hideMark/>
          </w:tcPr>
          <w:p w14:paraId="4CA740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756FD8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6F4920C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637C1C8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B5E7E5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322BF8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7198C2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3,974 </w:t>
            </w:r>
          </w:p>
        </w:tc>
        <w:tc>
          <w:tcPr>
            <w:tcW w:w="126" w:type="pct"/>
            <w:tcBorders>
              <w:top w:val="nil"/>
              <w:left w:val="nil"/>
              <w:bottom w:val="single" w:sz="4" w:space="0" w:color="auto"/>
              <w:right w:val="single" w:sz="4" w:space="0" w:color="auto"/>
            </w:tcBorders>
            <w:shd w:val="clear" w:color="FFFFFF" w:fill="FFFFFF"/>
            <w:vAlign w:val="center"/>
            <w:hideMark/>
          </w:tcPr>
          <w:p w14:paraId="3A22C1A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26B3B4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6CE85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BD56D5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5D0B19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38F76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r>
      <w:tr w:rsidR="00482167" w:rsidRPr="006D6BE5" w14:paraId="1FB99D2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0C8D9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5455FE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20302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Parimet e Përgjithshme</w:t>
            </w:r>
          </w:p>
        </w:tc>
        <w:tc>
          <w:tcPr>
            <w:tcW w:w="171" w:type="pct"/>
            <w:tcBorders>
              <w:top w:val="nil"/>
              <w:left w:val="nil"/>
              <w:bottom w:val="single" w:sz="4" w:space="0" w:color="auto"/>
              <w:right w:val="single" w:sz="4" w:space="0" w:color="auto"/>
            </w:tcBorders>
            <w:shd w:val="clear" w:color="FFFFFF" w:fill="FFFFFF"/>
            <w:vAlign w:val="center"/>
            <w:hideMark/>
          </w:tcPr>
          <w:p w14:paraId="48969D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Lëvizja e lirë e mallrave/</w:t>
            </w:r>
            <w:r w:rsidRPr="006D6BE5">
              <w:rPr>
                <w:rFonts w:ascii="Arial" w:hAnsi="Arial" w:cs="Arial"/>
                <w:color w:val="000000"/>
                <w:sz w:val="4"/>
                <w:szCs w:val="8"/>
                <w:lang w:val="sq-AL"/>
              </w:rPr>
              <w:br/>
              <w:t>Fusha e paharmonizuar</w:t>
            </w:r>
          </w:p>
        </w:tc>
        <w:tc>
          <w:tcPr>
            <w:tcW w:w="661" w:type="pct"/>
            <w:tcBorders>
              <w:top w:val="nil"/>
              <w:left w:val="nil"/>
              <w:bottom w:val="single" w:sz="4" w:space="0" w:color="auto"/>
              <w:right w:val="single" w:sz="4" w:space="0" w:color="auto"/>
            </w:tcBorders>
            <w:shd w:val="clear" w:color="FFFFFF" w:fill="FFFFFF"/>
            <w:vAlign w:val="center"/>
            <w:hideMark/>
          </w:tcPr>
          <w:p w14:paraId="551D29F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Nenet 34, dhe 36 të Traktatit për Funksionimin e Bashkimit Evropian (TFEU)</w:t>
            </w:r>
          </w:p>
        </w:tc>
        <w:tc>
          <w:tcPr>
            <w:tcW w:w="668" w:type="pct"/>
            <w:tcBorders>
              <w:top w:val="nil"/>
              <w:left w:val="nil"/>
              <w:bottom w:val="single" w:sz="4" w:space="0" w:color="auto"/>
              <w:right w:val="single" w:sz="4" w:space="0" w:color="auto"/>
            </w:tcBorders>
            <w:shd w:val="clear" w:color="FFFFFF" w:fill="FFFFFF"/>
            <w:vAlign w:val="center"/>
            <w:hideMark/>
          </w:tcPr>
          <w:p w14:paraId="5AE04398" w14:textId="77777777" w:rsidR="00482167" w:rsidRPr="006D6BE5" w:rsidRDefault="00E63D69" w:rsidP="00A7241A">
            <w:pPr>
              <w:rPr>
                <w:rFonts w:ascii="Arial" w:hAnsi="Arial" w:cs="Arial"/>
                <w:color w:val="5B9BD5"/>
                <w:sz w:val="4"/>
                <w:szCs w:val="8"/>
                <w:u w:val="single"/>
                <w:lang w:val="sq-AL"/>
              </w:rPr>
            </w:pPr>
            <w:hyperlink r:id="rId42" w:history="1">
              <w:r w:rsidR="00482167" w:rsidRPr="006D6BE5">
                <w:rPr>
                  <w:rFonts w:ascii="Arial" w:hAnsi="Arial" w:cs="Arial"/>
                  <w:color w:val="5B9BD5"/>
                  <w:sz w:val="4"/>
                  <w:szCs w:val="8"/>
                  <w:u w:val="single"/>
                  <w:lang w:val="sq-AL"/>
                </w:rPr>
                <w:t>C2010/083/01</w:t>
              </w:r>
            </w:hyperlink>
          </w:p>
        </w:tc>
        <w:tc>
          <w:tcPr>
            <w:tcW w:w="506" w:type="pct"/>
            <w:tcBorders>
              <w:top w:val="nil"/>
              <w:left w:val="nil"/>
              <w:bottom w:val="single" w:sz="4" w:space="0" w:color="auto"/>
              <w:right w:val="single" w:sz="4" w:space="0" w:color="auto"/>
            </w:tcBorders>
            <w:shd w:val="clear" w:color="auto" w:fill="auto"/>
            <w:vAlign w:val="center"/>
            <w:hideMark/>
          </w:tcPr>
          <w:p w14:paraId="688E0E0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CBC633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 vendim i Këshillit të Ministrave për miratimin e "Planit të Veprimit për përputhshmërinë me Nenet 34 - 36 TFBE" (faza e dytë - sektorët e mbetur)</w:t>
            </w:r>
          </w:p>
        </w:tc>
        <w:tc>
          <w:tcPr>
            <w:tcW w:w="330" w:type="pct"/>
            <w:tcBorders>
              <w:top w:val="nil"/>
              <w:left w:val="nil"/>
              <w:bottom w:val="single" w:sz="4" w:space="0" w:color="auto"/>
              <w:right w:val="single" w:sz="4" w:space="0" w:color="auto"/>
            </w:tcBorders>
            <w:shd w:val="clear" w:color="auto" w:fill="auto"/>
            <w:vAlign w:val="center"/>
            <w:hideMark/>
          </w:tcPr>
          <w:p w14:paraId="5237959D" w14:textId="40F7179D" w:rsidR="00482167" w:rsidRPr="006D6BE5" w:rsidRDefault="00482167" w:rsidP="00A7241A">
            <w:pPr>
              <w:rPr>
                <w:rFonts w:ascii="Arial" w:hAnsi="Arial" w:cs="Arial"/>
                <w:sz w:val="4"/>
                <w:szCs w:val="8"/>
                <w:lang w:val="sq-AL"/>
              </w:rPr>
            </w:pPr>
            <w:r w:rsidRPr="006D6BE5">
              <w:rPr>
                <w:rFonts w:ascii="Arial" w:hAnsi="Arial" w:cs="Arial"/>
                <w:sz w:val="4"/>
                <w:szCs w:val="8"/>
                <w:lang w:val="sq-AL"/>
              </w:rPr>
              <w:t>Plani synon shqyrtimin e legjislacionit shqiptar që rregullon tregtimin e produkteve identifikimin, vlerësimin dhe shfuqizimin (apo mbajtjen e argumentuar) të këtyre masave të ndaluara sipas neneve 34-36 të Traktatit të Funksionimit të Bashkimit Evropian (TFBE).Gjatë vitit 2022 ka përfunduar faza e parë, ku janë analizuar 60 akte ligjore. Faza e dytë për shqyrtimin e të gjithë sektorëve/produkteve do të vijojë gjatë 2024 – 2025. Plani përmban masa afatshkurtra dhe afatgjatë për ngritjen dhe fuqizimin e kapaciteteve institucionale/administrative, për t`u përgatitur gradualisht për detyrimet në fushën e paharmonizuar.</w:t>
            </w:r>
            <w:r w:rsidR="006D6BE5">
              <w:rPr>
                <w:rFonts w:ascii="Arial" w:hAnsi="Arial" w:cs="Arial"/>
                <w:sz w:val="4"/>
                <w:szCs w:val="8"/>
                <w:lang w:val="sq-AL"/>
              </w:rPr>
              <w:t xml:space="preserve"> </w:t>
            </w:r>
            <w:r w:rsidRPr="006D6BE5">
              <w:rPr>
                <w:rFonts w:ascii="Arial" w:hAnsi="Arial" w:cs="Arial"/>
                <w:sz w:val="4"/>
                <w:szCs w:val="8"/>
                <w:lang w:val="sq-AL"/>
              </w:rPr>
              <w:t>Aktivitetet kryesore:</w:t>
            </w:r>
            <w:r w:rsidRPr="006D6BE5">
              <w:rPr>
                <w:rFonts w:ascii="Arial" w:hAnsi="Arial" w:cs="Arial"/>
                <w:sz w:val="4"/>
                <w:szCs w:val="8"/>
                <w:lang w:val="sq-AL"/>
              </w:rPr>
              <w:br/>
              <w:t>- Identifikimi i legjislacionit/praktikave administrative për screening;</w:t>
            </w:r>
            <w:r w:rsidRPr="006D6BE5">
              <w:rPr>
                <w:rFonts w:ascii="Arial" w:hAnsi="Arial" w:cs="Arial"/>
                <w:sz w:val="4"/>
                <w:szCs w:val="8"/>
                <w:lang w:val="sq-AL"/>
              </w:rPr>
              <w:br/>
              <w:t>- Shqyrtimi dhe analiza e masave me efekt të barabartë me kufizimet sasiore</w:t>
            </w:r>
            <w:r w:rsidRPr="006D6BE5">
              <w:rPr>
                <w:rFonts w:ascii="Arial" w:hAnsi="Arial" w:cs="Arial"/>
                <w:sz w:val="4"/>
                <w:szCs w:val="8"/>
                <w:lang w:val="sq-AL"/>
              </w:rPr>
              <w:br/>
              <w:t>- Konsultimet me komunitetin e biznesit/Tryeza e rrumbullakët PPIE për kapitullin 1</w:t>
            </w:r>
            <w:r w:rsidRPr="006D6BE5">
              <w:rPr>
                <w:rFonts w:ascii="Arial" w:hAnsi="Arial" w:cs="Arial"/>
                <w:sz w:val="4"/>
                <w:szCs w:val="8"/>
                <w:lang w:val="sq-AL"/>
              </w:rPr>
              <w:br/>
              <w:t>- Përgatitja e Planit të Veprimit (analizë + planifikim për heqjen e masave të pajustifikuara)</w:t>
            </w:r>
            <w:r w:rsidRPr="006D6BE5">
              <w:rPr>
                <w:rFonts w:ascii="Arial" w:hAnsi="Arial" w:cs="Arial"/>
                <w:sz w:val="4"/>
                <w:szCs w:val="8"/>
                <w:lang w:val="sq-AL"/>
              </w:rPr>
              <w:br/>
              <w:t>- Miratimi i Planit të Veprimit</w:t>
            </w:r>
          </w:p>
        </w:tc>
        <w:tc>
          <w:tcPr>
            <w:tcW w:w="126" w:type="pct"/>
            <w:tcBorders>
              <w:top w:val="nil"/>
              <w:left w:val="nil"/>
              <w:bottom w:val="single" w:sz="4" w:space="0" w:color="auto"/>
              <w:right w:val="single" w:sz="4" w:space="0" w:color="auto"/>
            </w:tcBorders>
            <w:shd w:val="clear" w:color="auto" w:fill="auto"/>
            <w:vAlign w:val="center"/>
            <w:hideMark/>
          </w:tcPr>
          <w:p w14:paraId="3973974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22805B1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N/A </w:t>
            </w:r>
          </w:p>
        </w:tc>
        <w:tc>
          <w:tcPr>
            <w:tcW w:w="165" w:type="pct"/>
            <w:tcBorders>
              <w:top w:val="nil"/>
              <w:left w:val="nil"/>
              <w:bottom w:val="single" w:sz="4" w:space="0" w:color="auto"/>
              <w:right w:val="single" w:sz="4" w:space="0" w:color="auto"/>
            </w:tcBorders>
            <w:shd w:val="clear" w:color="auto" w:fill="auto"/>
            <w:vAlign w:val="center"/>
            <w:hideMark/>
          </w:tcPr>
          <w:p w14:paraId="3132327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6DC75EF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149312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92A70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C3243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F478EA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7397CA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371066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20EE2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00F51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6BB04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BE79C7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ECE57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3CF159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120E7B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gjithë nënkapitujt</w:t>
            </w:r>
          </w:p>
        </w:tc>
        <w:tc>
          <w:tcPr>
            <w:tcW w:w="171" w:type="pct"/>
            <w:tcBorders>
              <w:top w:val="nil"/>
              <w:left w:val="nil"/>
              <w:bottom w:val="single" w:sz="4" w:space="0" w:color="auto"/>
              <w:right w:val="single" w:sz="4" w:space="0" w:color="auto"/>
            </w:tcBorders>
            <w:shd w:val="clear" w:color="FFFFFF" w:fill="FFFFFF"/>
            <w:vAlign w:val="center"/>
            <w:hideMark/>
          </w:tcPr>
          <w:p w14:paraId="5098D4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Lëvizja e lirë e mallrave/</w:t>
            </w:r>
            <w:r w:rsidRPr="006D6BE5">
              <w:rPr>
                <w:rFonts w:ascii="Arial" w:hAnsi="Arial" w:cs="Arial"/>
                <w:color w:val="000000"/>
                <w:sz w:val="4"/>
                <w:szCs w:val="8"/>
                <w:lang w:val="sq-AL"/>
              </w:rPr>
              <w:br/>
              <w:t>Fusha e harmonizuar</w:t>
            </w:r>
          </w:p>
        </w:tc>
        <w:tc>
          <w:tcPr>
            <w:tcW w:w="661" w:type="pct"/>
            <w:tcBorders>
              <w:top w:val="nil"/>
              <w:left w:val="nil"/>
              <w:bottom w:val="single" w:sz="4" w:space="0" w:color="auto"/>
              <w:right w:val="single" w:sz="4" w:space="0" w:color="auto"/>
            </w:tcBorders>
            <w:shd w:val="clear" w:color="FFFFFF" w:fill="FFFFFF"/>
            <w:vAlign w:val="center"/>
            <w:hideMark/>
          </w:tcPr>
          <w:p w14:paraId="12175A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Rekomandim i dalë nga progres raportet dhe nën - komitetet</w:t>
            </w:r>
          </w:p>
        </w:tc>
        <w:tc>
          <w:tcPr>
            <w:tcW w:w="668" w:type="pct"/>
            <w:tcBorders>
              <w:top w:val="nil"/>
              <w:left w:val="nil"/>
              <w:bottom w:val="single" w:sz="4" w:space="0" w:color="auto"/>
              <w:right w:val="single" w:sz="4" w:space="0" w:color="auto"/>
            </w:tcBorders>
            <w:shd w:val="clear" w:color="FFFFFF" w:fill="FFFFFF"/>
            <w:vAlign w:val="center"/>
            <w:hideMark/>
          </w:tcPr>
          <w:p w14:paraId="24F62B93" w14:textId="77777777" w:rsidR="00482167" w:rsidRPr="006D6BE5" w:rsidRDefault="00482167" w:rsidP="00A7241A">
            <w:pPr>
              <w:rPr>
                <w:rFonts w:ascii="Arial" w:hAnsi="Arial" w:cs="Arial"/>
                <w:color w:val="5B9BD5"/>
                <w:sz w:val="4"/>
                <w:szCs w:val="8"/>
                <w:u w:val="single"/>
                <w:lang w:val="sq-AL"/>
              </w:rPr>
            </w:pPr>
            <w:r w:rsidRPr="006D6BE5">
              <w:rPr>
                <w:rFonts w:ascii="Arial" w:hAnsi="Arial" w:cs="Arial"/>
                <w:color w:val="5B9BD5"/>
                <w:sz w:val="4"/>
                <w:szCs w:val="8"/>
                <w:u w:val="single"/>
                <w:lang w:val="sq-AL"/>
              </w:rPr>
              <w:t> </w:t>
            </w:r>
          </w:p>
        </w:tc>
        <w:tc>
          <w:tcPr>
            <w:tcW w:w="506" w:type="pct"/>
            <w:tcBorders>
              <w:top w:val="nil"/>
              <w:left w:val="nil"/>
              <w:bottom w:val="single" w:sz="4" w:space="0" w:color="auto"/>
              <w:right w:val="single" w:sz="4" w:space="0" w:color="auto"/>
            </w:tcBorders>
            <w:shd w:val="clear" w:color="auto" w:fill="auto"/>
            <w:vAlign w:val="center"/>
            <w:hideMark/>
          </w:tcPr>
          <w:p w14:paraId="12F25D8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6FBB81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Udhërrëfyesi për harmonizimin e acquis të BE-së në fushën e lëvizjes së lirë të mallrave</w:t>
            </w:r>
          </w:p>
        </w:tc>
        <w:tc>
          <w:tcPr>
            <w:tcW w:w="330" w:type="pct"/>
            <w:tcBorders>
              <w:top w:val="nil"/>
              <w:left w:val="nil"/>
              <w:bottom w:val="single" w:sz="4" w:space="0" w:color="auto"/>
              <w:right w:val="single" w:sz="4" w:space="0" w:color="auto"/>
            </w:tcBorders>
            <w:shd w:val="clear" w:color="auto" w:fill="auto"/>
            <w:vAlign w:val="center"/>
            <w:hideMark/>
          </w:tcPr>
          <w:p w14:paraId="31D1802D" w14:textId="4119B926"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Udhërrëfyesi për përafrimin e mëtejshëm në fushën e lëvizjes së lirë të mallrave,</w:t>
            </w:r>
            <w:r w:rsidR="006D6BE5">
              <w:rPr>
                <w:rFonts w:ascii="Arial" w:hAnsi="Arial" w:cs="Arial"/>
                <w:sz w:val="4"/>
                <w:szCs w:val="8"/>
                <w:lang w:val="sq-AL"/>
              </w:rPr>
              <w:t xml:space="preserve"> </w:t>
            </w:r>
            <w:r w:rsidRPr="006D6BE5">
              <w:rPr>
                <w:rFonts w:ascii="Arial" w:hAnsi="Arial" w:cs="Arial"/>
                <w:sz w:val="4"/>
                <w:szCs w:val="8"/>
                <w:lang w:val="sq-AL"/>
              </w:rPr>
              <w:t xml:space="preserve">siguron kornizën gjithëpërfshirëse për planifikimin afatmesëm dhe afatgjatë për harmonizimin e plotë të kapitullit 1. Udhërrëfyesi është një dokument që synon planifikimin e masave ligjore dhe institucionale të nevojshme në periudhën afatmesëm (2024 – 2025) dhe afatgjatë (2026 – 2030) me qëllim pëmbushjen e detryrimit për përafrimin e plotë të </w:t>
            </w:r>
            <w:r w:rsidRPr="006D6BE5">
              <w:rPr>
                <w:rFonts w:ascii="Arial" w:hAnsi="Arial" w:cs="Arial"/>
                <w:i/>
                <w:iCs/>
                <w:sz w:val="4"/>
                <w:szCs w:val="8"/>
                <w:lang w:val="sq-AL"/>
              </w:rPr>
              <w:t>aqcuis</w:t>
            </w:r>
            <w:r w:rsidRPr="006D6BE5">
              <w:rPr>
                <w:rFonts w:ascii="Arial" w:hAnsi="Arial" w:cs="Arial"/>
                <w:sz w:val="4"/>
                <w:szCs w:val="8"/>
                <w:lang w:val="sq-AL"/>
              </w:rPr>
              <w:t xml:space="preserve"> së BE në fushën e lëvizjes së lirë të mallrave. Planifikimi imasave si rregull do të reflektohet në ciklet vjetore të PKIE. Aktivitetet:</w:t>
            </w:r>
            <w:r w:rsidR="006D6BE5">
              <w:rPr>
                <w:rFonts w:ascii="Arial" w:hAnsi="Arial" w:cs="Arial"/>
                <w:sz w:val="4"/>
                <w:szCs w:val="8"/>
                <w:lang w:val="sq-AL"/>
              </w:rPr>
              <w:t xml:space="preserve">     </w:t>
            </w:r>
            <w:r w:rsidRPr="006D6BE5">
              <w:rPr>
                <w:rFonts w:ascii="Arial" w:hAnsi="Arial" w:cs="Arial"/>
                <w:sz w:val="4"/>
                <w:szCs w:val="8"/>
                <w:lang w:val="sq-AL"/>
              </w:rPr>
              <w:t>1. Zbatimi i masave ligjore dhe institucionale të parashikuara në udhërrëfyes (ato të parashikuara deri në vitin 2026)</w:t>
            </w:r>
            <w:r w:rsidRPr="006D6BE5">
              <w:rPr>
                <w:rFonts w:ascii="Arial" w:hAnsi="Arial" w:cs="Arial"/>
                <w:sz w:val="4"/>
                <w:szCs w:val="8"/>
                <w:lang w:val="sq-AL"/>
              </w:rPr>
              <w:br/>
              <w:t>2. Monitorimi i Zbatimit të Udhërrëfyesit</w:t>
            </w:r>
          </w:p>
        </w:tc>
        <w:tc>
          <w:tcPr>
            <w:tcW w:w="126" w:type="pct"/>
            <w:tcBorders>
              <w:top w:val="nil"/>
              <w:left w:val="nil"/>
              <w:bottom w:val="single" w:sz="4" w:space="0" w:color="auto"/>
              <w:right w:val="single" w:sz="4" w:space="0" w:color="auto"/>
            </w:tcBorders>
            <w:shd w:val="clear" w:color="auto" w:fill="auto"/>
            <w:vAlign w:val="center"/>
            <w:hideMark/>
          </w:tcPr>
          <w:p w14:paraId="4D2F1F1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23C82F3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51C8088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01FB073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164FC3D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D18A4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5788A2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C58969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D950C7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A0B4E4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EC5C9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C40B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FF66E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BA3B72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F6A7B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43141B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55FDC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Çështjet Horizontale</w:t>
            </w:r>
          </w:p>
        </w:tc>
        <w:tc>
          <w:tcPr>
            <w:tcW w:w="171" w:type="pct"/>
            <w:tcBorders>
              <w:top w:val="nil"/>
              <w:left w:val="nil"/>
              <w:bottom w:val="single" w:sz="4" w:space="0" w:color="auto"/>
              <w:right w:val="single" w:sz="4" w:space="0" w:color="auto"/>
            </w:tcBorders>
            <w:shd w:val="clear" w:color="FFFFFF" w:fill="FFFFFF"/>
            <w:vAlign w:val="center"/>
            <w:hideMark/>
          </w:tcPr>
          <w:p w14:paraId="799D0A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Kuadri i ri legjislativ</w:t>
            </w:r>
          </w:p>
        </w:tc>
        <w:tc>
          <w:tcPr>
            <w:tcW w:w="661" w:type="pct"/>
            <w:tcBorders>
              <w:top w:val="nil"/>
              <w:left w:val="nil"/>
              <w:bottom w:val="single" w:sz="4" w:space="0" w:color="auto"/>
              <w:right w:val="single" w:sz="4" w:space="0" w:color="auto"/>
            </w:tcBorders>
            <w:shd w:val="clear" w:color="FFFFFF" w:fill="FFFFFF"/>
            <w:vAlign w:val="center"/>
            <w:hideMark/>
          </w:tcPr>
          <w:p w14:paraId="18BA04B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(BE) 2019/1020 e Parlamentit Evropian dhe e Këshillit e datës 20 qershor 2019 mbi mbikëqyrjen e tregut dhe përputhshmërinë e produkteve dhe ndryshimin e Direktivës 2004/42/EC dhe Rregulloreve (KE) Nr. 765/2008 dhe (BE) Nr 305/ 2011</w:t>
            </w:r>
          </w:p>
        </w:tc>
        <w:tc>
          <w:tcPr>
            <w:tcW w:w="668" w:type="pct"/>
            <w:tcBorders>
              <w:top w:val="nil"/>
              <w:left w:val="nil"/>
              <w:bottom w:val="single" w:sz="4" w:space="0" w:color="auto"/>
              <w:right w:val="single" w:sz="4" w:space="0" w:color="auto"/>
            </w:tcBorders>
            <w:shd w:val="clear" w:color="FFFFFF" w:fill="FFFFFF"/>
            <w:vAlign w:val="center"/>
            <w:hideMark/>
          </w:tcPr>
          <w:p w14:paraId="3352A9E2" w14:textId="77777777" w:rsidR="00482167" w:rsidRPr="006D6BE5" w:rsidRDefault="00482167" w:rsidP="00A7241A">
            <w:pPr>
              <w:rPr>
                <w:rFonts w:ascii="Arial" w:hAnsi="Arial" w:cs="Arial"/>
                <w:color w:val="5B9BD5"/>
                <w:sz w:val="4"/>
                <w:szCs w:val="8"/>
                <w:u w:val="single"/>
                <w:lang w:val="sq-AL"/>
              </w:rPr>
            </w:pPr>
            <w:r w:rsidRPr="006D6BE5">
              <w:rPr>
                <w:rFonts w:ascii="Arial" w:hAnsi="Arial" w:cs="Arial"/>
                <w:color w:val="5B9BD5"/>
                <w:sz w:val="4"/>
                <w:szCs w:val="8"/>
                <w:u w:val="single"/>
                <w:lang w:val="sq-AL"/>
              </w:rPr>
              <w:t>32019R1020</w:t>
            </w:r>
          </w:p>
        </w:tc>
        <w:tc>
          <w:tcPr>
            <w:tcW w:w="506" w:type="pct"/>
            <w:tcBorders>
              <w:top w:val="nil"/>
              <w:left w:val="nil"/>
              <w:bottom w:val="single" w:sz="4" w:space="0" w:color="auto"/>
              <w:right w:val="single" w:sz="4" w:space="0" w:color="auto"/>
            </w:tcBorders>
            <w:shd w:val="clear" w:color="auto" w:fill="auto"/>
            <w:vAlign w:val="center"/>
            <w:hideMark/>
          </w:tcPr>
          <w:p w14:paraId="054C03B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03666C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Projektligji “Për disa ndryshime në ligjin nr. 10489, datë 15.12.2011 “Për tregtimin dhe mbikëqyrjen e tregut të produkteve joushqimore"</w:t>
            </w:r>
          </w:p>
        </w:tc>
        <w:tc>
          <w:tcPr>
            <w:tcW w:w="330" w:type="pct"/>
            <w:tcBorders>
              <w:top w:val="nil"/>
              <w:left w:val="nil"/>
              <w:bottom w:val="single" w:sz="4" w:space="0" w:color="auto"/>
              <w:right w:val="single" w:sz="4" w:space="0" w:color="auto"/>
            </w:tcBorders>
            <w:shd w:val="clear" w:color="auto" w:fill="auto"/>
            <w:vAlign w:val="center"/>
            <w:hideMark/>
          </w:tcPr>
          <w:p w14:paraId="5212CDF1" w14:textId="2238BB69"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Ligji 10489/2011 “Për tregtimin dhe mbikëqyrjen e tregut të produkteve joushqimore”, i amenduar, rregullon në mënyrë horizontale fushën e tregtimit të produkteve joushqimore.</w:t>
            </w:r>
            <w:r w:rsidR="006D6BE5">
              <w:rPr>
                <w:rFonts w:ascii="Arial" w:hAnsi="Arial" w:cs="Arial"/>
                <w:sz w:val="4"/>
                <w:szCs w:val="8"/>
                <w:lang w:val="sq-AL"/>
              </w:rPr>
              <w:t xml:space="preserve"> </w:t>
            </w:r>
            <w:r w:rsidRPr="006D6BE5">
              <w:rPr>
                <w:rFonts w:ascii="Arial" w:hAnsi="Arial" w:cs="Arial"/>
                <w:sz w:val="4"/>
                <w:szCs w:val="8"/>
                <w:lang w:val="sq-AL"/>
              </w:rPr>
              <w:t>Ndryshimet në ligj synojnë harmonizimin e nënkapitullit</w:t>
            </w:r>
            <w:r w:rsidR="006D6BE5">
              <w:rPr>
                <w:rFonts w:ascii="Arial" w:hAnsi="Arial" w:cs="Arial"/>
                <w:sz w:val="4"/>
                <w:szCs w:val="8"/>
                <w:lang w:val="sq-AL"/>
              </w:rPr>
              <w:t xml:space="preserve"> </w:t>
            </w:r>
            <w:r w:rsidRPr="006D6BE5">
              <w:rPr>
                <w:rFonts w:ascii="Arial" w:hAnsi="Arial" w:cs="Arial"/>
                <w:sz w:val="4"/>
                <w:szCs w:val="8"/>
                <w:lang w:val="sq-AL"/>
              </w:rPr>
              <w:t>të masave horizontale në fushën e akreditimit, standartizimit, metrologjisë dhe mbikëqyrjes së tregut. Aktivitetet: 1. Hartimi/përgatitja e dokumentit të Vlerësimit të Impaktit Rregullator (RIA);</w:t>
            </w:r>
            <w:r w:rsidR="006D6BE5">
              <w:rPr>
                <w:rFonts w:ascii="Arial" w:hAnsi="Arial" w:cs="Arial"/>
                <w:sz w:val="4"/>
                <w:szCs w:val="8"/>
                <w:lang w:val="sq-AL"/>
              </w:rPr>
              <w:t xml:space="preserve">    </w:t>
            </w:r>
            <w:r w:rsidRPr="006D6BE5">
              <w:rPr>
                <w:rFonts w:ascii="Arial" w:hAnsi="Arial" w:cs="Arial"/>
                <w:sz w:val="4"/>
                <w:szCs w:val="8"/>
                <w:lang w:val="sq-AL"/>
              </w:rPr>
              <w:t xml:space="preserve"> 2. Përgatitja e projektligjit dhe dokumenteve te tjera shoqëruese</w:t>
            </w:r>
            <w:r w:rsidR="006D6BE5">
              <w:rPr>
                <w:rFonts w:ascii="Arial" w:hAnsi="Arial" w:cs="Arial"/>
                <w:sz w:val="4"/>
                <w:szCs w:val="8"/>
                <w:lang w:val="sq-AL"/>
              </w:rPr>
              <w:t xml:space="preserve"> </w:t>
            </w:r>
            <w:r w:rsidRPr="006D6BE5">
              <w:rPr>
                <w:rFonts w:ascii="Arial" w:hAnsi="Arial" w:cs="Arial"/>
                <w:sz w:val="4"/>
                <w:szCs w:val="8"/>
                <w:lang w:val="sq-AL"/>
              </w:rPr>
              <w:t>(tabela e përputhshmërisë, relacioni);</w:t>
            </w:r>
            <w:r w:rsidR="006D6BE5">
              <w:rPr>
                <w:rFonts w:ascii="Arial" w:hAnsi="Arial" w:cs="Arial"/>
                <w:sz w:val="4"/>
                <w:szCs w:val="8"/>
                <w:lang w:val="sq-AL"/>
              </w:rPr>
              <w:t xml:space="preserve">   </w:t>
            </w:r>
            <w:r w:rsidRPr="006D6BE5">
              <w:rPr>
                <w:rFonts w:ascii="Arial" w:hAnsi="Arial" w:cs="Arial"/>
                <w:sz w:val="4"/>
                <w:szCs w:val="8"/>
                <w:lang w:val="sq-AL"/>
              </w:rPr>
              <w:t>3. Ndjekja e procesit të konsultimit te projektligjit me ministritë e linjës dhe palët e tjera teë interesuara;</w:t>
            </w:r>
            <w:r w:rsidR="006D6BE5">
              <w:rPr>
                <w:rFonts w:ascii="Arial" w:hAnsi="Arial" w:cs="Arial"/>
                <w:sz w:val="4"/>
                <w:szCs w:val="8"/>
                <w:lang w:val="sq-AL"/>
              </w:rPr>
              <w:t xml:space="preserve">   </w:t>
            </w:r>
            <w:r w:rsidRPr="006D6BE5">
              <w:rPr>
                <w:rFonts w:ascii="Arial" w:hAnsi="Arial" w:cs="Arial"/>
                <w:sz w:val="4"/>
                <w:szCs w:val="8"/>
                <w:lang w:val="sq-AL"/>
              </w:rPr>
              <w:t>4. Ndjekja e procedurës së miratimit të projektligjit.</w:t>
            </w:r>
          </w:p>
        </w:tc>
        <w:tc>
          <w:tcPr>
            <w:tcW w:w="126" w:type="pct"/>
            <w:tcBorders>
              <w:top w:val="nil"/>
              <w:left w:val="nil"/>
              <w:bottom w:val="single" w:sz="4" w:space="0" w:color="auto"/>
              <w:right w:val="single" w:sz="4" w:space="0" w:color="auto"/>
            </w:tcBorders>
            <w:shd w:val="clear" w:color="auto" w:fill="auto"/>
            <w:vAlign w:val="center"/>
            <w:hideMark/>
          </w:tcPr>
          <w:p w14:paraId="36737FF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080163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3843A8A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16A9B7B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07FA491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7D2CE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D3A622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3D3C19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1,075</w:t>
            </w:r>
          </w:p>
        </w:tc>
        <w:tc>
          <w:tcPr>
            <w:tcW w:w="117" w:type="pct"/>
            <w:tcBorders>
              <w:top w:val="nil"/>
              <w:left w:val="nil"/>
              <w:bottom w:val="single" w:sz="4" w:space="0" w:color="auto"/>
              <w:right w:val="single" w:sz="4" w:space="0" w:color="auto"/>
            </w:tcBorders>
            <w:shd w:val="clear" w:color="FFFFFF" w:fill="FFFFFF"/>
            <w:vAlign w:val="center"/>
            <w:hideMark/>
          </w:tcPr>
          <w:p w14:paraId="0DB7894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519B86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6C3A1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094F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24712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15369B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2B66A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7B244D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AAE5F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Direktivat e përqasjes së re</w:t>
            </w:r>
          </w:p>
        </w:tc>
        <w:tc>
          <w:tcPr>
            <w:tcW w:w="171" w:type="pct"/>
            <w:tcBorders>
              <w:top w:val="nil"/>
              <w:left w:val="nil"/>
              <w:bottom w:val="single" w:sz="4" w:space="0" w:color="auto"/>
              <w:right w:val="single" w:sz="4" w:space="0" w:color="auto"/>
            </w:tcBorders>
            <w:shd w:val="clear" w:color="FFFFFF" w:fill="FFFFFF"/>
            <w:vAlign w:val="center"/>
            <w:hideMark/>
          </w:tcPr>
          <w:p w14:paraId="4E9533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Materialet e Ndërtimit</w:t>
            </w:r>
          </w:p>
        </w:tc>
        <w:tc>
          <w:tcPr>
            <w:tcW w:w="661" w:type="pct"/>
            <w:tcBorders>
              <w:top w:val="nil"/>
              <w:left w:val="nil"/>
              <w:bottom w:val="single" w:sz="4" w:space="0" w:color="auto"/>
              <w:right w:val="single" w:sz="4" w:space="0" w:color="auto"/>
            </w:tcBorders>
            <w:shd w:val="clear" w:color="FFFFFF" w:fill="FFFFFF"/>
            <w:vAlign w:val="center"/>
            <w:hideMark/>
          </w:tcPr>
          <w:p w14:paraId="4CE144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305/2011 e Parlamentit Evropian dhe e Këshillit e datës 9 mars 2011 që përcakton kushtet e harmonizuara për tregtimin e produkteve të ndërtimit</w:t>
            </w:r>
          </w:p>
        </w:tc>
        <w:tc>
          <w:tcPr>
            <w:tcW w:w="668" w:type="pct"/>
            <w:tcBorders>
              <w:top w:val="nil"/>
              <w:left w:val="nil"/>
              <w:bottom w:val="single" w:sz="4" w:space="0" w:color="auto"/>
              <w:right w:val="single" w:sz="4" w:space="0" w:color="auto"/>
            </w:tcBorders>
            <w:shd w:val="clear" w:color="FFFFFF" w:fill="FFFFFF"/>
            <w:vAlign w:val="center"/>
            <w:hideMark/>
          </w:tcPr>
          <w:p w14:paraId="790E56D7"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xml:space="preserve"> 32011R0305</w:t>
            </w:r>
          </w:p>
        </w:tc>
        <w:tc>
          <w:tcPr>
            <w:tcW w:w="506" w:type="pct"/>
            <w:tcBorders>
              <w:top w:val="nil"/>
              <w:left w:val="nil"/>
              <w:bottom w:val="single" w:sz="4" w:space="0" w:color="auto"/>
              <w:right w:val="single" w:sz="4" w:space="0" w:color="auto"/>
            </w:tcBorders>
            <w:shd w:val="clear" w:color="auto" w:fill="auto"/>
            <w:vAlign w:val="center"/>
            <w:hideMark/>
          </w:tcPr>
          <w:p w14:paraId="36265C9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8BB92B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produktet e ndërtimit"</w:t>
            </w:r>
          </w:p>
        </w:tc>
        <w:tc>
          <w:tcPr>
            <w:tcW w:w="330" w:type="pct"/>
            <w:tcBorders>
              <w:top w:val="nil"/>
              <w:left w:val="nil"/>
              <w:bottom w:val="single" w:sz="4" w:space="0" w:color="auto"/>
              <w:right w:val="single" w:sz="4" w:space="0" w:color="auto"/>
            </w:tcBorders>
            <w:shd w:val="clear" w:color="auto" w:fill="auto"/>
            <w:vAlign w:val="center"/>
            <w:hideMark/>
          </w:tcPr>
          <w:p w14:paraId="4EF8E367" w14:textId="736181DC"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Projektligji "Për produktet e ndërtimit", synon harmonizim të plotë të direktivës së EU mbi produketet e ndërtimitn. Ky projekligj ka për qëllim rregullimin e tregut të këtyre produketeve që nga (1) hedhja në treg, (2) shpërndarja dhe (3) përdorimi i produkteve të ndërtimit sipas rregullave</w:t>
            </w:r>
            <w:r w:rsidR="006D6BE5">
              <w:rPr>
                <w:rFonts w:ascii="Arial" w:hAnsi="Arial" w:cs="Arial"/>
                <w:sz w:val="4"/>
                <w:szCs w:val="8"/>
                <w:lang w:val="sq-AL"/>
              </w:rPr>
              <w:t xml:space="preserve"> </w:t>
            </w:r>
            <w:r w:rsidRPr="006D6BE5">
              <w:rPr>
                <w:rFonts w:ascii="Arial" w:hAnsi="Arial" w:cs="Arial"/>
                <w:sz w:val="4"/>
                <w:szCs w:val="8"/>
                <w:lang w:val="sq-AL"/>
              </w:rPr>
              <w:t>të harmonizuara dhe performancës, në lidhje me karakteristikat thelbësore të tyre dhe përdorim e markës CE në këto produkte.</w:t>
            </w:r>
          </w:p>
        </w:tc>
        <w:tc>
          <w:tcPr>
            <w:tcW w:w="126" w:type="pct"/>
            <w:tcBorders>
              <w:top w:val="nil"/>
              <w:left w:val="nil"/>
              <w:bottom w:val="single" w:sz="4" w:space="0" w:color="auto"/>
              <w:right w:val="single" w:sz="4" w:space="0" w:color="auto"/>
            </w:tcBorders>
            <w:shd w:val="clear" w:color="auto" w:fill="auto"/>
            <w:vAlign w:val="center"/>
            <w:hideMark/>
          </w:tcPr>
          <w:p w14:paraId="3D38CDB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4739DE5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1214AF0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E8AF16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735B40F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ED975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47748A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CF7A6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3C3C5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875CA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9F50F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96A15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5D396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30F41A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80C09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30CC69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D054B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Direktivat e përqasjes së re</w:t>
            </w:r>
          </w:p>
        </w:tc>
        <w:tc>
          <w:tcPr>
            <w:tcW w:w="171" w:type="pct"/>
            <w:tcBorders>
              <w:top w:val="nil"/>
              <w:left w:val="nil"/>
              <w:bottom w:val="single" w:sz="4" w:space="0" w:color="auto"/>
              <w:right w:val="single" w:sz="4" w:space="0" w:color="auto"/>
            </w:tcBorders>
            <w:shd w:val="clear" w:color="FFFFFF" w:fill="FFFFFF"/>
            <w:vAlign w:val="center"/>
            <w:hideMark/>
          </w:tcPr>
          <w:p w14:paraId="3F38CF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Eco - Design</w:t>
            </w:r>
          </w:p>
        </w:tc>
        <w:tc>
          <w:tcPr>
            <w:tcW w:w="661" w:type="pct"/>
            <w:tcBorders>
              <w:top w:val="nil"/>
              <w:left w:val="nil"/>
              <w:bottom w:val="single" w:sz="4" w:space="0" w:color="auto"/>
              <w:right w:val="single" w:sz="4" w:space="0" w:color="auto"/>
            </w:tcBorders>
            <w:shd w:val="clear" w:color="FFFFFF" w:fill="FFFFFF"/>
            <w:vAlign w:val="center"/>
            <w:hideMark/>
          </w:tcPr>
          <w:p w14:paraId="018258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2009/125/EC e Parlamentit Evropian dhe e Këshillit e datës 21 tetor 2009 që vendos një kornizë për vendosjen e kërkesave të projektimit ekologjik për produktet që lidhen me energjinë</w:t>
            </w:r>
          </w:p>
        </w:tc>
        <w:tc>
          <w:tcPr>
            <w:tcW w:w="668" w:type="pct"/>
            <w:tcBorders>
              <w:top w:val="nil"/>
              <w:left w:val="nil"/>
              <w:bottom w:val="single" w:sz="4" w:space="0" w:color="auto"/>
              <w:right w:val="single" w:sz="4" w:space="0" w:color="auto"/>
            </w:tcBorders>
            <w:shd w:val="clear" w:color="FFFFFF" w:fill="FFFFFF"/>
            <w:vAlign w:val="center"/>
            <w:hideMark/>
          </w:tcPr>
          <w:p w14:paraId="008976B3"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xml:space="preserve"> 32009L0125</w:t>
            </w:r>
          </w:p>
        </w:tc>
        <w:tc>
          <w:tcPr>
            <w:tcW w:w="506" w:type="pct"/>
            <w:tcBorders>
              <w:top w:val="nil"/>
              <w:left w:val="nil"/>
              <w:bottom w:val="single" w:sz="4" w:space="0" w:color="auto"/>
              <w:right w:val="single" w:sz="4" w:space="0" w:color="auto"/>
            </w:tcBorders>
            <w:shd w:val="clear" w:color="auto" w:fill="auto"/>
            <w:vAlign w:val="center"/>
            <w:hideMark/>
          </w:tcPr>
          <w:p w14:paraId="349B68D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9123E8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Projektimin Ekologjik të produkteve me ndikim në Energji"</w:t>
            </w:r>
          </w:p>
        </w:tc>
        <w:tc>
          <w:tcPr>
            <w:tcW w:w="330" w:type="pct"/>
            <w:tcBorders>
              <w:top w:val="nil"/>
              <w:left w:val="nil"/>
              <w:bottom w:val="single" w:sz="4" w:space="0" w:color="auto"/>
              <w:right w:val="single" w:sz="4" w:space="0" w:color="auto"/>
            </w:tcBorders>
            <w:shd w:val="clear" w:color="auto" w:fill="auto"/>
            <w:vAlign w:val="center"/>
            <w:hideMark/>
          </w:tcPr>
          <w:p w14:paraId="5BF5D5F6" w14:textId="54EA3203"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 ligji "Për Projektimin Ekologjik të produkteve me ndikim në Energji" është një nismë e re ligjore që synon harmonizim të plotë me acquis e BE për projektimin ekologjik. Ky ligji ka për qëllim: 1. Përmirësimin e konsumit të energjisë për produktet me ndikim në energji;</w:t>
            </w:r>
            <w:r w:rsidRPr="006D6BE5">
              <w:rPr>
                <w:rFonts w:ascii="Arial" w:hAnsi="Arial" w:cs="Arial"/>
                <w:sz w:val="4"/>
                <w:szCs w:val="8"/>
                <w:lang w:val="sq-AL"/>
              </w:rPr>
              <w:br w:type="page"/>
              <w:t>2. Përmirësimin e</w:t>
            </w:r>
            <w:r w:rsidR="006D6BE5">
              <w:rPr>
                <w:rFonts w:ascii="Arial" w:hAnsi="Arial" w:cs="Arial"/>
                <w:sz w:val="4"/>
                <w:szCs w:val="8"/>
                <w:lang w:val="sq-AL"/>
              </w:rPr>
              <w:t xml:space="preserve"> </w:t>
            </w:r>
            <w:r w:rsidRPr="006D6BE5">
              <w:rPr>
                <w:rFonts w:ascii="Arial" w:hAnsi="Arial" w:cs="Arial"/>
                <w:sz w:val="4"/>
                <w:szCs w:val="8"/>
                <w:lang w:val="sq-AL"/>
              </w:rPr>
              <w:t>performancës mjedisore të produkteve;</w:t>
            </w:r>
            <w:r w:rsidRPr="006D6BE5">
              <w:rPr>
                <w:rFonts w:ascii="Arial" w:hAnsi="Arial" w:cs="Arial"/>
                <w:sz w:val="4"/>
                <w:szCs w:val="8"/>
                <w:lang w:val="sq-AL"/>
              </w:rPr>
              <w:br w:type="page"/>
              <w:t>3. Vendosjen</w:t>
            </w:r>
            <w:r w:rsidR="006D6BE5">
              <w:rPr>
                <w:rFonts w:ascii="Arial" w:hAnsi="Arial" w:cs="Arial"/>
                <w:sz w:val="4"/>
                <w:szCs w:val="8"/>
                <w:lang w:val="sq-AL"/>
              </w:rPr>
              <w:t xml:space="preserve"> </w:t>
            </w:r>
            <w:r w:rsidRPr="006D6BE5">
              <w:rPr>
                <w:rFonts w:ascii="Arial" w:hAnsi="Arial" w:cs="Arial"/>
                <w:sz w:val="4"/>
                <w:szCs w:val="8"/>
                <w:lang w:val="sq-AL"/>
              </w:rPr>
              <w:t>e detyrimeve për prodhuesit e produkteve me ndikim në energji;</w:t>
            </w:r>
            <w:r w:rsidRPr="006D6BE5">
              <w:rPr>
                <w:rFonts w:ascii="Arial" w:hAnsi="Arial" w:cs="Arial"/>
                <w:sz w:val="4"/>
                <w:szCs w:val="8"/>
                <w:lang w:val="sq-AL"/>
              </w:rPr>
              <w:br w:type="page"/>
              <w:t>4. Sigurimin e lëvizjes së lirë të kësaj kategorie produktesh. Aktivitetet:</w:t>
            </w:r>
            <w:r w:rsidR="006D6BE5">
              <w:rPr>
                <w:rFonts w:ascii="Arial" w:hAnsi="Arial" w:cs="Arial"/>
                <w:sz w:val="4"/>
                <w:szCs w:val="8"/>
                <w:lang w:val="sq-AL"/>
              </w:rPr>
              <w:t xml:space="preserve">       </w:t>
            </w:r>
            <w:r w:rsidRPr="006D6BE5">
              <w:rPr>
                <w:rFonts w:ascii="Arial" w:hAnsi="Arial" w:cs="Arial"/>
                <w:sz w:val="4"/>
                <w:szCs w:val="8"/>
                <w:lang w:val="sq-AL"/>
              </w:rPr>
              <w:t>1. Përgatitja e projektligjit dhe dokumenteve te tjera shoqëruese</w:t>
            </w:r>
            <w:r w:rsidR="006D6BE5">
              <w:rPr>
                <w:rFonts w:ascii="Arial" w:hAnsi="Arial" w:cs="Arial"/>
                <w:sz w:val="4"/>
                <w:szCs w:val="8"/>
                <w:lang w:val="sq-AL"/>
              </w:rPr>
              <w:t xml:space="preserve"> </w:t>
            </w:r>
            <w:r w:rsidRPr="006D6BE5">
              <w:rPr>
                <w:rFonts w:ascii="Arial" w:hAnsi="Arial" w:cs="Arial"/>
                <w:sz w:val="4"/>
                <w:szCs w:val="8"/>
                <w:lang w:val="sq-AL"/>
              </w:rPr>
              <w:t>(tabela e përputhshmërisë, relacioni, RIA);</w:t>
            </w:r>
            <w:r w:rsidR="006D6BE5">
              <w:rPr>
                <w:rFonts w:ascii="Arial" w:hAnsi="Arial" w:cs="Arial"/>
                <w:sz w:val="4"/>
                <w:szCs w:val="8"/>
                <w:lang w:val="sq-AL"/>
              </w:rPr>
              <w:t xml:space="preserve">     </w:t>
            </w:r>
            <w:r w:rsidRPr="006D6BE5">
              <w:rPr>
                <w:rFonts w:ascii="Arial" w:hAnsi="Arial" w:cs="Arial"/>
                <w:sz w:val="4"/>
                <w:szCs w:val="8"/>
                <w:lang w:val="sq-AL"/>
              </w:rPr>
              <w:t xml:space="preserve"> 2. Ndjekja e procesit të konsultimit te projektligjit me ministritë e linjës dhe palët e tjera të interesuara;</w:t>
            </w:r>
            <w:r w:rsidR="006D6BE5">
              <w:rPr>
                <w:rFonts w:ascii="Arial" w:hAnsi="Arial" w:cs="Arial"/>
                <w:sz w:val="4"/>
                <w:szCs w:val="8"/>
                <w:lang w:val="sq-AL"/>
              </w:rPr>
              <w:t xml:space="preserve">   </w:t>
            </w:r>
            <w:r w:rsidRPr="006D6BE5">
              <w:rPr>
                <w:rFonts w:ascii="Arial" w:hAnsi="Arial" w:cs="Arial"/>
                <w:sz w:val="4"/>
                <w:szCs w:val="8"/>
                <w:lang w:val="sq-AL"/>
              </w:rPr>
              <w:t>3. Ndjekja e procedurës së miratimit të projektligjit.</w:t>
            </w:r>
          </w:p>
        </w:tc>
        <w:tc>
          <w:tcPr>
            <w:tcW w:w="126" w:type="pct"/>
            <w:tcBorders>
              <w:top w:val="nil"/>
              <w:left w:val="nil"/>
              <w:bottom w:val="single" w:sz="4" w:space="0" w:color="auto"/>
              <w:right w:val="single" w:sz="4" w:space="0" w:color="auto"/>
            </w:tcBorders>
            <w:shd w:val="clear" w:color="auto" w:fill="auto"/>
            <w:vAlign w:val="center"/>
            <w:hideMark/>
          </w:tcPr>
          <w:p w14:paraId="011E2BC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7D81B9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74A9A4F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2B29ED1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0279A47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FA613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14E06DA" w14:textId="757064DC" w:rsidR="00482167" w:rsidRPr="006D6BE5" w:rsidRDefault="006D6BE5" w:rsidP="00A7241A">
            <w:pPr>
              <w:rPr>
                <w:rFonts w:ascii="Arial" w:hAnsi="Arial" w:cs="Arial"/>
                <w:sz w:val="4"/>
                <w:szCs w:val="8"/>
                <w:lang w:val="sq-AL"/>
              </w:rPr>
            </w:pPr>
            <w:r>
              <w:rPr>
                <w:rFonts w:ascii="Arial" w:hAnsi="Arial" w:cs="Arial"/>
                <w:sz w:val="4"/>
                <w:szCs w:val="8"/>
                <w:lang w:val="sq-AL"/>
              </w:rPr>
              <w:t xml:space="preserve">         </w:t>
            </w:r>
            <w:r w:rsidR="00482167" w:rsidRPr="006D6BE5">
              <w:rPr>
                <w:rFonts w:ascii="Arial" w:hAnsi="Arial" w:cs="Arial"/>
                <w:sz w:val="4"/>
                <w:szCs w:val="8"/>
                <w:lang w:val="sq-AL"/>
              </w:rPr>
              <w:t xml:space="preserve">11,908 </w:t>
            </w:r>
          </w:p>
        </w:tc>
        <w:tc>
          <w:tcPr>
            <w:tcW w:w="126" w:type="pct"/>
            <w:tcBorders>
              <w:top w:val="nil"/>
              <w:left w:val="nil"/>
              <w:bottom w:val="single" w:sz="4" w:space="0" w:color="auto"/>
              <w:right w:val="single" w:sz="4" w:space="0" w:color="auto"/>
            </w:tcBorders>
            <w:shd w:val="clear" w:color="FFFFFF" w:fill="FFFFFF"/>
            <w:vAlign w:val="center"/>
            <w:hideMark/>
          </w:tcPr>
          <w:p w14:paraId="5969C7B7" w14:textId="60166341" w:rsidR="00482167" w:rsidRPr="006D6BE5" w:rsidRDefault="006D6BE5" w:rsidP="00A7241A">
            <w:pPr>
              <w:rPr>
                <w:rFonts w:ascii="Arial" w:hAnsi="Arial" w:cs="Arial"/>
                <w:sz w:val="4"/>
                <w:szCs w:val="8"/>
                <w:lang w:val="sq-AL"/>
              </w:rPr>
            </w:pPr>
            <w:r>
              <w:rPr>
                <w:rFonts w:ascii="Arial" w:hAnsi="Arial" w:cs="Arial"/>
                <w:sz w:val="4"/>
                <w:szCs w:val="8"/>
                <w:lang w:val="sq-AL"/>
              </w:rPr>
              <w:t xml:space="preserve">       </w:t>
            </w:r>
            <w:r w:rsidR="00482167" w:rsidRPr="006D6BE5">
              <w:rPr>
                <w:rFonts w:ascii="Arial" w:hAnsi="Arial" w:cs="Arial"/>
                <w:sz w:val="4"/>
                <w:szCs w:val="8"/>
                <w:lang w:val="sq-AL"/>
              </w:rPr>
              <w:t xml:space="preserve"> 23,816 </w:t>
            </w:r>
          </w:p>
        </w:tc>
        <w:tc>
          <w:tcPr>
            <w:tcW w:w="117" w:type="pct"/>
            <w:tcBorders>
              <w:top w:val="nil"/>
              <w:left w:val="nil"/>
              <w:bottom w:val="single" w:sz="4" w:space="0" w:color="auto"/>
              <w:right w:val="single" w:sz="4" w:space="0" w:color="auto"/>
            </w:tcBorders>
            <w:shd w:val="clear" w:color="FFFFFF" w:fill="FFFFFF"/>
            <w:vAlign w:val="center"/>
            <w:hideMark/>
          </w:tcPr>
          <w:p w14:paraId="4A1F8E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7A3CD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214A4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FC9A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1B049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F76A01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B56D3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3CEC62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38350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Përqasja e Vjetër</w:t>
            </w:r>
          </w:p>
        </w:tc>
        <w:tc>
          <w:tcPr>
            <w:tcW w:w="171" w:type="pct"/>
            <w:tcBorders>
              <w:top w:val="nil"/>
              <w:left w:val="nil"/>
              <w:bottom w:val="single" w:sz="4" w:space="0" w:color="auto"/>
              <w:right w:val="single" w:sz="4" w:space="0" w:color="auto"/>
            </w:tcBorders>
            <w:shd w:val="clear" w:color="FFFFFF" w:fill="FFFFFF"/>
            <w:vAlign w:val="center"/>
            <w:hideMark/>
          </w:tcPr>
          <w:p w14:paraId="6FC570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Mjetet Motorrike</w:t>
            </w:r>
          </w:p>
        </w:tc>
        <w:tc>
          <w:tcPr>
            <w:tcW w:w="661" w:type="pct"/>
            <w:tcBorders>
              <w:top w:val="nil"/>
              <w:left w:val="nil"/>
              <w:bottom w:val="single" w:sz="4" w:space="0" w:color="auto"/>
              <w:right w:val="single" w:sz="4" w:space="0" w:color="auto"/>
            </w:tcBorders>
            <w:shd w:val="clear" w:color="FFFFFF" w:fill="FFFFFF"/>
            <w:vAlign w:val="center"/>
            <w:hideMark/>
          </w:tcPr>
          <w:p w14:paraId="047D23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2018/858 e Parlamentit Evropian dhe e Këshillit e datës 30 maj 2018 për miratimin dhe mbikëqyrjen e tregut të mjeteve motorike dhe rimorkiove të tyre, si dhe të sistemeve, komponentëve dhe njësive të veçanta teknike të destinuara për automjete të tilla, duke ndryshuar Rregulloret (KE ) Nr 715/2007 dhe (EC) Nr 595/2009 dhe shfuqizimin e Direktivës 2007/46/EC</w:t>
            </w:r>
          </w:p>
        </w:tc>
        <w:tc>
          <w:tcPr>
            <w:tcW w:w="668" w:type="pct"/>
            <w:tcBorders>
              <w:top w:val="nil"/>
              <w:left w:val="nil"/>
              <w:bottom w:val="single" w:sz="4" w:space="0" w:color="auto"/>
              <w:right w:val="single" w:sz="4" w:space="0" w:color="auto"/>
            </w:tcBorders>
            <w:shd w:val="clear" w:color="FFFFFF" w:fill="FFFFFF"/>
            <w:vAlign w:val="center"/>
            <w:hideMark/>
          </w:tcPr>
          <w:p w14:paraId="4FC4ED08"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32018R0858</w:t>
            </w:r>
          </w:p>
        </w:tc>
        <w:tc>
          <w:tcPr>
            <w:tcW w:w="506" w:type="pct"/>
            <w:tcBorders>
              <w:top w:val="nil"/>
              <w:left w:val="nil"/>
              <w:bottom w:val="single" w:sz="4" w:space="0" w:color="auto"/>
              <w:right w:val="single" w:sz="4" w:space="0" w:color="auto"/>
            </w:tcBorders>
            <w:shd w:val="clear" w:color="auto" w:fill="auto"/>
            <w:vAlign w:val="center"/>
            <w:hideMark/>
          </w:tcPr>
          <w:p w14:paraId="50C61CF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B52913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disa ndryshime në VKM Nr. 153, date 7.4.2000 "Rregullorja e zbatimit të Kodit Rrugor të Republikës së Shqipërisë, e ndryshuar""</w:t>
            </w:r>
          </w:p>
        </w:tc>
        <w:tc>
          <w:tcPr>
            <w:tcW w:w="330" w:type="pct"/>
            <w:tcBorders>
              <w:top w:val="nil"/>
              <w:left w:val="nil"/>
              <w:bottom w:val="single" w:sz="4" w:space="0" w:color="auto"/>
              <w:right w:val="single" w:sz="4" w:space="0" w:color="auto"/>
            </w:tcBorders>
            <w:shd w:val="clear" w:color="auto" w:fill="auto"/>
            <w:vAlign w:val="center"/>
            <w:hideMark/>
          </w:tcPr>
          <w:p w14:paraId="0998CDA2" w14:textId="242DF562" w:rsidR="00482167" w:rsidRPr="006D6BE5" w:rsidRDefault="00482167" w:rsidP="00A7241A">
            <w:pPr>
              <w:rPr>
                <w:rFonts w:ascii="Arial" w:hAnsi="Arial" w:cs="Arial"/>
                <w:sz w:val="4"/>
                <w:szCs w:val="8"/>
                <w:lang w:val="sq-AL"/>
              </w:rPr>
            </w:pPr>
            <w:r w:rsidRPr="006D6BE5">
              <w:rPr>
                <w:rFonts w:ascii="Arial" w:hAnsi="Arial" w:cs="Arial"/>
                <w:sz w:val="4"/>
                <w:szCs w:val="8"/>
                <w:lang w:val="sq-AL"/>
              </w:rPr>
              <w:t>Rishikimi i dispozitave të Rregullores për zbatimin e Kodit Rrugor në lidhje me miratimin e tipit të mjeteve motorike dhe mbikëqyrjes së tregut</w:t>
            </w:r>
            <w:r w:rsidR="006D6BE5">
              <w:rPr>
                <w:rFonts w:ascii="Arial" w:hAnsi="Arial" w:cs="Arial"/>
                <w:sz w:val="4"/>
                <w:szCs w:val="8"/>
                <w:lang w:val="sq-AL"/>
              </w:rPr>
              <w:t xml:space="preserve"> </w:t>
            </w:r>
            <w:r w:rsidRPr="006D6BE5">
              <w:rPr>
                <w:rFonts w:ascii="Arial" w:hAnsi="Arial" w:cs="Arial"/>
                <w:sz w:val="4"/>
                <w:szCs w:val="8"/>
                <w:lang w:val="sq-AL"/>
              </w:rPr>
              <w:t xml:space="preserve">VKM Nr. 153, datë 7.4.200, e ndryshuar </w:t>
            </w:r>
          </w:p>
        </w:tc>
        <w:tc>
          <w:tcPr>
            <w:tcW w:w="126" w:type="pct"/>
            <w:tcBorders>
              <w:top w:val="nil"/>
              <w:left w:val="nil"/>
              <w:bottom w:val="single" w:sz="4" w:space="0" w:color="auto"/>
              <w:right w:val="single" w:sz="4" w:space="0" w:color="auto"/>
            </w:tcBorders>
            <w:shd w:val="clear" w:color="auto" w:fill="auto"/>
            <w:vAlign w:val="center"/>
            <w:hideMark/>
          </w:tcPr>
          <w:p w14:paraId="4615889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3268A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389A96C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1D9715D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482D2F1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873A3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748B7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BAD65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61A1A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845B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ABF12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F23B0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73AA2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BCDA9E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4E97B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w:t>
            </w:r>
          </w:p>
        </w:tc>
        <w:tc>
          <w:tcPr>
            <w:tcW w:w="144" w:type="pct"/>
            <w:tcBorders>
              <w:top w:val="nil"/>
              <w:left w:val="nil"/>
              <w:bottom w:val="single" w:sz="4" w:space="0" w:color="auto"/>
              <w:right w:val="single" w:sz="4" w:space="0" w:color="auto"/>
            </w:tcBorders>
            <w:shd w:val="clear" w:color="FFFFFF" w:fill="FFFFFF"/>
            <w:vAlign w:val="center"/>
            <w:hideMark/>
          </w:tcPr>
          <w:p w14:paraId="5C2B77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AA4F2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Masat procedurale </w:t>
            </w:r>
          </w:p>
        </w:tc>
        <w:tc>
          <w:tcPr>
            <w:tcW w:w="171" w:type="pct"/>
            <w:tcBorders>
              <w:top w:val="nil"/>
              <w:left w:val="nil"/>
              <w:bottom w:val="single" w:sz="4" w:space="0" w:color="auto"/>
              <w:right w:val="single" w:sz="4" w:space="0" w:color="auto"/>
            </w:tcBorders>
            <w:shd w:val="clear" w:color="FFFFFF" w:fill="FFFFFF"/>
            <w:vAlign w:val="center"/>
            <w:hideMark/>
          </w:tcPr>
          <w:p w14:paraId="74F9E6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Produktet Kulturore</w:t>
            </w:r>
          </w:p>
        </w:tc>
        <w:tc>
          <w:tcPr>
            <w:tcW w:w="661" w:type="pct"/>
            <w:tcBorders>
              <w:top w:val="nil"/>
              <w:left w:val="nil"/>
              <w:bottom w:val="single" w:sz="4" w:space="0" w:color="auto"/>
              <w:right w:val="single" w:sz="4" w:space="0" w:color="auto"/>
            </w:tcBorders>
            <w:shd w:val="clear" w:color="FFFFFF" w:fill="FFFFFF"/>
            <w:vAlign w:val="center"/>
            <w:hideMark/>
          </w:tcPr>
          <w:p w14:paraId="320086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2014/60/BE e Parlamentit Evropian dhe e Këshillit e datës 15 maj 2014 për kthimin e objekteve kulturore të hequra në mënyrë të paligjshme nga territori i një shteti anëtar</w:t>
            </w:r>
          </w:p>
        </w:tc>
        <w:tc>
          <w:tcPr>
            <w:tcW w:w="668" w:type="pct"/>
            <w:tcBorders>
              <w:top w:val="nil"/>
              <w:left w:val="nil"/>
              <w:bottom w:val="single" w:sz="4" w:space="0" w:color="auto"/>
              <w:right w:val="single" w:sz="4" w:space="0" w:color="auto"/>
            </w:tcBorders>
            <w:shd w:val="clear" w:color="FFFFFF" w:fill="FFFFFF"/>
            <w:vAlign w:val="center"/>
            <w:hideMark/>
          </w:tcPr>
          <w:p w14:paraId="59366ADF"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xml:space="preserve"> 32014L0060</w:t>
            </w:r>
          </w:p>
        </w:tc>
        <w:tc>
          <w:tcPr>
            <w:tcW w:w="506" w:type="pct"/>
            <w:tcBorders>
              <w:top w:val="nil"/>
              <w:left w:val="nil"/>
              <w:bottom w:val="single" w:sz="4" w:space="0" w:color="auto"/>
              <w:right w:val="single" w:sz="4" w:space="0" w:color="auto"/>
            </w:tcBorders>
            <w:shd w:val="clear" w:color="auto" w:fill="auto"/>
            <w:vAlign w:val="center"/>
            <w:hideMark/>
          </w:tcPr>
          <w:p w14:paraId="17AEC7D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734C93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disa ndryshime dhe shtesa në Ligjin 27/2018 "Për Trashëgiminë Kulturore dhe Muzetë"</w:t>
            </w:r>
          </w:p>
        </w:tc>
        <w:tc>
          <w:tcPr>
            <w:tcW w:w="330" w:type="pct"/>
            <w:tcBorders>
              <w:top w:val="nil"/>
              <w:left w:val="nil"/>
              <w:bottom w:val="single" w:sz="4" w:space="0" w:color="auto"/>
              <w:right w:val="single" w:sz="4" w:space="0" w:color="auto"/>
            </w:tcBorders>
            <w:shd w:val="clear" w:color="auto" w:fill="auto"/>
            <w:vAlign w:val="center"/>
            <w:hideMark/>
          </w:tcPr>
          <w:p w14:paraId="2F17009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Rishikimi i dispozitave të ligjit 27/2018 "Për Trashëgiminë Kulturore dhe Muzetë" synon përafrimin e plotë me rregullat, procedurat e kthimit të objekteve kulturore të hequra në mënyrë të paligjshme nga territori i një shteti anëtar, sipas direktives së EU për objektet kulturore</w:t>
            </w:r>
          </w:p>
        </w:tc>
        <w:tc>
          <w:tcPr>
            <w:tcW w:w="126" w:type="pct"/>
            <w:tcBorders>
              <w:top w:val="nil"/>
              <w:left w:val="nil"/>
              <w:bottom w:val="single" w:sz="4" w:space="0" w:color="auto"/>
              <w:right w:val="single" w:sz="4" w:space="0" w:color="auto"/>
            </w:tcBorders>
            <w:shd w:val="clear" w:color="auto" w:fill="auto"/>
            <w:vAlign w:val="center"/>
            <w:hideMark/>
          </w:tcPr>
          <w:p w14:paraId="207F807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56714C7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538F8A9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MK</w:t>
            </w:r>
          </w:p>
        </w:tc>
        <w:tc>
          <w:tcPr>
            <w:tcW w:w="113" w:type="pct"/>
            <w:tcBorders>
              <w:top w:val="nil"/>
              <w:left w:val="nil"/>
              <w:bottom w:val="single" w:sz="4" w:space="0" w:color="auto"/>
              <w:right w:val="single" w:sz="4" w:space="0" w:color="auto"/>
            </w:tcBorders>
            <w:shd w:val="clear" w:color="auto" w:fill="auto"/>
            <w:vAlign w:val="center"/>
            <w:hideMark/>
          </w:tcPr>
          <w:p w14:paraId="44C5558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616F8B4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F3F6E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F8E3F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F1F4D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EE67F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BC8B2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D7B5F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103FF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174E0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8D5C0C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BFB41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w:t>
            </w:r>
          </w:p>
        </w:tc>
        <w:tc>
          <w:tcPr>
            <w:tcW w:w="144" w:type="pct"/>
            <w:tcBorders>
              <w:top w:val="nil"/>
              <w:left w:val="nil"/>
              <w:bottom w:val="single" w:sz="4" w:space="0" w:color="auto"/>
              <w:right w:val="single" w:sz="4" w:space="0" w:color="auto"/>
            </w:tcBorders>
            <w:shd w:val="clear" w:color="FFFFFF" w:fill="FFFFFF"/>
            <w:vAlign w:val="center"/>
            <w:hideMark/>
          </w:tcPr>
          <w:p w14:paraId="40FB9C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FBE92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Akses në Tregun e Punës </w:t>
            </w:r>
          </w:p>
        </w:tc>
        <w:tc>
          <w:tcPr>
            <w:tcW w:w="171" w:type="pct"/>
            <w:tcBorders>
              <w:top w:val="nil"/>
              <w:left w:val="nil"/>
              <w:bottom w:val="single" w:sz="4" w:space="0" w:color="auto"/>
              <w:right w:val="single" w:sz="4" w:space="0" w:color="auto"/>
            </w:tcBorders>
            <w:shd w:val="clear" w:color="FFFFFF" w:fill="FFFFFF"/>
            <w:vAlign w:val="center"/>
            <w:hideMark/>
          </w:tcPr>
          <w:p w14:paraId="1D0316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Aksesi ne informacion dhe shperndarja e informacionit mbi te drejtat e punonjësve migratë të BE dhe anëtarëve të familjeve të tyre </w:t>
            </w:r>
          </w:p>
        </w:tc>
        <w:tc>
          <w:tcPr>
            <w:tcW w:w="661" w:type="pct"/>
            <w:tcBorders>
              <w:top w:val="nil"/>
              <w:left w:val="nil"/>
              <w:bottom w:val="single" w:sz="4" w:space="0" w:color="auto"/>
              <w:right w:val="single" w:sz="4" w:space="0" w:color="auto"/>
            </w:tcBorders>
            <w:shd w:val="clear" w:color="FFFFFF" w:fill="FFFFFF"/>
            <w:vAlign w:val="center"/>
            <w:hideMark/>
          </w:tcPr>
          <w:p w14:paraId="1A7166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2014/54/BE e Parlamentit Evropian dhe e Këshillit e datës 16 Prill 2014 mbi masat që lehtësojnë ushtrimin e të drejtave që u jepen punonjësve në kontekstin e lirisë së lëvizjes . </w:t>
            </w:r>
          </w:p>
        </w:tc>
        <w:tc>
          <w:tcPr>
            <w:tcW w:w="668" w:type="pct"/>
            <w:tcBorders>
              <w:top w:val="nil"/>
              <w:left w:val="nil"/>
              <w:bottom w:val="single" w:sz="4" w:space="0" w:color="auto"/>
              <w:right w:val="single" w:sz="4" w:space="0" w:color="auto"/>
            </w:tcBorders>
            <w:shd w:val="clear" w:color="FFFFFF" w:fill="FFFFFF"/>
            <w:vAlign w:val="center"/>
            <w:hideMark/>
          </w:tcPr>
          <w:p w14:paraId="0B6EB507" w14:textId="77777777" w:rsidR="00482167" w:rsidRPr="006D6BE5" w:rsidRDefault="00E63D69" w:rsidP="00A7241A">
            <w:pPr>
              <w:rPr>
                <w:rFonts w:ascii="Arial" w:hAnsi="Arial" w:cs="Arial"/>
                <w:color w:val="0563C1"/>
                <w:sz w:val="4"/>
                <w:szCs w:val="8"/>
                <w:u w:val="single"/>
                <w:lang w:val="sq-AL"/>
              </w:rPr>
            </w:pPr>
            <w:hyperlink r:id="rId43" w:history="1">
              <w:r w:rsidR="00482167" w:rsidRPr="006D6BE5">
                <w:rPr>
                  <w:rFonts w:ascii="Arial" w:hAnsi="Arial" w:cs="Arial"/>
                  <w:color w:val="0563C1"/>
                  <w:sz w:val="4"/>
                  <w:szCs w:val="8"/>
                  <w:u w:val="single"/>
                  <w:lang w:val="sq-AL"/>
                </w:rPr>
                <w:t>https://eur-lex.europa.eu/eli/dir/2014/54</w:t>
              </w:r>
            </w:hyperlink>
          </w:p>
        </w:tc>
        <w:tc>
          <w:tcPr>
            <w:tcW w:w="506" w:type="pct"/>
            <w:tcBorders>
              <w:top w:val="nil"/>
              <w:left w:val="nil"/>
              <w:bottom w:val="single" w:sz="4" w:space="0" w:color="auto"/>
              <w:right w:val="single" w:sz="4" w:space="0" w:color="auto"/>
            </w:tcBorders>
            <w:shd w:val="clear" w:color="FFFFFF" w:fill="FFFFFF"/>
            <w:vAlign w:val="center"/>
            <w:hideMark/>
          </w:tcPr>
          <w:p w14:paraId="312376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387B81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Ofrimi i informacionit të dedikuar on-line për punëtorët e BE dhe anëtarët e familjes së tyre për punësimin dhe qëndrimin për motive pune në territorin e RSH </w:t>
            </w:r>
          </w:p>
        </w:tc>
        <w:tc>
          <w:tcPr>
            <w:tcW w:w="330" w:type="pct"/>
            <w:tcBorders>
              <w:top w:val="nil"/>
              <w:left w:val="nil"/>
              <w:bottom w:val="single" w:sz="4" w:space="0" w:color="auto"/>
              <w:right w:val="single" w:sz="4" w:space="0" w:color="auto"/>
            </w:tcBorders>
            <w:shd w:val="clear" w:color="FFFFFF" w:fill="FFFFFF"/>
            <w:vAlign w:val="center"/>
            <w:hideMark/>
          </w:tcPr>
          <w:p w14:paraId="7514FA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Aksesi në tregun e punës</w:t>
            </w:r>
          </w:p>
        </w:tc>
        <w:tc>
          <w:tcPr>
            <w:tcW w:w="126" w:type="pct"/>
            <w:tcBorders>
              <w:top w:val="nil"/>
              <w:left w:val="nil"/>
              <w:bottom w:val="single" w:sz="4" w:space="0" w:color="auto"/>
              <w:right w:val="single" w:sz="4" w:space="0" w:color="auto"/>
            </w:tcBorders>
            <w:shd w:val="clear" w:color="FFFFFF" w:fill="FFFFFF"/>
            <w:vAlign w:val="center"/>
            <w:hideMark/>
          </w:tcPr>
          <w:p w14:paraId="40DC8B8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67E081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ADA70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90B9B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D5908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BB6DD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16347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8C3C3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93E34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686D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3101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1782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AEBF2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DBD3AF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B518F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w:t>
            </w:r>
          </w:p>
        </w:tc>
        <w:tc>
          <w:tcPr>
            <w:tcW w:w="144" w:type="pct"/>
            <w:tcBorders>
              <w:top w:val="nil"/>
              <w:left w:val="nil"/>
              <w:bottom w:val="single" w:sz="4" w:space="0" w:color="auto"/>
              <w:right w:val="single" w:sz="4" w:space="0" w:color="auto"/>
            </w:tcBorders>
            <w:shd w:val="clear" w:color="FFFFFF" w:fill="FFFFFF"/>
            <w:vAlign w:val="center"/>
            <w:hideMark/>
          </w:tcPr>
          <w:p w14:paraId="22FDC8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D0F33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Akses në Tregun e Punës; Koordinimi i skemave të sigurimeve shoqerore. </w:t>
            </w:r>
          </w:p>
        </w:tc>
        <w:tc>
          <w:tcPr>
            <w:tcW w:w="171" w:type="pct"/>
            <w:tcBorders>
              <w:top w:val="nil"/>
              <w:left w:val="nil"/>
              <w:bottom w:val="single" w:sz="4" w:space="0" w:color="auto"/>
              <w:right w:val="single" w:sz="4" w:space="0" w:color="auto"/>
            </w:tcBorders>
            <w:shd w:val="clear" w:color="FFFFFF" w:fill="FFFFFF"/>
            <w:vAlign w:val="center"/>
            <w:hideMark/>
          </w:tcPr>
          <w:p w14:paraId="4B4518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Analizë e legjislacionit</w:t>
            </w:r>
          </w:p>
        </w:tc>
        <w:tc>
          <w:tcPr>
            <w:tcW w:w="661" w:type="pct"/>
            <w:tcBorders>
              <w:top w:val="nil"/>
              <w:left w:val="nil"/>
              <w:bottom w:val="single" w:sz="4" w:space="0" w:color="auto"/>
              <w:right w:val="single" w:sz="4" w:space="0" w:color="auto"/>
            </w:tcBorders>
            <w:shd w:val="clear" w:color="FFFFFF" w:fill="FFFFFF"/>
            <w:vAlign w:val="center"/>
            <w:hideMark/>
          </w:tcPr>
          <w:p w14:paraId="34BD32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 Nr. 492/2011 e Parlamentit Evropian dhe e Këshillit e datës 5 prill 2011 për lirinë e lëvizjes së punëtorëve.</w:t>
            </w:r>
          </w:p>
        </w:tc>
        <w:tc>
          <w:tcPr>
            <w:tcW w:w="668" w:type="pct"/>
            <w:tcBorders>
              <w:top w:val="nil"/>
              <w:left w:val="nil"/>
              <w:bottom w:val="single" w:sz="4" w:space="0" w:color="auto"/>
              <w:right w:val="single" w:sz="4" w:space="0" w:color="auto"/>
            </w:tcBorders>
            <w:shd w:val="clear" w:color="FFFFFF" w:fill="FFFFFF"/>
            <w:vAlign w:val="center"/>
            <w:hideMark/>
          </w:tcPr>
          <w:p w14:paraId="59368719" w14:textId="77777777" w:rsidR="00482167" w:rsidRPr="006D6BE5" w:rsidRDefault="00E63D69" w:rsidP="00A7241A">
            <w:pPr>
              <w:rPr>
                <w:rFonts w:ascii="Arial" w:hAnsi="Arial" w:cs="Arial"/>
                <w:color w:val="0563C1"/>
                <w:sz w:val="4"/>
                <w:szCs w:val="8"/>
                <w:u w:val="single"/>
                <w:lang w:val="sq-AL"/>
              </w:rPr>
            </w:pPr>
            <w:hyperlink r:id="rId44" w:history="1">
              <w:r w:rsidR="00482167" w:rsidRPr="006D6BE5">
                <w:rPr>
                  <w:rFonts w:ascii="Arial" w:hAnsi="Arial" w:cs="Arial"/>
                  <w:color w:val="0563C1"/>
                  <w:sz w:val="4"/>
                  <w:szCs w:val="8"/>
                  <w:u w:val="single"/>
                  <w:lang w:val="sq-AL"/>
                </w:rPr>
                <w:t>EUR-Lex - 32011R0492 - EN - EUR-Lex (europa.eu)</w:t>
              </w:r>
            </w:hyperlink>
          </w:p>
        </w:tc>
        <w:tc>
          <w:tcPr>
            <w:tcW w:w="506" w:type="pct"/>
            <w:tcBorders>
              <w:top w:val="nil"/>
              <w:left w:val="nil"/>
              <w:bottom w:val="single" w:sz="4" w:space="0" w:color="auto"/>
              <w:right w:val="single" w:sz="4" w:space="0" w:color="auto"/>
            </w:tcBorders>
            <w:shd w:val="clear" w:color="FFFFFF" w:fill="FFFFFF"/>
            <w:vAlign w:val="center"/>
            <w:hideMark/>
          </w:tcPr>
          <w:p w14:paraId="1BE9AA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6E3F5B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Përditësimi i TOC, LGA dhe IAGA me qëllim parashikimin e nderhyrjeve ligjore. </w:t>
            </w:r>
          </w:p>
        </w:tc>
        <w:tc>
          <w:tcPr>
            <w:tcW w:w="330" w:type="pct"/>
            <w:tcBorders>
              <w:top w:val="nil"/>
              <w:left w:val="nil"/>
              <w:bottom w:val="single" w:sz="4" w:space="0" w:color="auto"/>
              <w:right w:val="single" w:sz="4" w:space="0" w:color="auto"/>
            </w:tcBorders>
            <w:shd w:val="clear" w:color="FFFFFF" w:fill="FFFFFF"/>
            <w:vAlign w:val="center"/>
            <w:hideMark/>
          </w:tcPr>
          <w:p w14:paraId="0F93E3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Aksesi ne tregun e punës</w:t>
            </w:r>
          </w:p>
        </w:tc>
        <w:tc>
          <w:tcPr>
            <w:tcW w:w="126" w:type="pct"/>
            <w:tcBorders>
              <w:top w:val="nil"/>
              <w:left w:val="nil"/>
              <w:bottom w:val="single" w:sz="4" w:space="0" w:color="auto"/>
              <w:right w:val="single" w:sz="4" w:space="0" w:color="auto"/>
            </w:tcBorders>
            <w:shd w:val="clear" w:color="FFFFFF" w:fill="FFFFFF"/>
            <w:vAlign w:val="center"/>
            <w:hideMark/>
          </w:tcPr>
          <w:p w14:paraId="378D612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45D3FE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0DF70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46DE28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3B4BC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7B0FC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BDB5C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97F70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90BD0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55A88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4130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8E78F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684BF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9B0205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F8ACB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w:t>
            </w:r>
          </w:p>
        </w:tc>
        <w:tc>
          <w:tcPr>
            <w:tcW w:w="144" w:type="pct"/>
            <w:tcBorders>
              <w:top w:val="nil"/>
              <w:left w:val="nil"/>
              <w:bottom w:val="single" w:sz="4" w:space="0" w:color="auto"/>
              <w:right w:val="single" w:sz="4" w:space="0" w:color="auto"/>
            </w:tcBorders>
            <w:shd w:val="clear" w:color="FFFFFF" w:fill="FFFFFF"/>
            <w:vAlign w:val="center"/>
            <w:hideMark/>
          </w:tcPr>
          <w:p w14:paraId="7AA51E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B84D9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Akses në Tregun e Punës; Koordinimi i skemave të sigurimeve shoqerore. </w:t>
            </w:r>
          </w:p>
        </w:tc>
        <w:tc>
          <w:tcPr>
            <w:tcW w:w="171" w:type="pct"/>
            <w:tcBorders>
              <w:top w:val="nil"/>
              <w:left w:val="nil"/>
              <w:bottom w:val="single" w:sz="4" w:space="0" w:color="auto"/>
              <w:right w:val="single" w:sz="4" w:space="0" w:color="auto"/>
            </w:tcBorders>
            <w:shd w:val="clear" w:color="FFFFFF" w:fill="FFFFFF"/>
            <w:vAlign w:val="center"/>
            <w:hideMark/>
          </w:tcPr>
          <w:p w14:paraId="2286D2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Analizë e legjislacionit</w:t>
            </w:r>
          </w:p>
        </w:tc>
        <w:tc>
          <w:tcPr>
            <w:tcW w:w="661" w:type="pct"/>
            <w:tcBorders>
              <w:top w:val="nil"/>
              <w:left w:val="nil"/>
              <w:bottom w:val="single" w:sz="4" w:space="0" w:color="auto"/>
              <w:right w:val="single" w:sz="4" w:space="0" w:color="auto"/>
            </w:tcBorders>
            <w:shd w:val="clear" w:color="FFFFFF" w:fill="FFFFFF"/>
            <w:vAlign w:val="center"/>
            <w:hideMark/>
          </w:tcPr>
          <w:p w14:paraId="2944C8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2014/54/BE e Parlamentit Evropian dhe e Këshillit e datës 16 prill 2014 për masat që lehtësojnë ushtrimin e të drejtav të puntorëve.</w:t>
            </w:r>
          </w:p>
        </w:tc>
        <w:tc>
          <w:tcPr>
            <w:tcW w:w="668" w:type="pct"/>
            <w:tcBorders>
              <w:top w:val="nil"/>
              <w:left w:val="nil"/>
              <w:bottom w:val="single" w:sz="4" w:space="0" w:color="auto"/>
              <w:right w:val="single" w:sz="4" w:space="0" w:color="auto"/>
            </w:tcBorders>
            <w:shd w:val="clear" w:color="FFFFFF" w:fill="FFFFFF"/>
            <w:vAlign w:val="center"/>
            <w:hideMark/>
          </w:tcPr>
          <w:p w14:paraId="4ECA6D25"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https://eur-lex.europa.eu/legal-content/EN/TXT/?uri=CELEX:32014L0054</w:t>
            </w:r>
          </w:p>
        </w:tc>
        <w:tc>
          <w:tcPr>
            <w:tcW w:w="506" w:type="pct"/>
            <w:tcBorders>
              <w:top w:val="nil"/>
              <w:left w:val="nil"/>
              <w:bottom w:val="single" w:sz="4" w:space="0" w:color="auto"/>
              <w:right w:val="single" w:sz="4" w:space="0" w:color="auto"/>
            </w:tcBorders>
            <w:shd w:val="clear" w:color="FFFFFF" w:fill="FFFFFF"/>
            <w:vAlign w:val="center"/>
            <w:hideMark/>
          </w:tcPr>
          <w:p w14:paraId="46C9F2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4C7AD5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Përditësimi i TOC, LGA dhe IAGA me qëllim parashikimin e nderhyrjeve ligjore. </w:t>
            </w:r>
          </w:p>
        </w:tc>
        <w:tc>
          <w:tcPr>
            <w:tcW w:w="330" w:type="pct"/>
            <w:tcBorders>
              <w:top w:val="nil"/>
              <w:left w:val="nil"/>
              <w:bottom w:val="single" w:sz="4" w:space="0" w:color="auto"/>
              <w:right w:val="single" w:sz="4" w:space="0" w:color="auto"/>
            </w:tcBorders>
            <w:shd w:val="clear" w:color="FFFFFF" w:fill="FFFFFF"/>
            <w:vAlign w:val="center"/>
            <w:hideMark/>
          </w:tcPr>
          <w:p w14:paraId="1F57E5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Aksesi ne tregun e punës</w:t>
            </w:r>
          </w:p>
        </w:tc>
        <w:tc>
          <w:tcPr>
            <w:tcW w:w="126" w:type="pct"/>
            <w:tcBorders>
              <w:top w:val="nil"/>
              <w:left w:val="nil"/>
              <w:bottom w:val="single" w:sz="4" w:space="0" w:color="auto"/>
              <w:right w:val="single" w:sz="4" w:space="0" w:color="auto"/>
            </w:tcBorders>
            <w:shd w:val="clear" w:color="FFFFFF" w:fill="FFFFFF"/>
            <w:vAlign w:val="center"/>
            <w:hideMark/>
          </w:tcPr>
          <w:p w14:paraId="0A1C246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74ACD6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5B7C6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65206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3BE21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0234E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578F2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BF245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86CF7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76994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64C1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54D4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D6794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8F49C6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4D66E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w:t>
            </w:r>
          </w:p>
        </w:tc>
        <w:tc>
          <w:tcPr>
            <w:tcW w:w="144" w:type="pct"/>
            <w:tcBorders>
              <w:top w:val="nil"/>
              <w:left w:val="nil"/>
              <w:bottom w:val="single" w:sz="4" w:space="0" w:color="auto"/>
              <w:right w:val="single" w:sz="4" w:space="0" w:color="auto"/>
            </w:tcBorders>
            <w:shd w:val="clear" w:color="FFFFFF" w:fill="FFFFFF"/>
            <w:vAlign w:val="center"/>
            <w:hideMark/>
          </w:tcPr>
          <w:p w14:paraId="416B07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20FF9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Akses në Tregun e Punës; Koordinimi i skemave të sigurimeve shoqerore. </w:t>
            </w:r>
          </w:p>
        </w:tc>
        <w:tc>
          <w:tcPr>
            <w:tcW w:w="171" w:type="pct"/>
            <w:tcBorders>
              <w:top w:val="nil"/>
              <w:left w:val="nil"/>
              <w:bottom w:val="single" w:sz="4" w:space="0" w:color="auto"/>
              <w:right w:val="single" w:sz="4" w:space="0" w:color="auto"/>
            </w:tcBorders>
            <w:shd w:val="clear" w:color="FFFFFF" w:fill="FFFFFF"/>
            <w:vAlign w:val="center"/>
            <w:hideMark/>
          </w:tcPr>
          <w:p w14:paraId="79EC8A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Analizë e legjislacionit</w:t>
            </w:r>
          </w:p>
        </w:tc>
        <w:tc>
          <w:tcPr>
            <w:tcW w:w="661" w:type="pct"/>
            <w:tcBorders>
              <w:top w:val="nil"/>
              <w:left w:val="nil"/>
              <w:bottom w:val="single" w:sz="4" w:space="0" w:color="auto"/>
              <w:right w:val="single" w:sz="4" w:space="0" w:color="auto"/>
            </w:tcBorders>
            <w:shd w:val="clear" w:color="FFFFFF" w:fill="FFFFFF"/>
            <w:vAlign w:val="center"/>
            <w:hideMark/>
          </w:tcPr>
          <w:p w14:paraId="027BA5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2004/38/KEe Parlamentit Evropian dhe e Këshillit e datës 29 prill 2004 për të drejtat për lëvizje dhe qëndrim të lirë.</w:t>
            </w:r>
          </w:p>
        </w:tc>
        <w:tc>
          <w:tcPr>
            <w:tcW w:w="668" w:type="pct"/>
            <w:tcBorders>
              <w:top w:val="nil"/>
              <w:left w:val="nil"/>
              <w:bottom w:val="single" w:sz="4" w:space="0" w:color="auto"/>
              <w:right w:val="single" w:sz="4" w:space="0" w:color="auto"/>
            </w:tcBorders>
            <w:shd w:val="clear" w:color="FFFFFF" w:fill="FFFFFF"/>
            <w:vAlign w:val="center"/>
            <w:hideMark/>
          </w:tcPr>
          <w:p w14:paraId="5C89CCA3" w14:textId="77777777" w:rsidR="00482167" w:rsidRPr="006D6BE5" w:rsidRDefault="00E63D69" w:rsidP="00A7241A">
            <w:pPr>
              <w:rPr>
                <w:rFonts w:ascii="Arial" w:hAnsi="Arial" w:cs="Arial"/>
                <w:color w:val="0563C1"/>
                <w:sz w:val="4"/>
                <w:szCs w:val="8"/>
                <w:u w:val="single"/>
                <w:lang w:val="sq-AL"/>
              </w:rPr>
            </w:pPr>
            <w:hyperlink r:id="rId45" w:history="1">
              <w:r w:rsidR="00482167" w:rsidRPr="006D6BE5">
                <w:rPr>
                  <w:rFonts w:ascii="Arial" w:hAnsi="Arial" w:cs="Arial"/>
                  <w:color w:val="0563C1"/>
                  <w:sz w:val="4"/>
                  <w:szCs w:val="8"/>
                  <w:u w:val="single"/>
                  <w:lang w:val="sq-AL"/>
                </w:rPr>
                <w:t>https://eur-lex.europa.eu/legal-content/EN/TXT/?uri=celex%3A32004L0038</w:t>
              </w:r>
            </w:hyperlink>
          </w:p>
        </w:tc>
        <w:tc>
          <w:tcPr>
            <w:tcW w:w="506" w:type="pct"/>
            <w:tcBorders>
              <w:top w:val="nil"/>
              <w:left w:val="nil"/>
              <w:bottom w:val="single" w:sz="4" w:space="0" w:color="auto"/>
              <w:right w:val="single" w:sz="4" w:space="0" w:color="auto"/>
            </w:tcBorders>
            <w:shd w:val="clear" w:color="FFFFFF" w:fill="FFFFFF"/>
            <w:vAlign w:val="center"/>
            <w:hideMark/>
          </w:tcPr>
          <w:p w14:paraId="2D7C63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80517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Përditësimi i TOC, LGA dhe IAGA me qëllim parashikimin e nderhyrjeve ligjore. </w:t>
            </w:r>
          </w:p>
        </w:tc>
        <w:tc>
          <w:tcPr>
            <w:tcW w:w="330" w:type="pct"/>
            <w:tcBorders>
              <w:top w:val="nil"/>
              <w:left w:val="nil"/>
              <w:bottom w:val="single" w:sz="4" w:space="0" w:color="auto"/>
              <w:right w:val="single" w:sz="4" w:space="0" w:color="auto"/>
            </w:tcBorders>
            <w:shd w:val="clear" w:color="FFFFFF" w:fill="FFFFFF"/>
            <w:vAlign w:val="center"/>
            <w:hideMark/>
          </w:tcPr>
          <w:p w14:paraId="167106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Aksesi ne tregun e punës</w:t>
            </w:r>
          </w:p>
        </w:tc>
        <w:tc>
          <w:tcPr>
            <w:tcW w:w="126" w:type="pct"/>
            <w:tcBorders>
              <w:top w:val="nil"/>
              <w:left w:val="nil"/>
              <w:bottom w:val="single" w:sz="4" w:space="0" w:color="auto"/>
              <w:right w:val="single" w:sz="4" w:space="0" w:color="auto"/>
            </w:tcBorders>
            <w:shd w:val="clear" w:color="FFFFFF" w:fill="FFFFFF"/>
            <w:vAlign w:val="center"/>
            <w:hideMark/>
          </w:tcPr>
          <w:p w14:paraId="090F48B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2A65E0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1740B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BED91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405C9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D0D88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B34ED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888AE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E95A4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DE36B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9C77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5B0D4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BC894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E3F9F9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B2203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w:t>
            </w:r>
          </w:p>
        </w:tc>
        <w:tc>
          <w:tcPr>
            <w:tcW w:w="144" w:type="pct"/>
            <w:tcBorders>
              <w:top w:val="nil"/>
              <w:left w:val="nil"/>
              <w:bottom w:val="single" w:sz="4" w:space="0" w:color="auto"/>
              <w:right w:val="single" w:sz="4" w:space="0" w:color="auto"/>
            </w:tcBorders>
            <w:shd w:val="clear" w:color="FFFFFF" w:fill="FFFFFF"/>
            <w:vAlign w:val="center"/>
            <w:hideMark/>
          </w:tcPr>
          <w:p w14:paraId="32F983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93C7A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Shërbimeve</w:t>
            </w:r>
          </w:p>
        </w:tc>
        <w:tc>
          <w:tcPr>
            <w:tcW w:w="171" w:type="pct"/>
            <w:tcBorders>
              <w:top w:val="nil"/>
              <w:left w:val="nil"/>
              <w:bottom w:val="single" w:sz="4" w:space="0" w:color="auto"/>
              <w:right w:val="single" w:sz="4" w:space="0" w:color="auto"/>
            </w:tcBorders>
            <w:shd w:val="clear" w:color="FFFFFF" w:fill="FFFFFF"/>
            <w:vAlign w:val="center"/>
            <w:hideMark/>
          </w:tcPr>
          <w:p w14:paraId="1042E2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Seanca ligjore 1</w:t>
            </w:r>
            <w:r w:rsidRPr="006D6BE5">
              <w:rPr>
                <w:rFonts w:ascii="Arial" w:hAnsi="Arial" w:cs="Arial"/>
                <w:color w:val="000000"/>
                <w:sz w:val="4"/>
                <w:szCs w:val="8"/>
                <w:lang w:val="sq-AL"/>
              </w:rPr>
              <w:br/>
              <w:t>E drejta e themelimit dhe liria për të ofruar shërbime</w:t>
            </w:r>
            <w:r w:rsidRPr="006D6BE5">
              <w:rPr>
                <w:rFonts w:ascii="Arial" w:hAnsi="Arial" w:cs="Arial"/>
                <w:color w:val="000000"/>
                <w:sz w:val="4"/>
                <w:szCs w:val="8"/>
                <w:lang w:val="sq-AL"/>
              </w:rPr>
              <w:br/>
              <w:t>Direktiva e Shërbimeve</w:t>
            </w:r>
            <w:r w:rsidRPr="006D6BE5">
              <w:rPr>
                <w:rFonts w:ascii="Arial" w:hAnsi="Arial" w:cs="Arial"/>
                <w:color w:val="000000"/>
                <w:sz w:val="4"/>
                <w:szCs w:val="8"/>
                <w:lang w:val="sq-AL"/>
              </w:rPr>
              <w:br/>
              <w:t>Retail</w:t>
            </w:r>
          </w:p>
        </w:tc>
        <w:tc>
          <w:tcPr>
            <w:tcW w:w="661" w:type="pct"/>
            <w:tcBorders>
              <w:top w:val="nil"/>
              <w:left w:val="nil"/>
              <w:bottom w:val="single" w:sz="4" w:space="0" w:color="auto"/>
              <w:right w:val="single" w:sz="4" w:space="0" w:color="auto"/>
            </w:tcBorders>
            <w:shd w:val="clear" w:color="FFFFFF" w:fill="FFFFFF"/>
            <w:vAlign w:val="center"/>
            <w:hideMark/>
          </w:tcPr>
          <w:p w14:paraId="70E7F9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e Shërbimeve 2006/123/KE e Parlamentit Evropian dhe e Këshillit e datës 12 dhjetor 2006 mbi shërbimet në tregun e brendshëm. </w:t>
            </w:r>
          </w:p>
        </w:tc>
        <w:tc>
          <w:tcPr>
            <w:tcW w:w="668" w:type="pct"/>
            <w:tcBorders>
              <w:top w:val="nil"/>
              <w:left w:val="nil"/>
              <w:bottom w:val="single" w:sz="4" w:space="0" w:color="auto"/>
              <w:right w:val="single" w:sz="4" w:space="0" w:color="auto"/>
            </w:tcBorders>
            <w:shd w:val="clear" w:color="FFFFFF" w:fill="FFFFFF"/>
            <w:vAlign w:val="center"/>
            <w:hideMark/>
          </w:tcPr>
          <w:p w14:paraId="0E493A44" w14:textId="77777777" w:rsidR="00482167" w:rsidRPr="006D6BE5" w:rsidRDefault="00E63D69" w:rsidP="00A7241A">
            <w:pPr>
              <w:rPr>
                <w:rFonts w:ascii="Arial" w:hAnsi="Arial" w:cs="Arial"/>
                <w:color w:val="0563C1"/>
                <w:sz w:val="4"/>
                <w:szCs w:val="8"/>
                <w:u w:val="single"/>
                <w:lang w:val="sq-AL"/>
              </w:rPr>
            </w:pPr>
            <w:hyperlink r:id="rId46" w:history="1">
              <w:r w:rsidR="00482167" w:rsidRPr="006D6BE5">
                <w:rPr>
                  <w:rFonts w:ascii="Arial" w:hAnsi="Arial" w:cs="Arial"/>
                  <w:color w:val="0563C1"/>
                  <w:sz w:val="4"/>
                  <w:szCs w:val="8"/>
                  <w:u w:val="single"/>
                  <w:lang w:val="sq-AL"/>
                </w:rPr>
                <w:t>https://eur-lex.europa.eu/legal-content/EN/TXT/?uri=CELEX%3A32006L0123</w:t>
              </w:r>
            </w:hyperlink>
          </w:p>
        </w:tc>
        <w:tc>
          <w:tcPr>
            <w:tcW w:w="506" w:type="pct"/>
            <w:tcBorders>
              <w:top w:val="nil"/>
              <w:left w:val="nil"/>
              <w:bottom w:val="single" w:sz="4" w:space="0" w:color="auto"/>
              <w:right w:val="single" w:sz="4" w:space="0" w:color="auto"/>
            </w:tcBorders>
            <w:shd w:val="clear" w:color="FFFFFF" w:fill="FFFFFF"/>
            <w:vAlign w:val="center"/>
            <w:hideMark/>
          </w:tcPr>
          <w:p w14:paraId="2A4D09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872B3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ndryshime dhe plotësime në ligjin nr.66/2016 "Për shërbimet"</w:t>
            </w:r>
          </w:p>
        </w:tc>
        <w:tc>
          <w:tcPr>
            <w:tcW w:w="330" w:type="pct"/>
            <w:tcBorders>
              <w:top w:val="nil"/>
              <w:left w:val="nil"/>
              <w:bottom w:val="single" w:sz="4" w:space="0" w:color="auto"/>
              <w:right w:val="single" w:sz="4" w:space="0" w:color="auto"/>
            </w:tcBorders>
            <w:shd w:val="clear" w:color="FFFFFF" w:fill="FFFFFF"/>
            <w:vAlign w:val="center"/>
            <w:hideMark/>
          </w:tcPr>
          <w:p w14:paraId="134A84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Fusha e shërbimeve. Projektligji për shërbimet synon përafrim të plotë të Direktivës së Shërbimeve 2006/123/KE mbi shërbimet në tregun e brendshëm. </w:t>
            </w:r>
          </w:p>
        </w:tc>
        <w:tc>
          <w:tcPr>
            <w:tcW w:w="126" w:type="pct"/>
            <w:tcBorders>
              <w:top w:val="nil"/>
              <w:left w:val="nil"/>
              <w:bottom w:val="single" w:sz="4" w:space="0" w:color="auto"/>
              <w:right w:val="single" w:sz="4" w:space="0" w:color="auto"/>
            </w:tcBorders>
            <w:shd w:val="clear" w:color="FFFFFF" w:fill="FFFFFF"/>
            <w:vAlign w:val="center"/>
            <w:hideMark/>
          </w:tcPr>
          <w:p w14:paraId="2CD4CE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B0ED9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3B913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6E2C1A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D04D7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DC5FF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FE1AB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F7E75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15E06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F2300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CB5F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1883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46F55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F006A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9D941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w:t>
            </w:r>
          </w:p>
        </w:tc>
        <w:tc>
          <w:tcPr>
            <w:tcW w:w="144" w:type="pct"/>
            <w:tcBorders>
              <w:top w:val="nil"/>
              <w:left w:val="nil"/>
              <w:bottom w:val="single" w:sz="4" w:space="0" w:color="auto"/>
              <w:right w:val="single" w:sz="4" w:space="0" w:color="auto"/>
            </w:tcBorders>
            <w:shd w:val="clear" w:color="FFFFFF" w:fill="FFFFFF"/>
            <w:vAlign w:val="center"/>
            <w:hideMark/>
          </w:tcPr>
          <w:p w14:paraId="7EC359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75B97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Shërbimeve</w:t>
            </w:r>
          </w:p>
        </w:tc>
        <w:tc>
          <w:tcPr>
            <w:tcW w:w="171" w:type="pct"/>
            <w:tcBorders>
              <w:top w:val="nil"/>
              <w:left w:val="nil"/>
              <w:bottom w:val="single" w:sz="4" w:space="0" w:color="auto"/>
              <w:right w:val="single" w:sz="4" w:space="0" w:color="auto"/>
            </w:tcBorders>
            <w:shd w:val="clear" w:color="FFFFFF" w:fill="FFFFFF"/>
            <w:vAlign w:val="center"/>
            <w:hideMark/>
          </w:tcPr>
          <w:p w14:paraId="7FBCD6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Seanca ligjore 1</w:t>
            </w:r>
            <w:r w:rsidRPr="006D6BE5">
              <w:rPr>
                <w:rFonts w:ascii="Arial" w:hAnsi="Arial" w:cs="Arial"/>
                <w:color w:val="000000"/>
                <w:sz w:val="4"/>
                <w:szCs w:val="8"/>
                <w:lang w:val="sq-AL"/>
              </w:rPr>
              <w:br/>
              <w:t>E drejta e themelimit dhe liria për të ofruar shërbime</w:t>
            </w:r>
            <w:r w:rsidRPr="006D6BE5">
              <w:rPr>
                <w:rFonts w:ascii="Arial" w:hAnsi="Arial" w:cs="Arial"/>
                <w:color w:val="000000"/>
                <w:sz w:val="4"/>
                <w:szCs w:val="8"/>
                <w:lang w:val="sq-AL"/>
              </w:rPr>
              <w:br/>
              <w:t>Direktiva e Shërbimeve</w:t>
            </w:r>
            <w:r w:rsidRPr="006D6BE5">
              <w:rPr>
                <w:rFonts w:ascii="Arial" w:hAnsi="Arial" w:cs="Arial"/>
                <w:color w:val="000000"/>
                <w:sz w:val="4"/>
                <w:szCs w:val="8"/>
                <w:lang w:val="sq-AL"/>
              </w:rPr>
              <w:br/>
              <w:t>Retail</w:t>
            </w:r>
          </w:p>
        </w:tc>
        <w:tc>
          <w:tcPr>
            <w:tcW w:w="661" w:type="pct"/>
            <w:tcBorders>
              <w:top w:val="nil"/>
              <w:left w:val="nil"/>
              <w:bottom w:val="single" w:sz="4" w:space="0" w:color="auto"/>
              <w:right w:val="single" w:sz="4" w:space="0" w:color="auto"/>
            </w:tcBorders>
            <w:shd w:val="clear" w:color="FFFFFF" w:fill="FFFFFF"/>
            <w:vAlign w:val="center"/>
            <w:hideMark/>
          </w:tcPr>
          <w:p w14:paraId="0A8B73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e Shërbimeve 2006/123/KE e Parlamentit Evropian dhe e Këshillit e datës 12 dhjetor 2006 mbi shërbimet në tregun e brendshëm. </w:t>
            </w:r>
          </w:p>
        </w:tc>
        <w:tc>
          <w:tcPr>
            <w:tcW w:w="668" w:type="pct"/>
            <w:tcBorders>
              <w:top w:val="nil"/>
              <w:left w:val="nil"/>
              <w:bottom w:val="single" w:sz="4" w:space="0" w:color="auto"/>
              <w:right w:val="single" w:sz="4" w:space="0" w:color="auto"/>
            </w:tcBorders>
            <w:shd w:val="clear" w:color="FFFFFF" w:fill="FFFFFF"/>
            <w:vAlign w:val="center"/>
            <w:hideMark/>
          </w:tcPr>
          <w:p w14:paraId="22CA0F0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https://eur-lex.europa.eu/legal-content/EN/TXT/?uri=CELEX%3A32006L0123</w:t>
            </w:r>
          </w:p>
        </w:tc>
        <w:tc>
          <w:tcPr>
            <w:tcW w:w="506" w:type="pct"/>
            <w:tcBorders>
              <w:top w:val="nil"/>
              <w:left w:val="nil"/>
              <w:bottom w:val="single" w:sz="4" w:space="0" w:color="auto"/>
              <w:right w:val="single" w:sz="4" w:space="0" w:color="auto"/>
            </w:tcBorders>
            <w:shd w:val="clear" w:color="FFFFFF" w:fill="FFFFFF"/>
            <w:vAlign w:val="center"/>
            <w:hideMark/>
          </w:tcPr>
          <w:p w14:paraId="3CAFF7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5C46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Plani i Veprimit për Harmonizimin me Direktivën e Shërbimeve të BE-së - Ekzaminimi i legjislacionit sektorial</w:t>
            </w:r>
          </w:p>
        </w:tc>
        <w:tc>
          <w:tcPr>
            <w:tcW w:w="330" w:type="pct"/>
            <w:tcBorders>
              <w:top w:val="nil"/>
              <w:left w:val="nil"/>
              <w:bottom w:val="single" w:sz="4" w:space="0" w:color="auto"/>
              <w:right w:val="single" w:sz="4" w:space="0" w:color="auto"/>
            </w:tcBorders>
            <w:shd w:val="clear" w:color="FFFFFF" w:fill="FFFFFF"/>
            <w:vAlign w:val="center"/>
            <w:hideMark/>
          </w:tcPr>
          <w:p w14:paraId="1A59EB93" w14:textId="25C223E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shërbimeve. Urdhri i Ministrit, do adresojë zbatim të ndryshimeve të ligjit për shërbimet në përafrim të plotë të Direktivës së Shërbimeve 2006/123/KE mbi shërbimet në tregun e brendshëm. Ky akt do adresojë planifikimin e heqjes së barrierave në tregtinë e shërbimeve në përputhje me Direktivën dhe gjetjet e shqyrtimit, krahas përcaktimit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afateve kohore për rregullimet rregullatore në legjislacionin sektorial. </w:t>
            </w:r>
          </w:p>
        </w:tc>
        <w:tc>
          <w:tcPr>
            <w:tcW w:w="126" w:type="pct"/>
            <w:tcBorders>
              <w:top w:val="nil"/>
              <w:left w:val="nil"/>
              <w:bottom w:val="single" w:sz="4" w:space="0" w:color="auto"/>
              <w:right w:val="single" w:sz="4" w:space="0" w:color="auto"/>
            </w:tcBorders>
            <w:shd w:val="clear" w:color="FFFFFF" w:fill="FFFFFF"/>
            <w:vAlign w:val="center"/>
            <w:hideMark/>
          </w:tcPr>
          <w:p w14:paraId="06AF27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88607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18CC6F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5EBE9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66964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44D31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60725A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E189B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11D30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7DF7C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3BF2A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CE64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3E0B0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2C817D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C3D1C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w:t>
            </w:r>
          </w:p>
        </w:tc>
        <w:tc>
          <w:tcPr>
            <w:tcW w:w="144" w:type="pct"/>
            <w:tcBorders>
              <w:top w:val="nil"/>
              <w:left w:val="nil"/>
              <w:bottom w:val="single" w:sz="4" w:space="0" w:color="auto"/>
              <w:right w:val="single" w:sz="4" w:space="0" w:color="auto"/>
            </w:tcBorders>
            <w:shd w:val="clear" w:color="FFFFFF" w:fill="FFFFFF"/>
            <w:vAlign w:val="center"/>
            <w:hideMark/>
          </w:tcPr>
          <w:p w14:paraId="2F8890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FFFFFF" w:fill="FFFFFF"/>
            <w:vAlign w:val="center"/>
            <w:hideMark/>
          </w:tcPr>
          <w:p w14:paraId="251450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Njohja reciproke e kualifikimeve profesionale</w:t>
            </w:r>
          </w:p>
        </w:tc>
        <w:tc>
          <w:tcPr>
            <w:tcW w:w="171" w:type="pct"/>
            <w:tcBorders>
              <w:top w:val="nil"/>
              <w:left w:val="nil"/>
              <w:bottom w:val="single" w:sz="4" w:space="0" w:color="auto"/>
              <w:right w:val="single" w:sz="4" w:space="0" w:color="auto"/>
            </w:tcBorders>
            <w:shd w:val="clear" w:color="FFFFFF" w:fill="FFFFFF"/>
            <w:vAlign w:val="center"/>
            <w:hideMark/>
          </w:tcPr>
          <w:p w14:paraId="175F6F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Profesionet e rregulluara dhe njohja e kualifikimeve profesionale</w:t>
            </w:r>
          </w:p>
        </w:tc>
        <w:tc>
          <w:tcPr>
            <w:tcW w:w="661" w:type="pct"/>
            <w:tcBorders>
              <w:top w:val="nil"/>
              <w:left w:val="nil"/>
              <w:bottom w:val="single" w:sz="4" w:space="0" w:color="auto"/>
              <w:right w:val="single" w:sz="4" w:space="0" w:color="auto"/>
            </w:tcBorders>
            <w:shd w:val="clear" w:color="FFFFFF" w:fill="FFFFFF"/>
            <w:vAlign w:val="center"/>
            <w:hideMark/>
          </w:tcPr>
          <w:p w14:paraId="434DD0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2005/36/KE e Parlamentit Evropian dhe e Këshillit e 7 shtatorit 2005 mbi njohjen e kualifikimeve profesionale (Tekst me rëndësi për KEE)</w:t>
            </w:r>
            <w:r w:rsidRPr="006D6BE5">
              <w:rPr>
                <w:rFonts w:ascii="Arial" w:hAnsi="Arial" w:cs="Arial"/>
                <w:color w:val="000000"/>
                <w:sz w:val="4"/>
                <w:szCs w:val="8"/>
                <w:lang w:val="sq-AL"/>
              </w:rPr>
              <w:br/>
              <w:t>OJ L 255, 30.9.2005, p. 22–142</w:t>
            </w:r>
          </w:p>
        </w:tc>
        <w:tc>
          <w:tcPr>
            <w:tcW w:w="668" w:type="pct"/>
            <w:tcBorders>
              <w:top w:val="nil"/>
              <w:left w:val="nil"/>
              <w:bottom w:val="nil"/>
              <w:right w:val="nil"/>
            </w:tcBorders>
            <w:shd w:val="clear" w:color="auto" w:fill="auto"/>
            <w:vAlign w:val="center"/>
            <w:hideMark/>
          </w:tcPr>
          <w:p w14:paraId="1B37D1CC" w14:textId="77777777" w:rsidR="00482167" w:rsidRPr="006D6BE5" w:rsidRDefault="00E63D69" w:rsidP="00A7241A">
            <w:pPr>
              <w:rPr>
                <w:rFonts w:ascii="Arial" w:hAnsi="Arial" w:cs="Arial"/>
                <w:color w:val="0563C1"/>
                <w:sz w:val="4"/>
                <w:szCs w:val="8"/>
                <w:u w:val="single"/>
                <w:lang w:val="sq-AL"/>
              </w:rPr>
            </w:pPr>
            <w:hyperlink r:id="rId47" w:history="1">
              <w:r w:rsidR="00482167" w:rsidRPr="006D6BE5">
                <w:rPr>
                  <w:rFonts w:ascii="Arial" w:hAnsi="Arial" w:cs="Arial"/>
                  <w:color w:val="0563C1"/>
                  <w:sz w:val="4"/>
                  <w:szCs w:val="8"/>
                  <w:u w:val="single"/>
                  <w:lang w:val="sq-AL"/>
                </w:rPr>
                <w:t xml:space="preserve">EUR-Lex </w:t>
              </w:r>
              <w:r w:rsidR="00482167" w:rsidRPr="006D6BE5">
                <w:rPr>
                  <w:rFonts w:ascii="Arial" w:hAnsi="Arial" w:cs="Arial"/>
                  <w:color w:val="0563C1"/>
                  <w:sz w:val="4"/>
                  <w:szCs w:val="8"/>
                  <w:u w:val="single"/>
                  <w:lang w:val="sq-AL"/>
                </w:rPr>
                <w:br/>
                <w:t>- 02005L0036-20211210 - EN - EUR-Lex (europa.eu)</w:t>
              </w:r>
            </w:hyperlink>
          </w:p>
        </w:tc>
        <w:tc>
          <w:tcPr>
            <w:tcW w:w="506" w:type="pct"/>
            <w:tcBorders>
              <w:top w:val="nil"/>
              <w:left w:val="nil"/>
              <w:bottom w:val="single" w:sz="4" w:space="0" w:color="auto"/>
              <w:right w:val="single" w:sz="4" w:space="0" w:color="auto"/>
            </w:tcBorders>
            <w:shd w:val="clear" w:color="FFFFFF" w:fill="FFFFFF"/>
            <w:vAlign w:val="center"/>
            <w:hideMark/>
          </w:tcPr>
          <w:p w14:paraId="477840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B449E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"Mbi sistemet e njohjes së kualifikimeve profesionale"</w:t>
            </w:r>
          </w:p>
        </w:tc>
        <w:tc>
          <w:tcPr>
            <w:tcW w:w="330" w:type="pct"/>
            <w:tcBorders>
              <w:top w:val="nil"/>
              <w:left w:val="nil"/>
              <w:bottom w:val="single" w:sz="4" w:space="0" w:color="auto"/>
              <w:right w:val="single" w:sz="4" w:space="0" w:color="auto"/>
            </w:tcBorders>
            <w:shd w:val="clear" w:color="FFFFFF" w:fill="FFFFFF"/>
            <w:vAlign w:val="center"/>
            <w:hideMark/>
          </w:tcPr>
          <w:p w14:paraId="42864AC0" w14:textId="1E14519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shërbimeve. Njohja reciproke e kualifikimeve profesionale.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Projektligji "Mbi sistemet e njohjes se kualifikimeve profesionale" synon përafrimin e plotë të Direktivës së BE-së 2005/36/KE mbi njohjen e kualifikimeve profesionale.</w:t>
            </w:r>
          </w:p>
        </w:tc>
        <w:tc>
          <w:tcPr>
            <w:tcW w:w="126" w:type="pct"/>
            <w:tcBorders>
              <w:top w:val="nil"/>
              <w:left w:val="nil"/>
              <w:bottom w:val="single" w:sz="4" w:space="0" w:color="auto"/>
              <w:right w:val="single" w:sz="4" w:space="0" w:color="auto"/>
            </w:tcBorders>
            <w:shd w:val="clear" w:color="FFFFFF" w:fill="FFFFFF"/>
            <w:vAlign w:val="center"/>
            <w:hideMark/>
          </w:tcPr>
          <w:p w14:paraId="34EE6D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9EBF2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BB6EC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13" w:type="pct"/>
            <w:tcBorders>
              <w:top w:val="nil"/>
              <w:left w:val="nil"/>
              <w:bottom w:val="single" w:sz="4" w:space="0" w:color="auto"/>
              <w:right w:val="single" w:sz="4" w:space="0" w:color="auto"/>
            </w:tcBorders>
            <w:shd w:val="clear" w:color="FFFFFF" w:fill="FFFFFF"/>
            <w:vAlign w:val="center"/>
            <w:hideMark/>
          </w:tcPr>
          <w:p w14:paraId="23A4C5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32E65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5E8C6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Donator </w:t>
            </w:r>
          </w:p>
        </w:tc>
        <w:tc>
          <w:tcPr>
            <w:tcW w:w="120" w:type="pct"/>
            <w:tcBorders>
              <w:top w:val="nil"/>
              <w:left w:val="nil"/>
              <w:bottom w:val="single" w:sz="4" w:space="0" w:color="auto"/>
              <w:right w:val="single" w:sz="4" w:space="0" w:color="auto"/>
            </w:tcBorders>
            <w:shd w:val="clear" w:color="FFFFFF" w:fill="FFFFFF"/>
            <w:vAlign w:val="center"/>
            <w:hideMark/>
          </w:tcPr>
          <w:p w14:paraId="6E2236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19577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E1292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99C10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Donator </w:t>
            </w:r>
          </w:p>
        </w:tc>
        <w:tc>
          <w:tcPr>
            <w:tcW w:w="111" w:type="pct"/>
            <w:tcBorders>
              <w:top w:val="nil"/>
              <w:left w:val="nil"/>
              <w:bottom w:val="single" w:sz="4" w:space="0" w:color="auto"/>
              <w:right w:val="single" w:sz="4" w:space="0" w:color="auto"/>
            </w:tcBorders>
            <w:shd w:val="clear" w:color="FFFFFF" w:fill="FFFFFF"/>
            <w:vAlign w:val="center"/>
            <w:hideMark/>
          </w:tcPr>
          <w:p w14:paraId="332A3144" w14:textId="1668DA52"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1,400 </w:t>
            </w:r>
          </w:p>
        </w:tc>
        <w:tc>
          <w:tcPr>
            <w:tcW w:w="111" w:type="pct"/>
            <w:tcBorders>
              <w:top w:val="nil"/>
              <w:left w:val="nil"/>
              <w:bottom w:val="single" w:sz="4" w:space="0" w:color="auto"/>
              <w:right w:val="single" w:sz="4" w:space="0" w:color="auto"/>
            </w:tcBorders>
            <w:shd w:val="clear" w:color="FFFFFF" w:fill="FFFFFF"/>
            <w:vAlign w:val="center"/>
            <w:hideMark/>
          </w:tcPr>
          <w:p w14:paraId="74B0C8A1" w14:textId="091E22C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1,400 </w:t>
            </w:r>
          </w:p>
        </w:tc>
        <w:tc>
          <w:tcPr>
            <w:tcW w:w="101" w:type="pct"/>
            <w:tcBorders>
              <w:top w:val="nil"/>
              <w:left w:val="nil"/>
              <w:bottom w:val="single" w:sz="4" w:space="0" w:color="auto"/>
              <w:right w:val="single" w:sz="4" w:space="0" w:color="auto"/>
            </w:tcBorders>
            <w:shd w:val="clear" w:color="FFFFFF" w:fill="FFFFFF"/>
            <w:vAlign w:val="center"/>
            <w:hideMark/>
          </w:tcPr>
          <w:p w14:paraId="3D0DBA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8FBAEC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14790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w:t>
            </w:r>
          </w:p>
        </w:tc>
        <w:tc>
          <w:tcPr>
            <w:tcW w:w="144" w:type="pct"/>
            <w:tcBorders>
              <w:top w:val="nil"/>
              <w:left w:val="nil"/>
              <w:bottom w:val="single" w:sz="4" w:space="0" w:color="auto"/>
              <w:right w:val="single" w:sz="4" w:space="0" w:color="auto"/>
            </w:tcBorders>
            <w:shd w:val="clear" w:color="FFFFFF" w:fill="FFFFFF"/>
            <w:vAlign w:val="center"/>
            <w:hideMark/>
          </w:tcPr>
          <w:p w14:paraId="118C33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FFFFFF" w:fill="FFFFFF"/>
            <w:vAlign w:val="center"/>
            <w:hideMark/>
          </w:tcPr>
          <w:p w14:paraId="4AA5E2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Njohja reciproke e kualifikimeve profesionale</w:t>
            </w:r>
          </w:p>
        </w:tc>
        <w:tc>
          <w:tcPr>
            <w:tcW w:w="171" w:type="pct"/>
            <w:tcBorders>
              <w:top w:val="nil"/>
              <w:left w:val="nil"/>
              <w:bottom w:val="single" w:sz="4" w:space="0" w:color="auto"/>
              <w:right w:val="single" w:sz="4" w:space="0" w:color="auto"/>
            </w:tcBorders>
            <w:shd w:val="clear" w:color="FFFFFF" w:fill="FFFFFF"/>
            <w:vAlign w:val="center"/>
            <w:hideMark/>
          </w:tcPr>
          <w:p w14:paraId="58EF7D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Testi i proporcionalitetit përpara rregullimit të ri të profesioneve</w:t>
            </w:r>
          </w:p>
        </w:tc>
        <w:tc>
          <w:tcPr>
            <w:tcW w:w="661" w:type="pct"/>
            <w:tcBorders>
              <w:top w:val="nil"/>
              <w:left w:val="nil"/>
              <w:bottom w:val="single" w:sz="4" w:space="0" w:color="auto"/>
              <w:right w:val="single" w:sz="4" w:space="0" w:color="auto"/>
            </w:tcBorders>
            <w:shd w:val="clear" w:color="FFFFFF" w:fill="FFFFFF"/>
            <w:vAlign w:val="center"/>
            <w:hideMark/>
          </w:tcPr>
          <w:p w14:paraId="76AC98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(BE) 2018/958 e Parlamentit Evropian dhe e Këshillit e datës 28 qershor 2018 mbi një test proporcionaliteti përpara miratimit të rregullores së re të profesioneve. </w:t>
            </w:r>
            <w:r w:rsidRPr="006D6BE5">
              <w:rPr>
                <w:rFonts w:ascii="Arial" w:hAnsi="Arial" w:cs="Arial"/>
                <w:color w:val="000000"/>
                <w:sz w:val="4"/>
                <w:szCs w:val="8"/>
                <w:lang w:val="sq-AL"/>
              </w:rPr>
              <w:br/>
              <w:t>PE/19/2018/REV/1</w:t>
            </w:r>
            <w:r w:rsidRPr="006D6BE5">
              <w:rPr>
                <w:rFonts w:ascii="Arial" w:hAnsi="Arial" w:cs="Arial"/>
                <w:color w:val="000000"/>
                <w:sz w:val="4"/>
                <w:szCs w:val="8"/>
                <w:lang w:val="sq-AL"/>
              </w:rPr>
              <w:br/>
              <w:t>OJ L 173, 9.7.2018, p. 25–34</w:t>
            </w:r>
          </w:p>
        </w:tc>
        <w:tc>
          <w:tcPr>
            <w:tcW w:w="668" w:type="pct"/>
            <w:tcBorders>
              <w:top w:val="single" w:sz="4" w:space="0" w:color="auto"/>
              <w:left w:val="nil"/>
              <w:bottom w:val="single" w:sz="4" w:space="0" w:color="auto"/>
              <w:right w:val="single" w:sz="4" w:space="0" w:color="auto"/>
            </w:tcBorders>
            <w:shd w:val="clear" w:color="FFFFFF" w:fill="FFFFFF"/>
            <w:vAlign w:val="center"/>
            <w:hideMark/>
          </w:tcPr>
          <w:p w14:paraId="5650B93A"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https://eur-lex.europa.eu/eli/dir/2018/958/oj</w:t>
            </w:r>
          </w:p>
        </w:tc>
        <w:tc>
          <w:tcPr>
            <w:tcW w:w="506" w:type="pct"/>
            <w:tcBorders>
              <w:top w:val="nil"/>
              <w:left w:val="nil"/>
              <w:bottom w:val="single" w:sz="4" w:space="0" w:color="auto"/>
              <w:right w:val="single" w:sz="4" w:space="0" w:color="auto"/>
            </w:tcBorders>
            <w:shd w:val="clear" w:color="FFFFFF" w:fill="FFFFFF"/>
            <w:vAlign w:val="center"/>
            <w:hideMark/>
          </w:tcPr>
          <w:p w14:paraId="71DED5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CC239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Projektligji "Mbi sistemet e njohjes të kualifikimeve profesionale"</w:t>
            </w:r>
          </w:p>
        </w:tc>
        <w:tc>
          <w:tcPr>
            <w:tcW w:w="330" w:type="pct"/>
            <w:tcBorders>
              <w:top w:val="nil"/>
              <w:left w:val="nil"/>
              <w:bottom w:val="single" w:sz="4" w:space="0" w:color="auto"/>
              <w:right w:val="single" w:sz="4" w:space="0" w:color="auto"/>
            </w:tcBorders>
            <w:shd w:val="clear" w:color="FFFFFF" w:fill="FFFFFF"/>
            <w:vAlign w:val="center"/>
            <w:hideMark/>
          </w:tcPr>
          <w:p w14:paraId="121CDBAC" w14:textId="0A5D70F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shërbimeve. Projektligji "Mbi sistemet e njohjes se kualifikimeve profesionale" synon përafrimin e Direktivës së BE-së 2018/958 e Parlamentit Evropian dhe e Këshillit e datës 28 qershor 2018 mbi një test proporcionaliteti përpara miratimit të rregullores së re të profesioneve.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8241E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CBD11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C5192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13" w:type="pct"/>
            <w:tcBorders>
              <w:top w:val="nil"/>
              <w:left w:val="nil"/>
              <w:bottom w:val="single" w:sz="4" w:space="0" w:color="auto"/>
              <w:right w:val="single" w:sz="4" w:space="0" w:color="auto"/>
            </w:tcBorders>
            <w:shd w:val="clear" w:color="FFFFFF" w:fill="FFFFFF"/>
            <w:vAlign w:val="center"/>
            <w:hideMark/>
          </w:tcPr>
          <w:p w14:paraId="0065A3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635D3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A0B46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Donator </w:t>
            </w:r>
          </w:p>
        </w:tc>
        <w:tc>
          <w:tcPr>
            <w:tcW w:w="120" w:type="pct"/>
            <w:tcBorders>
              <w:top w:val="nil"/>
              <w:left w:val="nil"/>
              <w:bottom w:val="single" w:sz="4" w:space="0" w:color="auto"/>
              <w:right w:val="single" w:sz="4" w:space="0" w:color="auto"/>
            </w:tcBorders>
            <w:shd w:val="clear" w:color="FFFFFF" w:fill="FFFFFF"/>
            <w:vAlign w:val="center"/>
            <w:hideMark/>
          </w:tcPr>
          <w:p w14:paraId="4DA51A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2088E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D4759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54006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Donator </w:t>
            </w:r>
          </w:p>
        </w:tc>
        <w:tc>
          <w:tcPr>
            <w:tcW w:w="111" w:type="pct"/>
            <w:tcBorders>
              <w:top w:val="nil"/>
              <w:left w:val="nil"/>
              <w:bottom w:val="single" w:sz="4" w:space="0" w:color="auto"/>
              <w:right w:val="single" w:sz="4" w:space="0" w:color="auto"/>
            </w:tcBorders>
            <w:shd w:val="clear" w:color="FFFFFF" w:fill="FFFFFF"/>
            <w:vAlign w:val="center"/>
            <w:hideMark/>
          </w:tcPr>
          <w:p w14:paraId="2459132B" w14:textId="53515EFB"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1,400 </w:t>
            </w:r>
          </w:p>
        </w:tc>
        <w:tc>
          <w:tcPr>
            <w:tcW w:w="111" w:type="pct"/>
            <w:tcBorders>
              <w:top w:val="nil"/>
              <w:left w:val="nil"/>
              <w:bottom w:val="single" w:sz="4" w:space="0" w:color="auto"/>
              <w:right w:val="single" w:sz="4" w:space="0" w:color="auto"/>
            </w:tcBorders>
            <w:shd w:val="clear" w:color="FFFFFF" w:fill="FFFFFF"/>
            <w:vAlign w:val="center"/>
            <w:hideMark/>
          </w:tcPr>
          <w:p w14:paraId="08412ABF" w14:textId="2BEE607B"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1,400 </w:t>
            </w:r>
          </w:p>
        </w:tc>
        <w:tc>
          <w:tcPr>
            <w:tcW w:w="101" w:type="pct"/>
            <w:tcBorders>
              <w:top w:val="nil"/>
              <w:left w:val="nil"/>
              <w:bottom w:val="single" w:sz="4" w:space="0" w:color="auto"/>
              <w:right w:val="single" w:sz="4" w:space="0" w:color="auto"/>
            </w:tcBorders>
            <w:shd w:val="clear" w:color="FFFFFF" w:fill="FFFFFF"/>
            <w:vAlign w:val="center"/>
            <w:hideMark/>
          </w:tcPr>
          <w:p w14:paraId="471197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A2C7A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A6D23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w:t>
            </w:r>
          </w:p>
        </w:tc>
        <w:tc>
          <w:tcPr>
            <w:tcW w:w="144" w:type="pct"/>
            <w:tcBorders>
              <w:top w:val="nil"/>
              <w:left w:val="nil"/>
              <w:bottom w:val="single" w:sz="4" w:space="0" w:color="auto"/>
              <w:right w:val="single" w:sz="4" w:space="0" w:color="auto"/>
            </w:tcBorders>
            <w:shd w:val="clear" w:color="FFFFFF" w:fill="FFFFFF"/>
            <w:vAlign w:val="center"/>
            <w:hideMark/>
          </w:tcPr>
          <w:p w14:paraId="07E554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BSH</w:t>
            </w:r>
          </w:p>
        </w:tc>
        <w:tc>
          <w:tcPr>
            <w:tcW w:w="165" w:type="pct"/>
            <w:tcBorders>
              <w:top w:val="nil"/>
              <w:left w:val="nil"/>
              <w:bottom w:val="single" w:sz="4" w:space="0" w:color="auto"/>
              <w:right w:val="single" w:sz="4" w:space="0" w:color="auto"/>
            </w:tcBorders>
            <w:shd w:val="clear" w:color="FFFFFF" w:fill="FFFFFF"/>
            <w:vAlign w:val="center"/>
            <w:hideMark/>
          </w:tcPr>
          <w:p w14:paraId="03D568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Lëvizja e lirë e kapitalit dhe pagesave</w:t>
            </w:r>
          </w:p>
        </w:tc>
        <w:tc>
          <w:tcPr>
            <w:tcW w:w="171" w:type="pct"/>
            <w:tcBorders>
              <w:top w:val="nil"/>
              <w:left w:val="nil"/>
              <w:bottom w:val="single" w:sz="4" w:space="0" w:color="auto"/>
              <w:right w:val="single" w:sz="4" w:space="0" w:color="auto"/>
            </w:tcBorders>
            <w:shd w:val="clear" w:color="FFFFFF" w:fill="FFFFFF"/>
            <w:vAlign w:val="center"/>
            <w:hideMark/>
          </w:tcPr>
          <w:p w14:paraId="2D2585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N/A </w:t>
            </w:r>
          </w:p>
        </w:tc>
        <w:tc>
          <w:tcPr>
            <w:tcW w:w="661" w:type="pct"/>
            <w:tcBorders>
              <w:top w:val="nil"/>
              <w:left w:val="nil"/>
              <w:bottom w:val="single" w:sz="4" w:space="0" w:color="auto"/>
              <w:right w:val="single" w:sz="4" w:space="0" w:color="auto"/>
            </w:tcBorders>
            <w:shd w:val="clear" w:color="FFFFFF" w:fill="FFFFFF"/>
            <w:vAlign w:val="center"/>
            <w:hideMark/>
          </w:tcPr>
          <w:p w14:paraId="138D28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88/361/KEE e 24 qershorit 1988 për zbatimin e nenit 67 të Traktatit (OJ L 178, 08.07.1988, fq. 5-18);</w:t>
            </w:r>
          </w:p>
        </w:tc>
        <w:tc>
          <w:tcPr>
            <w:tcW w:w="668" w:type="pct"/>
            <w:tcBorders>
              <w:top w:val="nil"/>
              <w:left w:val="nil"/>
              <w:bottom w:val="single" w:sz="4" w:space="0" w:color="auto"/>
              <w:right w:val="single" w:sz="4" w:space="0" w:color="auto"/>
            </w:tcBorders>
            <w:shd w:val="clear" w:color="FFFFFF" w:fill="FFFFFF"/>
            <w:vAlign w:val="center"/>
            <w:hideMark/>
          </w:tcPr>
          <w:p w14:paraId="29449B76" w14:textId="77777777" w:rsidR="00482167" w:rsidRPr="006D6BE5" w:rsidRDefault="00E63D69" w:rsidP="00A7241A">
            <w:pPr>
              <w:rPr>
                <w:rFonts w:ascii="Arial" w:hAnsi="Arial" w:cs="Arial"/>
                <w:color w:val="0563C1"/>
                <w:sz w:val="4"/>
                <w:szCs w:val="8"/>
                <w:u w:val="single"/>
                <w:lang w:val="sq-AL"/>
              </w:rPr>
            </w:pPr>
            <w:hyperlink r:id="rId48" w:history="1">
              <w:r w:rsidR="00482167" w:rsidRPr="006D6BE5">
                <w:rPr>
                  <w:rFonts w:ascii="Arial" w:hAnsi="Arial" w:cs="Arial"/>
                  <w:color w:val="0563C1"/>
                  <w:sz w:val="4"/>
                  <w:szCs w:val="8"/>
                  <w:u w:val="single"/>
                  <w:lang w:val="sq-AL"/>
                </w:rPr>
                <w:t>EUR-Lex - 31988L0361 - EN - EUR-Lex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480CC35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CAE2F9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disa shtesa dhe ndryshime në ligjin nr. 8337, datë 30.4.1998, “Për kalimin në pronësi të tokës bujqësore, pyjore, livadheve dhe kullotave”</w:t>
            </w:r>
          </w:p>
        </w:tc>
        <w:tc>
          <w:tcPr>
            <w:tcW w:w="330" w:type="pct"/>
            <w:tcBorders>
              <w:top w:val="nil"/>
              <w:left w:val="nil"/>
              <w:bottom w:val="single" w:sz="4" w:space="0" w:color="auto"/>
              <w:right w:val="single" w:sz="4" w:space="0" w:color="auto"/>
            </w:tcBorders>
            <w:shd w:val="clear" w:color="auto" w:fill="auto"/>
            <w:vAlign w:val="center"/>
            <w:hideMark/>
          </w:tcPr>
          <w:p w14:paraId="316508BA" w14:textId="22D9CF82" w:rsidR="00482167" w:rsidRPr="006D6BE5" w:rsidRDefault="00482167" w:rsidP="00A7241A">
            <w:pPr>
              <w:rPr>
                <w:rFonts w:ascii="Arial" w:hAnsi="Arial" w:cs="Arial"/>
                <w:sz w:val="4"/>
                <w:szCs w:val="8"/>
                <w:lang w:val="sq-AL"/>
              </w:rPr>
            </w:pPr>
            <w:r w:rsidRPr="006D6BE5">
              <w:rPr>
                <w:rFonts w:ascii="Arial" w:hAnsi="Arial" w:cs="Arial"/>
                <w:sz w:val="4"/>
                <w:szCs w:val="8"/>
                <w:lang w:val="sq-AL"/>
              </w:rPr>
              <w:t>Amendimi i ligjit për heqjen e kufizimit të nenit 4, të ligjit nr.8337/1998 që nuk ju njeh personave fizikë dhe jurdikë të huaj të drejtën e</w:t>
            </w:r>
            <w:r w:rsidR="006D6BE5">
              <w:rPr>
                <w:rFonts w:ascii="Arial" w:hAnsi="Arial" w:cs="Arial"/>
                <w:sz w:val="4"/>
                <w:szCs w:val="8"/>
                <w:lang w:val="sq-AL"/>
              </w:rPr>
              <w:t xml:space="preserve"> </w:t>
            </w:r>
            <w:r w:rsidRPr="006D6BE5">
              <w:rPr>
                <w:rFonts w:ascii="Arial" w:hAnsi="Arial" w:cs="Arial"/>
                <w:sz w:val="4"/>
                <w:szCs w:val="8"/>
                <w:lang w:val="sq-AL"/>
              </w:rPr>
              <w:t>pronësisë të tokës bujqësore, pyjore, livadheve dhe kullotave por vetëm të drejtën e marrjes me qira për 99 vjet.</w:t>
            </w:r>
            <w:r w:rsid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0C0CA2F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5BD5681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25077D0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MBZHR/MTM/MD</w:t>
            </w:r>
          </w:p>
        </w:tc>
        <w:tc>
          <w:tcPr>
            <w:tcW w:w="113" w:type="pct"/>
            <w:tcBorders>
              <w:top w:val="nil"/>
              <w:left w:val="nil"/>
              <w:bottom w:val="single" w:sz="4" w:space="0" w:color="auto"/>
              <w:right w:val="single" w:sz="4" w:space="0" w:color="auto"/>
            </w:tcBorders>
            <w:shd w:val="clear" w:color="auto" w:fill="auto"/>
            <w:vAlign w:val="center"/>
            <w:hideMark/>
          </w:tcPr>
          <w:p w14:paraId="2B53FEE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5066FF2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A57FC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C74DE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A920167" w14:textId="448A229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7,018 </w:t>
            </w:r>
          </w:p>
        </w:tc>
        <w:tc>
          <w:tcPr>
            <w:tcW w:w="117" w:type="pct"/>
            <w:tcBorders>
              <w:top w:val="nil"/>
              <w:left w:val="nil"/>
              <w:bottom w:val="single" w:sz="4" w:space="0" w:color="auto"/>
              <w:right w:val="single" w:sz="4" w:space="0" w:color="auto"/>
            </w:tcBorders>
            <w:shd w:val="clear" w:color="FFFFFF" w:fill="FFFFFF"/>
            <w:vAlign w:val="center"/>
            <w:hideMark/>
          </w:tcPr>
          <w:p w14:paraId="7E4CB9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06A42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9677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642E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847DA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857ACB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AD1A3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w:t>
            </w:r>
          </w:p>
        </w:tc>
        <w:tc>
          <w:tcPr>
            <w:tcW w:w="144" w:type="pct"/>
            <w:tcBorders>
              <w:top w:val="nil"/>
              <w:left w:val="nil"/>
              <w:bottom w:val="single" w:sz="4" w:space="0" w:color="auto"/>
              <w:right w:val="single" w:sz="4" w:space="0" w:color="auto"/>
            </w:tcBorders>
            <w:shd w:val="clear" w:color="FFFFFF" w:fill="FFFFFF"/>
            <w:vAlign w:val="center"/>
            <w:hideMark/>
          </w:tcPr>
          <w:p w14:paraId="076C57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BSH</w:t>
            </w:r>
          </w:p>
        </w:tc>
        <w:tc>
          <w:tcPr>
            <w:tcW w:w="165" w:type="pct"/>
            <w:tcBorders>
              <w:top w:val="nil"/>
              <w:left w:val="nil"/>
              <w:bottom w:val="single" w:sz="4" w:space="0" w:color="auto"/>
              <w:right w:val="single" w:sz="4" w:space="0" w:color="auto"/>
            </w:tcBorders>
            <w:shd w:val="clear" w:color="FFFFFF" w:fill="FFFFFF"/>
            <w:vAlign w:val="center"/>
            <w:hideMark/>
          </w:tcPr>
          <w:p w14:paraId="625CDF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Sistemet e pagesave</w:t>
            </w:r>
          </w:p>
        </w:tc>
        <w:tc>
          <w:tcPr>
            <w:tcW w:w="171" w:type="pct"/>
            <w:tcBorders>
              <w:top w:val="nil"/>
              <w:left w:val="nil"/>
              <w:bottom w:val="single" w:sz="4" w:space="0" w:color="auto"/>
              <w:right w:val="single" w:sz="4" w:space="0" w:color="auto"/>
            </w:tcBorders>
            <w:shd w:val="clear" w:color="FFFFFF" w:fill="FFFFFF"/>
            <w:vAlign w:val="center"/>
            <w:hideMark/>
          </w:tcPr>
          <w:p w14:paraId="1FE733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N/A </w:t>
            </w:r>
          </w:p>
        </w:tc>
        <w:tc>
          <w:tcPr>
            <w:tcW w:w="661" w:type="pct"/>
            <w:tcBorders>
              <w:top w:val="nil"/>
              <w:left w:val="nil"/>
              <w:bottom w:val="single" w:sz="4" w:space="0" w:color="auto"/>
              <w:right w:val="single" w:sz="4" w:space="0" w:color="auto"/>
            </w:tcBorders>
            <w:shd w:val="clear" w:color="FFFFFF" w:fill="FFFFFF"/>
            <w:vAlign w:val="center"/>
            <w:hideMark/>
          </w:tcPr>
          <w:p w14:paraId="03BCD2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260/2012 e Parlamentit Evropian dhe e Këshillit e datës 14 mars 2012 që përcakton kërkesat teknike dhe të biznesit për transfertat e kredisë dhe debitimet direkte në euro dhe ndryshon Rregulloren (KE) Nr. 924/2009 (OJ L 94, 30.3 .2012, fq. 22-37)</w:t>
            </w:r>
          </w:p>
        </w:tc>
        <w:tc>
          <w:tcPr>
            <w:tcW w:w="668" w:type="pct"/>
            <w:tcBorders>
              <w:top w:val="nil"/>
              <w:left w:val="nil"/>
              <w:bottom w:val="single" w:sz="4" w:space="0" w:color="auto"/>
              <w:right w:val="single" w:sz="4" w:space="0" w:color="auto"/>
            </w:tcBorders>
            <w:shd w:val="clear" w:color="FFFFFF" w:fill="FFFFFF"/>
            <w:vAlign w:val="center"/>
            <w:hideMark/>
          </w:tcPr>
          <w:p w14:paraId="7DD2AB09" w14:textId="77777777" w:rsidR="00482167" w:rsidRPr="006D6BE5" w:rsidRDefault="00E63D69" w:rsidP="00A7241A">
            <w:pPr>
              <w:rPr>
                <w:rFonts w:ascii="Arial" w:hAnsi="Arial" w:cs="Arial"/>
                <w:color w:val="0563C1"/>
                <w:sz w:val="4"/>
                <w:szCs w:val="8"/>
                <w:u w:val="single"/>
                <w:lang w:val="sq-AL"/>
              </w:rPr>
            </w:pPr>
            <w:hyperlink r:id="rId49" w:history="1">
              <w:r w:rsidR="00482167" w:rsidRPr="006D6BE5">
                <w:rPr>
                  <w:rFonts w:ascii="Arial" w:hAnsi="Arial" w:cs="Arial"/>
                  <w:color w:val="0563C1"/>
                  <w:sz w:val="4"/>
                  <w:szCs w:val="8"/>
                  <w:u w:val="single"/>
                  <w:lang w:val="sq-AL"/>
                </w:rPr>
                <w:t>EUR-Lex - 32012R0260 - EN - EUR-Lex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15F87D9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8F602E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Keshillit Mbikeqyres se Bankes se Shqiperise "Për miratimin e rregullores për pagesat SEPA"</w:t>
            </w:r>
          </w:p>
        </w:tc>
        <w:tc>
          <w:tcPr>
            <w:tcW w:w="330" w:type="pct"/>
            <w:tcBorders>
              <w:top w:val="nil"/>
              <w:left w:val="nil"/>
              <w:bottom w:val="single" w:sz="4" w:space="0" w:color="auto"/>
              <w:right w:val="single" w:sz="4" w:space="0" w:color="auto"/>
            </w:tcBorders>
            <w:shd w:val="clear" w:color="auto" w:fill="auto"/>
            <w:vAlign w:val="center"/>
            <w:hideMark/>
          </w:tcPr>
          <w:p w14:paraId="10DA795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Transpozimi i dispozitave në lidhje me transfertat e kredisë SEPA në një rregullore (për Debitimin Direkt tashmë e transpozuar)</w:t>
            </w:r>
          </w:p>
        </w:tc>
        <w:tc>
          <w:tcPr>
            <w:tcW w:w="126" w:type="pct"/>
            <w:tcBorders>
              <w:top w:val="nil"/>
              <w:left w:val="nil"/>
              <w:bottom w:val="single" w:sz="4" w:space="0" w:color="auto"/>
              <w:right w:val="single" w:sz="4" w:space="0" w:color="auto"/>
            </w:tcBorders>
            <w:shd w:val="clear" w:color="auto" w:fill="auto"/>
            <w:vAlign w:val="center"/>
            <w:hideMark/>
          </w:tcPr>
          <w:p w14:paraId="286CD5C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72529D8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6671C9C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BSH</w:t>
            </w:r>
          </w:p>
        </w:tc>
        <w:tc>
          <w:tcPr>
            <w:tcW w:w="113" w:type="pct"/>
            <w:tcBorders>
              <w:top w:val="nil"/>
              <w:left w:val="nil"/>
              <w:bottom w:val="single" w:sz="4" w:space="0" w:color="auto"/>
              <w:right w:val="single" w:sz="4" w:space="0" w:color="auto"/>
            </w:tcBorders>
            <w:shd w:val="clear" w:color="auto" w:fill="auto"/>
            <w:vAlign w:val="center"/>
            <w:hideMark/>
          </w:tcPr>
          <w:p w14:paraId="365809F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6A82A3D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0D547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12106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AFF31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B1DA8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3,352 </w:t>
            </w:r>
          </w:p>
        </w:tc>
        <w:tc>
          <w:tcPr>
            <w:tcW w:w="129" w:type="pct"/>
            <w:tcBorders>
              <w:top w:val="nil"/>
              <w:left w:val="nil"/>
              <w:bottom w:val="single" w:sz="4" w:space="0" w:color="auto"/>
              <w:right w:val="single" w:sz="4" w:space="0" w:color="auto"/>
            </w:tcBorders>
            <w:shd w:val="clear" w:color="FFFFFF" w:fill="FFFFFF"/>
            <w:vAlign w:val="center"/>
            <w:hideMark/>
          </w:tcPr>
          <w:p w14:paraId="1BE646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3B6F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2D87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0B705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0898A3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68ACA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w:t>
            </w:r>
          </w:p>
        </w:tc>
        <w:tc>
          <w:tcPr>
            <w:tcW w:w="144" w:type="pct"/>
            <w:tcBorders>
              <w:top w:val="nil"/>
              <w:left w:val="nil"/>
              <w:bottom w:val="single" w:sz="4" w:space="0" w:color="auto"/>
              <w:right w:val="single" w:sz="4" w:space="0" w:color="auto"/>
            </w:tcBorders>
            <w:shd w:val="clear" w:color="FFFFFF" w:fill="FFFFFF"/>
            <w:vAlign w:val="center"/>
            <w:hideMark/>
          </w:tcPr>
          <w:p w14:paraId="45938C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892CB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Raportime financiare</w:t>
            </w:r>
          </w:p>
        </w:tc>
        <w:tc>
          <w:tcPr>
            <w:tcW w:w="171" w:type="pct"/>
            <w:tcBorders>
              <w:top w:val="nil"/>
              <w:left w:val="nil"/>
              <w:bottom w:val="single" w:sz="4" w:space="0" w:color="auto"/>
              <w:right w:val="single" w:sz="4" w:space="0" w:color="auto"/>
            </w:tcBorders>
            <w:shd w:val="clear" w:color="FFFFFF" w:fill="FFFFFF"/>
            <w:vAlign w:val="center"/>
            <w:hideMark/>
          </w:tcPr>
          <w:p w14:paraId="428E0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Kontrollet ligjore</w:t>
            </w:r>
          </w:p>
        </w:tc>
        <w:tc>
          <w:tcPr>
            <w:tcW w:w="661" w:type="pct"/>
            <w:tcBorders>
              <w:top w:val="nil"/>
              <w:left w:val="nil"/>
              <w:bottom w:val="single" w:sz="4" w:space="0" w:color="auto"/>
              <w:right w:val="single" w:sz="4" w:space="0" w:color="auto"/>
            </w:tcBorders>
            <w:shd w:val="clear" w:color="FFFFFF" w:fill="FFFFFF"/>
            <w:vAlign w:val="center"/>
            <w:hideMark/>
          </w:tcPr>
          <w:p w14:paraId="5D14AE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2014/56/BE e Parlamentit Evropian dhe e Këshillit e datës 16 prill 2014 që ndryshon Direktivën 2006/43/KE mbi auditimet ligjore të llogarive vjetore dhe të llogarive të konsoliduara (Gazeta Zyrtare L 158, 27/05/2014, f. 196– 226)</w:t>
            </w:r>
          </w:p>
        </w:tc>
        <w:tc>
          <w:tcPr>
            <w:tcW w:w="668" w:type="pct"/>
            <w:tcBorders>
              <w:top w:val="nil"/>
              <w:left w:val="nil"/>
              <w:bottom w:val="single" w:sz="4" w:space="0" w:color="auto"/>
              <w:right w:val="single" w:sz="4" w:space="0" w:color="auto"/>
            </w:tcBorders>
            <w:shd w:val="clear" w:color="FFFFFF" w:fill="FFFFFF"/>
            <w:vAlign w:val="center"/>
            <w:hideMark/>
          </w:tcPr>
          <w:p w14:paraId="7D6BA6A7" w14:textId="77777777" w:rsidR="00482167" w:rsidRPr="006D6BE5" w:rsidRDefault="00E63D69" w:rsidP="00A7241A">
            <w:pPr>
              <w:rPr>
                <w:rFonts w:ascii="Arial" w:hAnsi="Arial" w:cs="Arial"/>
                <w:color w:val="0563C1"/>
                <w:sz w:val="4"/>
                <w:szCs w:val="8"/>
                <w:u w:val="single"/>
                <w:lang w:val="sq-AL"/>
              </w:rPr>
            </w:pPr>
            <w:hyperlink r:id="rId50" w:history="1">
              <w:r w:rsidR="00482167" w:rsidRPr="006D6BE5">
                <w:rPr>
                  <w:rFonts w:ascii="Arial" w:hAnsi="Arial" w:cs="Arial"/>
                  <w:color w:val="0563C1"/>
                  <w:sz w:val="4"/>
                  <w:szCs w:val="8"/>
                  <w:u w:val="single"/>
                  <w:lang w:val="sq-AL"/>
                </w:rPr>
                <w:t>http://eur-lex.europa.eu/legal-content/EN/TXT/?qid=1411741912824&amp;uri=CELEX:32014L0056</w:t>
              </w:r>
            </w:hyperlink>
          </w:p>
        </w:tc>
        <w:tc>
          <w:tcPr>
            <w:tcW w:w="506" w:type="pct"/>
            <w:tcBorders>
              <w:top w:val="nil"/>
              <w:left w:val="nil"/>
              <w:bottom w:val="single" w:sz="4" w:space="0" w:color="auto"/>
              <w:right w:val="single" w:sz="4" w:space="0" w:color="auto"/>
            </w:tcBorders>
            <w:shd w:val="clear" w:color="FFFFFF" w:fill="FFFFFF"/>
            <w:vAlign w:val="center"/>
            <w:hideMark/>
          </w:tcPr>
          <w:p w14:paraId="25E543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75ADE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ndryshimin e Ligjit nr. 10091, datë 5.03.2009 “Për auditimin ligjor, organizimin e profesionit të audituesit ligjor dhe të kontabilistit të miratuar”, i ndryshuar.</w:t>
            </w:r>
          </w:p>
        </w:tc>
        <w:tc>
          <w:tcPr>
            <w:tcW w:w="330" w:type="pct"/>
            <w:tcBorders>
              <w:top w:val="nil"/>
              <w:left w:val="nil"/>
              <w:bottom w:val="single" w:sz="4" w:space="0" w:color="auto"/>
              <w:right w:val="single" w:sz="4" w:space="0" w:color="auto"/>
            </w:tcBorders>
            <w:shd w:val="clear" w:color="FFFFFF" w:fill="FFFFFF"/>
            <w:vAlign w:val="center"/>
            <w:hideMark/>
          </w:tcPr>
          <w:p w14:paraId="2420BC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Auditimi ligjor: Çështjet kryesore që do të trajtojë ky projekt-akt lidhen me:</w:t>
            </w:r>
            <w:r w:rsidRPr="006D6BE5">
              <w:rPr>
                <w:rFonts w:ascii="Arial" w:hAnsi="Arial" w:cs="Arial"/>
                <w:color w:val="000000"/>
                <w:sz w:val="4"/>
                <w:szCs w:val="8"/>
                <w:lang w:val="sq-AL"/>
              </w:rPr>
              <w:br/>
              <w:t>a) mënyrën e organizimit dhe funksionimit të Subjekteve me Interes Publik (PIE) për çështjet e auditimit të tyre;</w:t>
            </w:r>
            <w:r w:rsidRPr="006D6BE5">
              <w:rPr>
                <w:rFonts w:ascii="Arial" w:hAnsi="Arial" w:cs="Arial"/>
                <w:color w:val="000000"/>
                <w:sz w:val="4"/>
                <w:szCs w:val="8"/>
                <w:lang w:val="sq-AL"/>
              </w:rPr>
              <w:br/>
              <w:t>b) Raportin që duhet të bëjnë auditorët në lidhje me konsolidimin e pasqyrave financiare;</w:t>
            </w:r>
            <w:r w:rsidRPr="006D6BE5">
              <w:rPr>
                <w:rFonts w:ascii="Arial" w:hAnsi="Arial" w:cs="Arial"/>
                <w:color w:val="000000"/>
                <w:sz w:val="4"/>
                <w:szCs w:val="8"/>
                <w:lang w:val="sq-AL"/>
              </w:rPr>
              <w:br/>
              <w:t>c) ngritjen e strukturave të kontrollit të brendshëm dhe funksionimin e tyre në shoqëritë audituese;</w:t>
            </w:r>
            <w:r w:rsidRPr="006D6BE5">
              <w:rPr>
                <w:rFonts w:ascii="Arial" w:hAnsi="Arial" w:cs="Arial"/>
                <w:color w:val="000000"/>
                <w:sz w:val="4"/>
                <w:szCs w:val="8"/>
                <w:lang w:val="sq-AL"/>
              </w:rPr>
              <w:br/>
              <w:t>d) Masat që duhen marrë nga auditorët në lidhje me pavarësinë dhe objektivitetin e tyre</w:t>
            </w:r>
          </w:p>
        </w:tc>
        <w:tc>
          <w:tcPr>
            <w:tcW w:w="126" w:type="pct"/>
            <w:tcBorders>
              <w:top w:val="nil"/>
              <w:left w:val="nil"/>
              <w:bottom w:val="single" w:sz="4" w:space="0" w:color="auto"/>
              <w:right w:val="single" w:sz="4" w:space="0" w:color="auto"/>
            </w:tcBorders>
            <w:shd w:val="clear" w:color="FFFFFF" w:fill="FFFFFF"/>
            <w:vAlign w:val="center"/>
            <w:hideMark/>
          </w:tcPr>
          <w:p w14:paraId="16E0D6C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4A9D745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585808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3DA0A1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650FE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C47B8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667DC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2,500</w:t>
            </w:r>
          </w:p>
        </w:tc>
        <w:tc>
          <w:tcPr>
            <w:tcW w:w="126" w:type="pct"/>
            <w:tcBorders>
              <w:top w:val="nil"/>
              <w:left w:val="nil"/>
              <w:bottom w:val="single" w:sz="4" w:space="0" w:color="auto"/>
              <w:right w:val="single" w:sz="4" w:space="0" w:color="auto"/>
            </w:tcBorders>
            <w:shd w:val="clear" w:color="FFFFFF" w:fill="FFFFFF"/>
            <w:vAlign w:val="center"/>
            <w:hideMark/>
          </w:tcPr>
          <w:p w14:paraId="01FDEA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5173B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75FF5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55A3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B725B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D23C6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4ADFB3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787BE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w:t>
            </w:r>
          </w:p>
        </w:tc>
        <w:tc>
          <w:tcPr>
            <w:tcW w:w="144" w:type="pct"/>
            <w:tcBorders>
              <w:top w:val="nil"/>
              <w:left w:val="nil"/>
              <w:bottom w:val="single" w:sz="4" w:space="0" w:color="auto"/>
              <w:right w:val="single" w:sz="4" w:space="0" w:color="auto"/>
            </w:tcBorders>
            <w:shd w:val="clear" w:color="FFFFFF" w:fill="FFFFFF"/>
            <w:vAlign w:val="center"/>
            <w:hideMark/>
          </w:tcPr>
          <w:p w14:paraId="5DB4D3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D147F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Raportime financiare</w:t>
            </w:r>
          </w:p>
        </w:tc>
        <w:tc>
          <w:tcPr>
            <w:tcW w:w="171" w:type="pct"/>
            <w:tcBorders>
              <w:top w:val="nil"/>
              <w:left w:val="nil"/>
              <w:bottom w:val="single" w:sz="4" w:space="0" w:color="auto"/>
              <w:right w:val="single" w:sz="4" w:space="0" w:color="auto"/>
            </w:tcBorders>
            <w:shd w:val="clear" w:color="FFFFFF" w:fill="FFFFFF"/>
            <w:vAlign w:val="center"/>
            <w:hideMark/>
          </w:tcPr>
          <w:p w14:paraId="167D0A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Kontrollet ligjore</w:t>
            </w:r>
          </w:p>
        </w:tc>
        <w:tc>
          <w:tcPr>
            <w:tcW w:w="661" w:type="pct"/>
            <w:tcBorders>
              <w:top w:val="nil"/>
              <w:left w:val="nil"/>
              <w:bottom w:val="single" w:sz="4" w:space="0" w:color="auto"/>
              <w:right w:val="single" w:sz="4" w:space="0" w:color="auto"/>
            </w:tcBorders>
            <w:shd w:val="clear" w:color="FFFFFF" w:fill="FFFFFF"/>
            <w:vAlign w:val="center"/>
            <w:hideMark/>
          </w:tcPr>
          <w:p w14:paraId="55F79C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537/2014 e Parlamentit Evropian dhe e Këshillit e datës 16 prill 2014 mbi kërkesat specifike në lidhje me auditimin ligjor të enteve me interes publik dhe shfuqizimin e Vendimit të Komisionit 2005/909/EC (Gazeta Zyrtare L 158, 27/05/ 2014, fq. 77–112)</w:t>
            </w:r>
          </w:p>
        </w:tc>
        <w:tc>
          <w:tcPr>
            <w:tcW w:w="668" w:type="pct"/>
            <w:tcBorders>
              <w:top w:val="nil"/>
              <w:left w:val="nil"/>
              <w:bottom w:val="single" w:sz="4" w:space="0" w:color="auto"/>
              <w:right w:val="single" w:sz="4" w:space="0" w:color="auto"/>
            </w:tcBorders>
            <w:shd w:val="clear" w:color="FFFFFF" w:fill="FFFFFF"/>
            <w:vAlign w:val="center"/>
            <w:hideMark/>
          </w:tcPr>
          <w:p w14:paraId="1732CD19" w14:textId="77777777" w:rsidR="00482167" w:rsidRPr="006D6BE5" w:rsidRDefault="00E63D69" w:rsidP="00A7241A">
            <w:pPr>
              <w:rPr>
                <w:rFonts w:ascii="Arial" w:hAnsi="Arial" w:cs="Arial"/>
                <w:color w:val="0563C1"/>
                <w:sz w:val="4"/>
                <w:szCs w:val="8"/>
                <w:u w:val="single"/>
                <w:lang w:val="sq-AL"/>
              </w:rPr>
            </w:pPr>
            <w:hyperlink r:id="rId51" w:history="1">
              <w:r w:rsidR="00482167" w:rsidRPr="006D6BE5">
                <w:rPr>
                  <w:rFonts w:ascii="Arial" w:hAnsi="Arial" w:cs="Arial"/>
                  <w:color w:val="0563C1"/>
                  <w:sz w:val="4"/>
                  <w:szCs w:val="8"/>
                  <w:u w:val="single"/>
                  <w:lang w:val="sq-AL"/>
                </w:rPr>
                <w:t>https://eur-lex.europa.eu/legal-content/EN/TXT/?uri=CELEX:02014R0537-20140616</w:t>
              </w:r>
            </w:hyperlink>
          </w:p>
        </w:tc>
        <w:tc>
          <w:tcPr>
            <w:tcW w:w="506" w:type="pct"/>
            <w:tcBorders>
              <w:top w:val="nil"/>
              <w:left w:val="nil"/>
              <w:bottom w:val="single" w:sz="4" w:space="0" w:color="auto"/>
              <w:right w:val="single" w:sz="4" w:space="0" w:color="auto"/>
            </w:tcBorders>
            <w:shd w:val="clear" w:color="FFFFFF" w:fill="FFFFFF"/>
            <w:vAlign w:val="center"/>
            <w:hideMark/>
          </w:tcPr>
          <w:p w14:paraId="12F2FD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EEA00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ndryshimin e Ligjit nr. 10091, datë 5.03.2009 “Për auditimin ligjor, organizimin e profesionit të audituesit ligjor dhe të kontabilistit të miratuar”, i ndryshuar.</w:t>
            </w:r>
          </w:p>
        </w:tc>
        <w:tc>
          <w:tcPr>
            <w:tcW w:w="330" w:type="pct"/>
            <w:tcBorders>
              <w:top w:val="nil"/>
              <w:left w:val="nil"/>
              <w:bottom w:val="single" w:sz="4" w:space="0" w:color="auto"/>
              <w:right w:val="single" w:sz="4" w:space="0" w:color="auto"/>
            </w:tcBorders>
            <w:shd w:val="clear" w:color="FFFFFF" w:fill="FFFFFF"/>
            <w:vAlign w:val="center"/>
            <w:hideMark/>
          </w:tcPr>
          <w:p w14:paraId="4212B1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Auditimi ligjor: Çështjet kryesore që do të trajtojë ky projekt-akt lidhen me:</w:t>
            </w:r>
            <w:r w:rsidRPr="006D6BE5">
              <w:rPr>
                <w:rFonts w:ascii="Arial" w:hAnsi="Arial" w:cs="Arial"/>
                <w:color w:val="000000"/>
                <w:sz w:val="4"/>
                <w:szCs w:val="8"/>
                <w:lang w:val="sq-AL"/>
              </w:rPr>
              <w:br/>
              <w:t>a) mënyrën e organizimit dhe funksionimit të Subjekteve me Interes Publik (PIE) për çështjet e auditimit të tyre;</w:t>
            </w:r>
            <w:r w:rsidRPr="006D6BE5">
              <w:rPr>
                <w:rFonts w:ascii="Arial" w:hAnsi="Arial" w:cs="Arial"/>
                <w:color w:val="000000"/>
                <w:sz w:val="4"/>
                <w:szCs w:val="8"/>
                <w:lang w:val="sq-AL"/>
              </w:rPr>
              <w:br/>
              <w:t>b) Raportin që duhet të bëjnë auditorët në lidhje me konsolidimin e pasqyrave financiare;</w:t>
            </w:r>
            <w:r w:rsidRPr="006D6BE5">
              <w:rPr>
                <w:rFonts w:ascii="Arial" w:hAnsi="Arial" w:cs="Arial"/>
                <w:color w:val="000000"/>
                <w:sz w:val="4"/>
                <w:szCs w:val="8"/>
                <w:lang w:val="sq-AL"/>
              </w:rPr>
              <w:br/>
              <w:t>c) ngritjen e strukturave të kontrollit të brendshëm dhe funksionimin e tyre në shoqëritë audituese;</w:t>
            </w:r>
            <w:r w:rsidRPr="006D6BE5">
              <w:rPr>
                <w:rFonts w:ascii="Arial" w:hAnsi="Arial" w:cs="Arial"/>
                <w:color w:val="000000"/>
                <w:sz w:val="4"/>
                <w:szCs w:val="8"/>
                <w:lang w:val="sq-AL"/>
              </w:rPr>
              <w:br/>
              <w:t>d) Masat që duhen marrë nga auditorët në lidhje me pavarësinë dhe objektivitetin e tyre</w:t>
            </w:r>
          </w:p>
        </w:tc>
        <w:tc>
          <w:tcPr>
            <w:tcW w:w="126" w:type="pct"/>
            <w:tcBorders>
              <w:top w:val="nil"/>
              <w:left w:val="nil"/>
              <w:bottom w:val="single" w:sz="4" w:space="0" w:color="auto"/>
              <w:right w:val="single" w:sz="4" w:space="0" w:color="auto"/>
            </w:tcBorders>
            <w:shd w:val="clear" w:color="FFFFFF" w:fill="FFFFFF"/>
            <w:vAlign w:val="center"/>
            <w:hideMark/>
          </w:tcPr>
          <w:p w14:paraId="622A7D3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1313B28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B4BA4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315C5D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F820B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AEF49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48E42B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46903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AD3A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F9C0C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9B8F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ACC37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78C19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B18848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18BEF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006695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A7AEB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58B65F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Marka Tregtare</w:t>
            </w:r>
          </w:p>
        </w:tc>
        <w:tc>
          <w:tcPr>
            <w:tcW w:w="661" w:type="pct"/>
            <w:tcBorders>
              <w:top w:val="nil"/>
              <w:left w:val="nil"/>
              <w:bottom w:val="single" w:sz="4" w:space="0" w:color="auto"/>
              <w:right w:val="single" w:sz="4" w:space="0" w:color="auto"/>
            </w:tcBorders>
            <w:shd w:val="clear" w:color="FFFFFF" w:fill="FFFFFF"/>
            <w:vAlign w:val="center"/>
            <w:hideMark/>
          </w:tcPr>
          <w:p w14:paraId="6777324F" w14:textId="43AFC71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2015/2436 për përafrimin e ligjeve të Shteteve Anëtare në lidhje me markat tregtare e datës 16 dhjetor 2015. Rregullorja (BE) 2017/1001 mbi markën tregtare të Bashkimit Evropian e datës 14 qershor 2017</w:t>
            </w:r>
            <w:r w:rsidR="006D6BE5">
              <w:rPr>
                <w:rFonts w:ascii="Arial" w:hAnsi="Arial" w:cs="Arial"/>
                <w:color w:val="000000"/>
                <w:sz w:val="4"/>
                <w:szCs w:val="8"/>
                <w:lang w:val="sq-AL"/>
              </w:rPr>
              <w:t xml:space="preserve">      </w:t>
            </w:r>
          </w:p>
        </w:tc>
        <w:tc>
          <w:tcPr>
            <w:tcW w:w="668" w:type="pct"/>
            <w:tcBorders>
              <w:top w:val="nil"/>
              <w:left w:val="nil"/>
              <w:bottom w:val="single" w:sz="4" w:space="0" w:color="auto"/>
              <w:right w:val="single" w:sz="4" w:space="0" w:color="auto"/>
            </w:tcBorders>
            <w:shd w:val="clear" w:color="FFFFFF" w:fill="FFFFFF"/>
            <w:vAlign w:val="center"/>
            <w:hideMark/>
          </w:tcPr>
          <w:p w14:paraId="62D1E181" w14:textId="77777777" w:rsidR="00482167" w:rsidRPr="006D6BE5" w:rsidRDefault="00E63D69" w:rsidP="00A7241A">
            <w:pPr>
              <w:rPr>
                <w:rFonts w:ascii="Arial" w:hAnsi="Arial" w:cs="Arial"/>
                <w:color w:val="0563C1"/>
                <w:sz w:val="4"/>
                <w:szCs w:val="8"/>
                <w:u w:val="single"/>
                <w:lang w:val="sq-AL"/>
              </w:rPr>
            </w:pPr>
            <w:hyperlink r:id="rId52" w:history="1">
              <w:r w:rsidR="00482167" w:rsidRPr="006D6BE5">
                <w:rPr>
                  <w:rFonts w:ascii="Arial" w:hAnsi="Arial" w:cs="Arial"/>
                  <w:color w:val="0563C1"/>
                  <w:sz w:val="4"/>
                  <w:szCs w:val="8"/>
                  <w:u w:val="single"/>
                  <w:lang w:val="sq-AL"/>
                </w:rPr>
                <w:t>https://eur-lex.europa.eu/legal-content/EN/TXT/?uri=CELEX%3A32015L2436</w:t>
              </w:r>
            </w:hyperlink>
          </w:p>
        </w:tc>
        <w:tc>
          <w:tcPr>
            <w:tcW w:w="506" w:type="pct"/>
            <w:tcBorders>
              <w:top w:val="nil"/>
              <w:left w:val="nil"/>
              <w:bottom w:val="single" w:sz="4" w:space="0" w:color="auto"/>
              <w:right w:val="single" w:sz="4" w:space="0" w:color="auto"/>
            </w:tcBorders>
            <w:shd w:val="clear" w:color="FFFFFF" w:fill="FFFFFF"/>
            <w:vAlign w:val="center"/>
            <w:hideMark/>
          </w:tcPr>
          <w:p w14:paraId="28C505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97B7D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Markat Tregtare"</w:t>
            </w:r>
          </w:p>
        </w:tc>
        <w:tc>
          <w:tcPr>
            <w:tcW w:w="330" w:type="pct"/>
            <w:tcBorders>
              <w:top w:val="nil"/>
              <w:left w:val="nil"/>
              <w:bottom w:val="single" w:sz="4" w:space="0" w:color="auto"/>
              <w:right w:val="single" w:sz="4" w:space="0" w:color="auto"/>
            </w:tcBorders>
            <w:shd w:val="clear" w:color="FFFFFF" w:fill="FFFFFF"/>
            <w:vAlign w:val="center"/>
            <w:hideMark/>
          </w:tcPr>
          <w:p w14:paraId="01797328" w14:textId="46A95B0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Fusha e Pronësisë Industriale. Projektligji i ri, specifik për “Markat Tregtare” synon perafrim te plote te Direktivës 2015/2436 dhe të Rregullores (BE) 2017/1001 mbi markën tregtare të Bashkimit Evropian e datës 14 qershor 2017, si dhe adreson rekomandim te pales evropiane . </w:t>
            </w:r>
            <w:r w:rsidRPr="006D6BE5">
              <w:rPr>
                <w:rFonts w:ascii="Arial" w:hAnsi="Arial" w:cs="Arial"/>
                <w:color w:val="000000"/>
                <w:sz w:val="4"/>
                <w:szCs w:val="8"/>
                <w:lang w:val="sq-AL"/>
              </w:rPr>
              <w:br/>
            </w:r>
            <w:r w:rsidRPr="006D6BE5">
              <w:rPr>
                <w:rFonts w:ascii="Arial" w:hAnsi="Arial" w:cs="Arial"/>
                <w:color w:val="000000"/>
                <w:sz w:val="4"/>
                <w:szCs w:val="8"/>
                <w:lang w:val="sq-AL"/>
              </w:rPr>
              <w:br/>
            </w:r>
            <w:r w:rsidR="006D6BE5">
              <w:rPr>
                <w:rFonts w:ascii="Arial" w:hAnsi="Arial" w:cs="Arial"/>
                <w:color w:val="000000"/>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2B437C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5712ED1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C1D59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D02BE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D5A2E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7BE24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Buxhet shteti </w:t>
            </w:r>
          </w:p>
        </w:tc>
        <w:tc>
          <w:tcPr>
            <w:tcW w:w="120" w:type="pct"/>
            <w:tcBorders>
              <w:top w:val="nil"/>
              <w:left w:val="nil"/>
              <w:bottom w:val="single" w:sz="4" w:space="0" w:color="auto"/>
              <w:right w:val="single" w:sz="4" w:space="0" w:color="auto"/>
            </w:tcBorders>
            <w:shd w:val="clear" w:color="FFFFFF" w:fill="FFFFFF"/>
            <w:vAlign w:val="center"/>
            <w:hideMark/>
          </w:tcPr>
          <w:p w14:paraId="74893C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FD184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3CBA1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5ED8D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5CCF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48FCF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C0F1E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635105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6A0F2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17945D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1DFEE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N/A </w:t>
            </w:r>
          </w:p>
        </w:tc>
        <w:tc>
          <w:tcPr>
            <w:tcW w:w="171" w:type="pct"/>
            <w:tcBorders>
              <w:top w:val="nil"/>
              <w:left w:val="nil"/>
              <w:bottom w:val="single" w:sz="4" w:space="0" w:color="auto"/>
              <w:right w:val="single" w:sz="4" w:space="0" w:color="auto"/>
            </w:tcBorders>
            <w:shd w:val="clear" w:color="FFFFFF" w:fill="FFFFFF"/>
            <w:vAlign w:val="center"/>
            <w:hideMark/>
          </w:tcPr>
          <w:p w14:paraId="76C0E0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Marka Tregtare</w:t>
            </w:r>
          </w:p>
        </w:tc>
        <w:tc>
          <w:tcPr>
            <w:tcW w:w="661" w:type="pct"/>
            <w:tcBorders>
              <w:top w:val="nil"/>
              <w:left w:val="nil"/>
              <w:bottom w:val="single" w:sz="4" w:space="0" w:color="auto"/>
              <w:right w:val="single" w:sz="4" w:space="0" w:color="auto"/>
            </w:tcBorders>
            <w:shd w:val="clear" w:color="FFFFFF" w:fill="FFFFFF"/>
            <w:vAlign w:val="center"/>
            <w:hideMark/>
          </w:tcPr>
          <w:p w14:paraId="606808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2017/1001 mbi markën tregtare të Bashkimit Evropian e datës 14 qershor 2017</w:t>
            </w:r>
          </w:p>
        </w:tc>
        <w:tc>
          <w:tcPr>
            <w:tcW w:w="668" w:type="pct"/>
            <w:tcBorders>
              <w:top w:val="nil"/>
              <w:left w:val="nil"/>
              <w:bottom w:val="single" w:sz="4" w:space="0" w:color="auto"/>
              <w:right w:val="single" w:sz="4" w:space="0" w:color="auto"/>
            </w:tcBorders>
            <w:shd w:val="clear" w:color="auto" w:fill="auto"/>
            <w:vAlign w:val="center"/>
            <w:hideMark/>
          </w:tcPr>
          <w:p w14:paraId="121691AA" w14:textId="77777777" w:rsidR="00482167" w:rsidRPr="006D6BE5" w:rsidRDefault="00E63D69" w:rsidP="00A7241A">
            <w:pPr>
              <w:rPr>
                <w:rFonts w:ascii="Arial" w:hAnsi="Arial" w:cs="Arial"/>
                <w:color w:val="0563C1"/>
                <w:sz w:val="4"/>
                <w:szCs w:val="8"/>
                <w:u w:val="single"/>
                <w:lang w:val="sq-AL"/>
              </w:rPr>
            </w:pPr>
            <w:hyperlink r:id="rId53" w:history="1">
              <w:r w:rsidR="00482167" w:rsidRPr="006D6BE5">
                <w:rPr>
                  <w:rFonts w:ascii="Arial" w:hAnsi="Arial" w:cs="Arial"/>
                  <w:color w:val="0563C1"/>
                  <w:sz w:val="4"/>
                  <w:szCs w:val="8"/>
                  <w:u w:val="single"/>
                  <w:lang w:val="sq-AL"/>
                </w:rPr>
                <w:t>https://eur-lex.europa.eu/search.html?scope=EURLEX&amp;text=Regulation+%28EU%29+2017%2F1001+on+the+European+Union+trade+mark+of+14+June+2017&amp;lang=en&amp;type=quick&amp;qid=1702569263670</w:t>
              </w:r>
            </w:hyperlink>
          </w:p>
        </w:tc>
        <w:tc>
          <w:tcPr>
            <w:tcW w:w="506" w:type="pct"/>
            <w:tcBorders>
              <w:top w:val="nil"/>
              <w:left w:val="nil"/>
              <w:bottom w:val="single" w:sz="4" w:space="0" w:color="auto"/>
              <w:right w:val="single" w:sz="4" w:space="0" w:color="auto"/>
            </w:tcBorders>
            <w:shd w:val="clear" w:color="FFFFFF" w:fill="FFFFFF"/>
            <w:vAlign w:val="center"/>
            <w:hideMark/>
          </w:tcPr>
          <w:p w14:paraId="06DED6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DC8E8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Rregullores për Markat Tregtare"</w:t>
            </w:r>
          </w:p>
        </w:tc>
        <w:tc>
          <w:tcPr>
            <w:tcW w:w="330" w:type="pct"/>
            <w:tcBorders>
              <w:top w:val="nil"/>
              <w:left w:val="nil"/>
              <w:bottom w:val="single" w:sz="4" w:space="0" w:color="auto"/>
              <w:right w:val="single" w:sz="4" w:space="0" w:color="auto"/>
            </w:tcBorders>
            <w:shd w:val="clear" w:color="FFFFFF" w:fill="FFFFFF"/>
            <w:vAlign w:val="center"/>
            <w:hideMark/>
          </w:tcPr>
          <w:p w14:paraId="0F8F7200" w14:textId="3DD9986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Në zbatim të ligjit te ri për “Markat Tregtare”parashikohet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të miratohet projektvendimi i Këshillit të Ministrave për Miratimin e Rregullores për Markat në përafrim të Rregullores (BE) 2017/1001 mbi markën tregtare të Bashkimit Evropian e datës 14 qershor 2017. </w:t>
            </w:r>
          </w:p>
        </w:tc>
        <w:tc>
          <w:tcPr>
            <w:tcW w:w="126" w:type="pct"/>
            <w:tcBorders>
              <w:top w:val="nil"/>
              <w:left w:val="nil"/>
              <w:bottom w:val="single" w:sz="4" w:space="0" w:color="auto"/>
              <w:right w:val="single" w:sz="4" w:space="0" w:color="auto"/>
            </w:tcBorders>
            <w:shd w:val="clear" w:color="FFFFFF" w:fill="FFFFFF"/>
            <w:vAlign w:val="center"/>
            <w:hideMark/>
          </w:tcPr>
          <w:p w14:paraId="0D1523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VKM </w:t>
            </w:r>
          </w:p>
        </w:tc>
        <w:tc>
          <w:tcPr>
            <w:tcW w:w="146" w:type="pct"/>
            <w:tcBorders>
              <w:top w:val="nil"/>
              <w:left w:val="nil"/>
              <w:bottom w:val="single" w:sz="4" w:space="0" w:color="auto"/>
              <w:right w:val="single" w:sz="4" w:space="0" w:color="auto"/>
            </w:tcBorders>
            <w:shd w:val="clear" w:color="FFFFFF" w:fill="FFFFFF"/>
            <w:vAlign w:val="center"/>
            <w:hideMark/>
          </w:tcPr>
          <w:p w14:paraId="7F0458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4BFAE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289DCF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93551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D81AF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329E6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96A79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4C31C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C2868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5395F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09F5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A2771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A9ED0C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CBFE6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38EFB0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E4BA8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799B1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Disenjo Industriale</w:t>
            </w:r>
          </w:p>
        </w:tc>
        <w:tc>
          <w:tcPr>
            <w:tcW w:w="661" w:type="pct"/>
            <w:tcBorders>
              <w:top w:val="nil"/>
              <w:left w:val="nil"/>
              <w:bottom w:val="single" w:sz="4" w:space="0" w:color="auto"/>
              <w:right w:val="single" w:sz="4" w:space="0" w:color="auto"/>
            </w:tcBorders>
            <w:shd w:val="clear" w:color="FFFFFF" w:fill="FFFFFF"/>
            <w:vAlign w:val="center"/>
            <w:hideMark/>
          </w:tcPr>
          <w:p w14:paraId="7E396516" w14:textId="6B11D3B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98/71/KE e Parlamentit Evropian dhe e Këshillit, datë 13 tetor 1998 për mbrojtjen ligjore të disenjove.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Rregullorja e Këshillit (EC) Nr. 6/2002 e datës 12 dhjetor 2001 mbi disenjot komunitare .</w:t>
            </w:r>
          </w:p>
        </w:tc>
        <w:tc>
          <w:tcPr>
            <w:tcW w:w="668" w:type="pct"/>
            <w:tcBorders>
              <w:top w:val="nil"/>
              <w:left w:val="nil"/>
              <w:bottom w:val="single" w:sz="4" w:space="0" w:color="auto"/>
              <w:right w:val="single" w:sz="4" w:space="0" w:color="auto"/>
            </w:tcBorders>
            <w:shd w:val="clear" w:color="FFFFFF" w:fill="FFFFFF"/>
            <w:vAlign w:val="center"/>
            <w:hideMark/>
          </w:tcPr>
          <w:p w14:paraId="7AE7F4CD" w14:textId="77777777" w:rsidR="00482167" w:rsidRPr="006D6BE5" w:rsidRDefault="00E63D69" w:rsidP="00A7241A">
            <w:pPr>
              <w:rPr>
                <w:rFonts w:ascii="Arial" w:hAnsi="Arial" w:cs="Arial"/>
                <w:color w:val="0563C1"/>
                <w:sz w:val="4"/>
                <w:szCs w:val="8"/>
                <w:u w:val="single"/>
                <w:lang w:val="sq-AL"/>
              </w:rPr>
            </w:pPr>
            <w:hyperlink r:id="rId54" w:history="1">
              <w:r w:rsidR="00482167" w:rsidRPr="006D6BE5">
                <w:rPr>
                  <w:rFonts w:ascii="Arial" w:hAnsi="Arial" w:cs="Arial"/>
                  <w:color w:val="0563C1"/>
                  <w:sz w:val="4"/>
                  <w:szCs w:val="8"/>
                  <w:u w:val="single"/>
                  <w:lang w:val="sq-AL"/>
                </w:rPr>
                <w:t>https://eur-lex.europa.eu/legal-content/EN/TXT/?uri=CELEX%3A31998L0071. https://eur-lex.europa.eu/legal-content/EN/ALL/?uri=CELEX%3A32002R0006.</w:t>
              </w:r>
            </w:hyperlink>
          </w:p>
        </w:tc>
        <w:tc>
          <w:tcPr>
            <w:tcW w:w="506" w:type="pct"/>
            <w:tcBorders>
              <w:top w:val="nil"/>
              <w:left w:val="nil"/>
              <w:bottom w:val="single" w:sz="4" w:space="0" w:color="auto"/>
              <w:right w:val="single" w:sz="4" w:space="0" w:color="auto"/>
            </w:tcBorders>
            <w:shd w:val="clear" w:color="FFFFFF" w:fill="FFFFFF"/>
            <w:vAlign w:val="center"/>
            <w:hideMark/>
          </w:tcPr>
          <w:p w14:paraId="2FA747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F6ACF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Disenjot Industriale"</w:t>
            </w:r>
          </w:p>
        </w:tc>
        <w:tc>
          <w:tcPr>
            <w:tcW w:w="330" w:type="pct"/>
            <w:tcBorders>
              <w:top w:val="nil"/>
              <w:left w:val="nil"/>
              <w:bottom w:val="single" w:sz="4" w:space="0" w:color="auto"/>
              <w:right w:val="single" w:sz="4" w:space="0" w:color="auto"/>
            </w:tcBorders>
            <w:shd w:val="clear" w:color="FFFFFF" w:fill="FFFFFF"/>
            <w:vAlign w:val="center"/>
            <w:hideMark/>
          </w:tcPr>
          <w:p w14:paraId="7FA070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i ri për "Disenjot Industriale" synon perafrim te plote te Direktivës 98/71/KE dhe Rregullores së Këshillit (KE) Nr. 06/2002 në lidhje me shterimin e të drejtave, publikimin, zhvleresimin e disenjove industiale dhe të drejtat që vijnë nga regjistrimi i tyre.</w:t>
            </w:r>
          </w:p>
        </w:tc>
        <w:tc>
          <w:tcPr>
            <w:tcW w:w="126" w:type="pct"/>
            <w:tcBorders>
              <w:top w:val="nil"/>
              <w:left w:val="nil"/>
              <w:bottom w:val="single" w:sz="4" w:space="0" w:color="auto"/>
              <w:right w:val="single" w:sz="4" w:space="0" w:color="auto"/>
            </w:tcBorders>
            <w:shd w:val="clear" w:color="FFFFFF" w:fill="FFFFFF"/>
            <w:vAlign w:val="center"/>
            <w:hideMark/>
          </w:tcPr>
          <w:p w14:paraId="490DA3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2B3DF6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3234A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C002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CC164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Q3 </w:t>
            </w:r>
          </w:p>
        </w:tc>
        <w:tc>
          <w:tcPr>
            <w:tcW w:w="129" w:type="pct"/>
            <w:tcBorders>
              <w:top w:val="nil"/>
              <w:left w:val="nil"/>
              <w:bottom w:val="single" w:sz="4" w:space="0" w:color="auto"/>
              <w:right w:val="single" w:sz="4" w:space="0" w:color="auto"/>
            </w:tcBorders>
            <w:shd w:val="clear" w:color="FFFFFF" w:fill="FFFFFF"/>
            <w:vAlign w:val="center"/>
            <w:hideMark/>
          </w:tcPr>
          <w:p w14:paraId="1244B2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Donator </w:t>
            </w:r>
          </w:p>
        </w:tc>
        <w:tc>
          <w:tcPr>
            <w:tcW w:w="120" w:type="pct"/>
            <w:tcBorders>
              <w:top w:val="nil"/>
              <w:left w:val="nil"/>
              <w:bottom w:val="single" w:sz="4" w:space="0" w:color="auto"/>
              <w:right w:val="single" w:sz="4" w:space="0" w:color="auto"/>
            </w:tcBorders>
            <w:shd w:val="clear" w:color="FFFFFF" w:fill="FFFFFF"/>
            <w:vAlign w:val="center"/>
            <w:hideMark/>
          </w:tcPr>
          <w:p w14:paraId="706DF7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4,200</w:t>
            </w:r>
          </w:p>
        </w:tc>
        <w:tc>
          <w:tcPr>
            <w:tcW w:w="126" w:type="pct"/>
            <w:tcBorders>
              <w:top w:val="nil"/>
              <w:left w:val="nil"/>
              <w:bottom w:val="single" w:sz="4" w:space="0" w:color="auto"/>
              <w:right w:val="single" w:sz="4" w:space="0" w:color="auto"/>
            </w:tcBorders>
            <w:shd w:val="clear" w:color="FFFFFF" w:fill="FFFFFF"/>
            <w:vAlign w:val="center"/>
            <w:hideMark/>
          </w:tcPr>
          <w:p w14:paraId="45A9BA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4,200</w:t>
            </w:r>
          </w:p>
        </w:tc>
        <w:tc>
          <w:tcPr>
            <w:tcW w:w="117" w:type="pct"/>
            <w:tcBorders>
              <w:top w:val="nil"/>
              <w:left w:val="nil"/>
              <w:bottom w:val="single" w:sz="4" w:space="0" w:color="auto"/>
              <w:right w:val="single" w:sz="4" w:space="0" w:color="auto"/>
            </w:tcBorders>
            <w:shd w:val="clear" w:color="FFFFFF" w:fill="FFFFFF"/>
            <w:vAlign w:val="center"/>
            <w:hideMark/>
          </w:tcPr>
          <w:p w14:paraId="1B518D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2B62E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1BEA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F6EA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8D1D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E7E706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9BB86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1A1870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68E8F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6124B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Certifikata e Mbrojtjes Shtesë</w:t>
            </w:r>
          </w:p>
        </w:tc>
        <w:tc>
          <w:tcPr>
            <w:tcW w:w="661" w:type="pct"/>
            <w:tcBorders>
              <w:top w:val="nil"/>
              <w:left w:val="nil"/>
              <w:bottom w:val="single" w:sz="4" w:space="0" w:color="auto"/>
              <w:right w:val="single" w:sz="4" w:space="0" w:color="auto"/>
            </w:tcBorders>
            <w:shd w:val="clear" w:color="FFFFFF" w:fill="FFFFFF"/>
            <w:vAlign w:val="center"/>
            <w:hideMark/>
          </w:tcPr>
          <w:p w14:paraId="56F87088" w14:textId="01640EB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(EEC) Nr 1768/92 në lidhje me krijimin e një certifikate mbrojtëse shtesë për produktet medicinale (kodifikuar si Rregullorja (EC) nr. 469/2009 e Parlamentit Evropian dhe e Këshillit,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datë 6 maj 2009 në lidhje me certifikatën e mbrojtjes shtesë për ilaçet ). Rregullorja (EC) Nr. 1610/96 e Parlamentit Evropian dhe e Këshillit lidhur me certifikatat e mbrojtjes shtesë për produktet e mbrojtjes së bimëve.</w:t>
            </w:r>
            <w:r w:rsidRPr="006D6BE5">
              <w:rPr>
                <w:rFonts w:ascii="Arial" w:hAnsi="Arial" w:cs="Arial"/>
                <w:color w:val="000000"/>
                <w:sz w:val="4"/>
                <w:szCs w:val="8"/>
                <w:lang w:val="sq-AL"/>
              </w:rPr>
              <w:br w:type="page"/>
              <w:t>Rregullorja 2019/933 e Parlamentit Evropian dhe e Këshillit e datës 20 maj 2019, i ndryshuar në Rregulloren (EC) Nr. 469/2009 në lidhje me certifikatën e mbrojtjes shtesë për produktet mjekësore.</w:t>
            </w:r>
            <w:r w:rsidRPr="006D6BE5">
              <w:rPr>
                <w:rFonts w:ascii="Arial" w:hAnsi="Arial" w:cs="Arial"/>
                <w:color w:val="000000"/>
                <w:sz w:val="4"/>
                <w:szCs w:val="8"/>
                <w:lang w:val="sq-AL"/>
              </w:rPr>
              <w:br w:type="page"/>
            </w:r>
            <w:r w:rsidRPr="006D6BE5">
              <w:rPr>
                <w:rFonts w:ascii="Arial" w:hAnsi="Arial" w:cs="Arial"/>
                <w:color w:val="000000"/>
                <w:sz w:val="4"/>
                <w:szCs w:val="8"/>
                <w:lang w:val="sq-AL"/>
              </w:rPr>
              <w:br w:type="page"/>
            </w:r>
          </w:p>
        </w:tc>
        <w:tc>
          <w:tcPr>
            <w:tcW w:w="668" w:type="pct"/>
            <w:tcBorders>
              <w:top w:val="nil"/>
              <w:left w:val="nil"/>
              <w:bottom w:val="single" w:sz="4" w:space="0" w:color="auto"/>
              <w:right w:val="single" w:sz="4" w:space="0" w:color="auto"/>
            </w:tcBorders>
            <w:shd w:val="clear" w:color="FFFFFF" w:fill="FFFFFF"/>
            <w:vAlign w:val="center"/>
            <w:hideMark/>
          </w:tcPr>
          <w:p w14:paraId="140207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https://eur-lex.europa.eu/legal-content/EN/TXT/?uri=CELEX%3A32009R0469 ; </w:t>
            </w:r>
            <w:r w:rsidRPr="006D6BE5">
              <w:rPr>
                <w:rFonts w:ascii="Arial" w:hAnsi="Arial" w:cs="Arial"/>
                <w:color w:val="000000"/>
                <w:sz w:val="4"/>
                <w:szCs w:val="8"/>
                <w:lang w:val="sq-AL"/>
              </w:rPr>
              <w:br w:type="page"/>
            </w:r>
            <w:r w:rsidRPr="006D6BE5">
              <w:rPr>
                <w:rFonts w:ascii="Arial" w:hAnsi="Arial" w:cs="Arial"/>
                <w:color w:val="000000"/>
                <w:sz w:val="4"/>
                <w:szCs w:val="8"/>
                <w:lang w:val="sq-AL"/>
              </w:rPr>
              <w:br w:type="page"/>
              <w:t>https://eur-lex.europa.eu/legal-content/EN/TXT/?uri=celex%3A31996R1610;</w:t>
            </w:r>
            <w:r w:rsidRPr="006D6BE5">
              <w:rPr>
                <w:rFonts w:ascii="Arial" w:hAnsi="Arial" w:cs="Arial"/>
                <w:color w:val="000000"/>
                <w:sz w:val="4"/>
                <w:szCs w:val="8"/>
                <w:lang w:val="sq-AL"/>
              </w:rPr>
              <w:br w:type="page"/>
            </w:r>
            <w:r w:rsidRPr="006D6BE5">
              <w:rPr>
                <w:rFonts w:ascii="Arial" w:hAnsi="Arial" w:cs="Arial"/>
                <w:color w:val="000000"/>
                <w:sz w:val="4"/>
                <w:szCs w:val="8"/>
                <w:lang w:val="sq-AL"/>
              </w:rPr>
              <w:br w:type="page"/>
            </w:r>
            <w:r w:rsidRPr="006D6BE5">
              <w:rPr>
                <w:rFonts w:ascii="Arial" w:hAnsi="Arial" w:cs="Arial"/>
                <w:color w:val="000000"/>
                <w:sz w:val="4"/>
                <w:szCs w:val="8"/>
                <w:lang w:val="sq-AL"/>
              </w:rPr>
              <w:br w:type="page"/>
              <w:t>EUR-Lex - 32019R0933 - EN - EUR-Lex (europa.eu)</w:t>
            </w:r>
            <w:r w:rsidRPr="006D6BE5">
              <w:rPr>
                <w:rFonts w:ascii="Arial" w:hAnsi="Arial" w:cs="Arial"/>
                <w:color w:val="000000"/>
                <w:sz w:val="4"/>
                <w:szCs w:val="8"/>
                <w:lang w:val="sq-AL"/>
              </w:rPr>
              <w:br w:type="page"/>
            </w:r>
          </w:p>
        </w:tc>
        <w:tc>
          <w:tcPr>
            <w:tcW w:w="506" w:type="pct"/>
            <w:tcBorders>
              <w:top w:val="nil"/>
              <w:left w:val="nil"/>
              <w:bottom w:val="single" w:sz="4" w:space="0" w:color="auto"/>
              <w:right w:val="single" w:sz="4" w:space="0" w:color="auto"/>
            </w:tcBorders>
            <w:shd w:val="clear" w:color="FFFFFF" w:fill="FFFFFF"/>
            <w:vAlign w:val="center"/>
            <w:hideMark/>
          </w:tcPr>
          <w:p w14:paraId="2CEC10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74388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“Per Patentat, Modelet e Përdorimit dhe Certifikatave të Mbrojtjes Shtesë” </w:t>
            </w:r>
          </w:p>
        </w:tc>
        <w:tc>
          <w:tcPr>
            <w:tcW w:w="330" w:type="pct"/>
            <w:tcBorders>
              <w:top w:val="nil"/>
              <w:left w:val="nil"/>
              <w:bottom w:val="single" w:sz="4" w:space="0" w:color="auto"/>
              <w:right w:val="single" w:sz="4" w:space="0" w:color="auto"/>
            </w:tcBorders>
            <w:shd w:val="clear" w:color="FFFFFF" w:fill="FFFFFF"/>
            <w:vAlign w:val="center"/>
            <w:hideMark/>
          </w:tcPr>
          <w:p w14:paraId="74E7C8AD" w14:textId="69C1BDA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i ri specifik për “Patentat, Modelet e Përdorimit dhe Certifikatave të Mbrojtjes Shtesë” synon përafrim të plotë të Rregullores (EC) Nr. 469/2009 në lidhje me çertifikatën e Mbrojtjes Shtesë për produktet medicinale,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Rregullores (EC) Nr. 1610/96 e Parlamentit Evropian dhe e Këshillit lidhur me certifikatat e mbrojtjes shtesë për produktet e mbrojtjes së bimëve, si dhe Rregullores 2019/933 të Parlamentit Evropian dhe të Këshillit e datës 20 maj 2019, brenda vitit 2024. Bazuar në Strategjinë Kombëtare 2022-2025, ligji i ri parashikon transpozimin e të gjitha rregulloreve të BE-së në lidhje me patentat.</w:t>
            </w:r>
          </w:p>
        </w:tc>
        <w:tc>
          <w:tcPr>
            <w:tcW w:w="126" w:type="pct"/>
            <w:tcBorders>
              <w:top w:val="nil"/>
              <w:left w:val="nil"/>
              <w:bottom w:val="single" w:sz="4" w:space="0" w:color="auto"/>
              <w:right w:val="single" w:sz="4" w:space="0" w:color="auto"/>
            </w:tcBorders>
            <w:shd w:val="clear" w:color="FFFFFF" w:fill="FFFFFF"/>
            <w:vAlign w:val="center"/>
            <w:hideMark/>
          </w:tcPr>
          <w:p w14:paraId="7B0A8F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5F1EEF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0E2F5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DFB86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55FA5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16BBD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6D4234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FE263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B1717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FDA40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E779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535E1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21CB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6FC70B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3AB6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40FE34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32935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EF767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Licenca jovullnetare</w:t>
            </w:r>
          </w:p>
        </w:tc>
        <w:tc>
          <w:tcPr>
            <w:tcW w:w="661" w:type="pct"/>
            <w:tcBorders>
              <w:top w:val="nil"/>
              <w:left w:val="nil"/>
              <w:bottom w:val="single" w:sz="4" w:space="0" w:color="auto"/>
              <w:right w:val="single" w:sz="4" w:space="0" w:color="auto"/>
            </w:tcBorders>
            <w:shd w:val="clear" w:color="FFFFFF" w:fill="FFFFFF"/>
            <w:vAlign w:val="center"/>
            <w:hideMark/>
          </w:tcPr>
          <w:p w14:paraId="445592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(EC) Nr. 816/2006 për licencimin e detyrueshëm të patentave në lidhje me prodhimin e produkteve farmaceutike për eksport në vendet me probleme të shëndetit publik</w:t>
            </w:r>
          </w:p>
        </w:tc>
        <w:tc>
          <w:tcPr>
            <w:tcW w:w="668" w:type="pct"/>
            <w:tcBorders>
              <w:top w:val="nil"/>
              <w:left w:val="nil"/>
              <w:bottom w:val="single" w:sz="4" w:space="0" w:color="auto"/>
              <w:right w:val="single" w:sz="4" w:space="0" w:color="auto"/>
            </w:tcBorders>
            <w:shd w:val="clear" w:color="auto" w:fill="auto"/>
            <w:vAlign w:val="center"/>
            <w:hideMark/>
          </w:tcPr>
          <w:p w14:paraId="21CF70EE" w14:textId="77777777" w:rsidR="00482167" w:rsidRPr="006D6BE5" w:rsidRDefault="00E63D69" w:rsidP="00A7241A">
            <w:pPr>
              <w:rPr>
                <w:rFonts w:ascii="Arial" w:hAnsi="Arial" w:cs="Arial"/>
                <w:color w:val="0563C1"/>
                <w:sz w:val="4"/>
                <w:szCs w:val="8"/>
                <w:u w:val="single"/>
                <w:lang w:val="sq-AL"/>
              </w:rPr>
            </w:pPr>
            <w:hyperlink r:id="rId55" w:history="1">
              <w:r w:rsidR="00482167" w:rsidRPr="006D6BE5">
                <w:rPr>
                  <w:rFonts w:ascii="Arial" w:hAnsi="Arial" w:cs="Arial"/>
                  <w:color w:val="0563C1"/>
                  <w:sz w:val="4"/>
                  <w:szCs w:val="8"/>
                  <w:u w:val="single"/>
                  <w:lang w:val="sq-AL"/>
                </w:rPr>
                <w:t>https://eur-lex.europa.eu/legal-content/EN/TXT/?uri=CELEX%3A32006R0816;</w:t>
              </w:r>
            </w:hyperlink>
          </w:p>
        </w:tc>
        <w:tc>
          <w:tcPr>
            <w:tcW w:w="506" w:type="pct"/>
            <w:tcBorders>
              <w:top w:val="nil"/>
              <w:left w:val="nil"/>
              <w:bottom w:val="single" w:sz="4" w:space="0" w:color="auto"/>
              <w:right w:val="single" w:sz="4" w:space="0" w:color="auto"/>
            </w:tcBorders>
            <w:shd w:val="clear" w:color="FFFFFF" w:fill="FFFFFF"/>
            <w:vAlign w:val="center"/>
            <w:hideMark/>
          </w:tcPr>
          <w:p w14:paraId="2E2C2D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FD10B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“Per Patentat, Modelet e Përdorimit dhe Certifikatave të Mbrojtjes Shtesë” </w:t>
            </w:r>
          </w:p>
        </w:tc>
        <w:tc>
          <w:tcPr>
            <w:tcW w:w="330" w:type="pct"/>
            <w:tcBorders>
              <w:top w:val="nil"/>
              <w:left w:val="nil"/>
              <w:bottom w:val="single" w:sz="4" w:space="0" w:color="auto"/>
              <w:right w:val="single" w:sz="4" w:space="0" w:color="auto"/>
            </w:tcBorders>
            <w:shd w:val="clear" w:color="FFFFFF" w:fill="FFFFFF"/>
            <w:vAlign w:val="center"/>
            <w:hideMark/>
          </w:tcPr>
          <w:p w14:paraId="41BE949C" w14:textId="32F2FF6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i ri për “Patentat, Modelet e Përdorimit dhe Certifikatave të Mbrojtjes Shtesë” synon përafrim të plotë të Rregullores (EC) Nr. 816/2006 të Parlamentit Evropian dhe Këshillit për licencimin e detyrueshëm të patentave në lidhje me prodhimin e produkteve farmaceutike për eksport.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r>
            <w:r w:rsidRPr="006D6BE5">
              <w:rPr>
                <w:rFonts w:ascii="Arial" w:hAnsi="Arial" w:cs="Arial"/>
                <w:color w:val="000000"/>
                <w:sz w:val="4"/>
                <w:szCs w:val="8"/>
                <w:lang w:val="sq-AL"/>
              </w:rPr>
              <w:br/>
              <w:t>Rregullorja (EC) Nr. 816/2006 është transpozuar pjesërisht me Ligjin nr. 9947 të 7 korrik 2008 për Pronësinë Industriale, i ndryshuar. Bazuar në Strategjinë Kombëtare 2022-2025, është parashikuar hartimi i Ligjit për Patentat brenda vitit 2023. Në ligjin e ri për Patentat, do të harmonizohen plotësisht të gjitha nenet e Rregullores 816/2006.</w:t>
            </w:r>
            <w:r w:rsidRPr="006D6BE5">
              <w:rPr>
                <w:rFonts w:ascii="Arial" w:hAnsi="Arial" w:cs="Arial"/>
                <w:color w:val="000000"/>
                <w:sz w:val="4"/>
                <w:szCs w:val="8"/>
                <w:lang w:val="sq-AL"/>
              </w:rPr>
              <w:br/>
              <w:t xml:space="preserve">Shqipëria do të duhet të adresojë masat e transpozimit të dispozitave që zbatohen vetëm për Shtetet Anëtare, pas anëtarësimit në Bashkimin Evropian. </w:t>
            </w:r>
          </w:p>
        </w:tc>
        <w:tc>
          <w:tcPr>
            <w:tcW w:w="126" w:type="pct"/>
            <w:tcBorders>
              <w:top w:val="nil"/>
              <w:left w:val="nil"/>
              <w:bottom w:val="single" w:sz="4" w:space="0" w:color="auto"/>
              <w:right w:val="single" w:sz="4" w:space="0" w:color="auto"/>
            </w:tcBorders>
            <w:shd w:val="clear" w:color="FFFFFF" w:fill="FFFFFF"/>
            <w:vAlign w:val="center"/>
            <w:hideMark/>
          </w:tcPr>
          <w:p w14:paraId="4757F6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1489C7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4C0C4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25175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A1393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C0782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673321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F9D3D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E5323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68BC4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0859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A6951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577FB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7B2FAA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D7C8B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7E0DD1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320B6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90AEB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Shpikje Bioteknoligjike</w:t>
            </w:r>
          </w:p>
        </w:tc>
        <w:tc>
          <w:tcPr>
            <w:tcW w:w="661" w:type="pct"/>
            <w:tcBorders>
              <w:top w:val="nil"/>
              <w:left w:val="nil"/>
              <w:bottom w:val="single" w:sz="4" w:space="0" w:color="auto"/>
              <w:right w:val="single" w:sz="4" w:space="0" w:color="auto"/>
            </w:tcBorders>
            <w:shd w:val="clear" w:color="FFFFFF" w:fill="FFFFFF"/>
            <w:vAlign w:val="center"/>
            <w:hideMark/>
          </w:tcPr>
          <w:p w14:paraId="42E8EE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98/44/EC e Parlamentit Evropian dhe e Këshillit e datës 6 korrik 1998 për mbrojtjen ligjore të shpikjeve bioteknologjike (“Direktiva Bioteknologjike”).</w:t>
            </w:r>
            <w:r w:rsidRPr="006D6BE5">
              <w:rPr>
                <w:rFonts w:ascii="Arial" w:hAnsi="Arial" w:cs="Arial"/>
                <w:color w:val="000000"/>
                <w:sz w:val="4"/>
                <w:szCs w:val="8"/>
                <w:lang w:val="sq-AL"/>
              </w:rPr>
              <w:br/>
              <w:t>Njoftimi i Komisionit për disa nene të Direktivës 98/44/KE të Parlamentit Evropian dhe Këshillit për mbrojtjen ligjore të shpikjeve bioteknologjike.</w:t>
            </w:r>
          </w:p>
        </w:tc>
        <w:tc>
          <w:tcPr>
            <w:tcW w:w="668" w:type="pct"/>
            <w:tcBorders>
              <w:top w:val="nil"/>
              <w:left w:val="nil"/>
              <w:bottom w:val="single" w:sz="4" w:space="0" w:color="auto"/>
              <w:right w:val="single" w:sz="4" w:space="0" w:color="auto"/>
            </w:tcBorders>
            <w:shd w:val="clear" w:color="FFFFFF" w:fill="FFFFFF"/>
            <w:vAlign w:val="center"/>
            <w:hideMark/>
          </w:tcPr>
          <w:p w14:paraId="7D0DB4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https://eur-lex.europa.eu/legal-content/en/TXT/?uri=CELEX:31998L0044;</w:t>
            </w:r>
            <w:r w:rsidRPr="006D6BE5">
              <w:rPr>
                <w:rFonts w:ascii="Arial" w:hAnsi="Arial" w:cs="Arial"/>
                <w:color w:val="000000"/>
                <w:sz w:val="4"/>
                <w:szCs w:val="8"/>
                <w:lang w:val="sq-AL"/>
              </w:rPr>
              <w:br/>
            </w:r>
            <w:r w:rsidRPr="006D6BE5">
              <w:rPr>
                <w:rFonts w:ascii="Arial" w:hAnsi="Arial" w:cs="Arial"/>
                <w:color w:val="000000"/>
                <w:sz w:val="4"/>
                <w:szCs w:val="8"/>
                <w:lang w:val="sq-AL"/>
              </w:rPr>
              <w:br/>
              <w:t>https://eur-lex.europa.eu/legal-content/EN/TXT/?uri=CELEX%3A52016XC1108%2801%29;</w:t>
            </w:r>
          </w:p>
        </w:tc>
        <w:tc>
          <w:tcPr>
            <w:tcW w:w="506" w:type="pct"/>
            <w:tcBorders>
              <w:top w:val="nil"/>
              <w:left w:val="nil"/>
              <w:bottom w:val="single" w:sz="4" w:space="0" w:color="auto"/>
              <w:right w:val="single" w:sz="4" w:space="0" w:color="auto"/>
            </w:tcBorders>
            <w:shd w:val="clear" w:color="FFFFFF" w:fill="FFFFFF"/>
            <w:vAlign w:val="center"/>
            <w:hideMark/>
          </w:tcPr>
          <w:p w14:paraId="11DB84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D7D24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“Per Patentat, Modelet e Përdorimit dhe Certifikatave të Mbrojtjes Shtesë” </w:t>
            </w:r>
          </w:p>
        </w:tc>
        <w:tc>
          <w:tcPr>
            <w:tcW w:w="330" w:type="pct"/>
            <w:tcBorders>
              <w:top w:val="nil"/>
              <w:left w:val="nil"/>
              <w:bottom w:val="single" w:sz="4" w:space="0" w:color="auto"/>
              <w:right w:val="single" w:sz="4" w:space="0" w:color="auto"/>
            </w:tcBorders>
            <w:shd w:val="clear" w:color="FFFFFF" w:fill="FFFFFF"/>
            <w:vAlign w:val="center"/>
            <w:hideMark/>
          </w:tcPr>
          <w:p w14:paraId="34F506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i ri për “Patentat, Modelet e Përdorimit dhe Certifikatave të Mbrojtjes Shtesë” synon përafrim të plotë të Direktivës 98/44/EC të Parlamentit Evropian dhe Këshillit për mbrojtjen ligjore të shpikjeve bioteknologjike (“Direktiva Bioteknologjike”).</w:t>
            </w:r>
          </w:p>
        </w:tc>
        <w:tc>
          <w:tcPr>
            <w:tcW w:w="126" w:type="pct"/>
            <w:tcBorders>
              <w:top w:val="nil"/>
              <w:left w:val="nil"/>
              <w:bottom w:val="single" w:sz="4" w:space="0" w:color="auto"/>
              <w:right w:val="single" w:sz="4" w:space="0" w:color="auto"/>
            </w:tcBorders>
            <w:shd w:val="clear" w:color="FFFFFF" w:fill="FFFFFF"/>
            <w:vAlign w:val="center"/>
            <w:hideMark/>
          </w:tcPr>
          <w:p w14:paraId="3707F7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47C02B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24247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33C3CF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9F28E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9467D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505496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80BAC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2E8B2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41512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6140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8E604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B49C2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BBCBB0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84786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1B0D48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79EED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56FA26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Sekretit Tregtar</w:t>
            </w:r>
          </w:p>
        </w:tc>
        <w:tc>
          <w:tcPr>
            <w:tcW w:w="661" w:type="pct"/>
            <w:tcBorders>
              <w:top w:val="nil"/>
              <w:left w:val="nil"/>
              <w:bottom w:val="single" w:sz="4" w:space="0" w:color="auto"/>
              <w:right w:val="single" w:sz="4" w:space="0" w:color="auto"/>
            </w:tcBorders>
            <w:shd w:val="clear" w:color="FFFFFF" w:fill="FFFFFF"/>
            <w:vAlign w:val="center"/>
            <w:hideMark/>
          </w:tcPr>
          <w:p w14:paraId="55AE8C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2016/943 për mbrojtjen e njohurive të pazbuluara dhe informacioneve të biznesit (sekretet tregtare) kundër blerjes, përdorimit dhe zbulimit të paligjshëm të tyre.</w:t>
            </w:r>
          </w:p>
        </w:tc>
        <w:tc>
          <w:tcPr>
            <w:tcW w:w="668" w:type="pct"/>
            <w:tcBorders>
              <w:top w:val="nil"/>
              <w:left w:val="nil"/>
              <w:bottom w:val="single" w:sz="4" w:space="0" w:color="auto"/>
              <w:right w:val="single" w:sz="4" w:space="0" w:color="auto"/>
            </w:tcBorders>
            <w:shd w:val="clear" w:color="FFFFFF" w:fill="FFFFFF"/>
            <w:vAlign w:val="center"/>
            <w:hideMark/>
          </w:tcPr>
          <w:p w14:paraId="24535C36" w14:textId="77777777" w:rsidR="00482167" w:rsidRPr="006D6BE5" w:rsidRDefault="00E63D69" w:rsidP="00A7241A">
            <w:pPr>
              <w:rPr>
                <w:rFonts w:ascii="Arial" w:hAnsi="Arial" w:cs="Arial"/>
                <w:color w:val="0563C1"/>
                <w:sz w:val="4"/>
                <w:szCs w:val="8"/>
                <w:u w:val="single"/>
                <w:lang w:val="sq-AL"/>
              </w:rPr>
            </w:pPr>
            <w:hyperlink r:id="rId56" w:history="1">
              <w:r w:rsidR="00482167" w:rsidRPr="006D6BE5">
                <w:rPr>
                  <w:rFonts w:ascii="Arial" w:hAnsi="Arial" w:cs="Arial"/>
                  <w:color w:val="0563C1"/>
                  <w:sz w:val="4"/>
                  <w:szCs w:val="8"/>
                  <w:u w:val="single"/>
                  <w:lang w:val="sq-AL"/>
                </w:rPr>
                <w:t>https://eur-lex.europa.eu/legal-content/EN/TXT/?uri=CELEX%3A32016L0943</w:t>
              </w:r>
            </w:hyperlink>
          </w:p>
        </w:tc>
        <w:tc>
          <w:tcPr>
            <w:tcW w:w="506" w:type="pct"/>
            <w:tcBorders>
              <w:top w:val="nil"/>
              <w:left w:val="nil"/>
              <w:bottom w:val="single" w:sz="4" w:space="0" w:color="auto"/>
              <w:right w:val="single" w:sz="4" w:space="0" w:color="auto"/>
            </w:tcBorders>
            <w:shd w:val="clear" w:color="FFFFFF" w:fill="FFFFFF"/>
            <w:vAlign w:val="center"/>
            <w:hideMark/>
          </w:tcPr>
          <w:p w14:paraId="2D054C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F5B40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“Per Patentat, Modelet e Përdorimit dhe Certifikatave të Mbrojtjes Shtesë” </w:t>
            </w:r>
          </w:p>
        </w:tc>
        <w:tc>
          <w:tcPr>
            <w:tcW w:w="330" w:type="pct"/>
            <w:tcBorders>
              <w:top w:val="nil"/>
              <w:left w:val="nil"/>
              <w:bottom w:val="single" w:sz="4" w:space="0" w:color="auto"/>
              <w:right w:val="single" w:sz="4" w:space="0" w:color="auto"/>
            </w:tcBorders>
            <w:shd w:val="clear" w:color="FFFFFF" w:fill="FFFFFF"/>
            <w:vAlign w:val="center"/>
            <w:hideMark/>
          </w:tcPr>
          <w:p w14:paraId="2AB8A7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Fusha e Pronësisë Industriale. Projektligji i ri për “Patentat, Modelet e Përdorimit dhe Certifikatave të Mbrojtjes Shtesë” synon përafrim të plotë të Direktivës së BE-së 2016/943 për mbrojtjen e njohurive të pazbuluara dhe informacioneve të biznesit (sekretet tregtare) kundër blerjes, përdorimit dhe zbulimit të paligjshëm të tyre, me përjashtim të atyre seksioneve dhe neneve të Direktivës së BE-së që lidhen ekskluzivisht me anëtarët e BE-së, gjithashtu me ndryshime shumë të vogla në lidhje me legjislacionin kombëtar (kryesisht, ndryshime të lehta për shkak të rregullave procedurale) lidhur me, detyrime të përgjithshme, proporcionaliteti dhe shpërdorimi i procesit, periudha e kufizimit, masat e përkohshme dhe parandaluese,kushtet dhe masat mbrojtëse, vendimet gjyqesore dhe masat korrigjuese, Kushtet, masat mbrojtëse dhe masat alternative. </w:t>
            </w:r>
          </w:p>
        </w:tc>
        <w:tc>
          <w:tcPr>
            <w:tcW w:w="126" w:type="pct"/>
            <w:tcBorders>
              <w:top w:val="nil"/>
              <w:left w:val="nil"/>
              <w:bottom w:val="single" w:sz="4" w:space="0" w:color="auto"/>
              <w:right w:val="single" w:sz="4" w:space="0" w:color="auto"/>
            </w:tcBorders>
            <w:shd w:val="clear" w:color="FFFFFF" w:fill="FFFFFF"/>
            <w:vAlign w:val="center"/>
            <w:hideMark/>
          </w:tcPr>
          <w:p w14:paraId="08F449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1EB33B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D00DB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04E916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D00A4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CA930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21AE84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F19AD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71AF7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085C7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4C28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B5C3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B2313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A66684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260D8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285B03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69660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20E03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Enforcement of IPRs</w:t>
            </w:r>
          </w:p>
        </w:tc>
        <w:tc>
          <w:tcPr>
            <w:tcW w:w="661" w:type="pct"/>
            <w:tcBorders>
              <w:top w:val="nil"/>
              <w:left w:val="nil"/>
              <w:bottom w:val="single" w:sz="4" w:space="0" w:color="auto"/>
              <w:right w:val="single" w:sz="4" w:space="0" w:color="auto"/>
            </w:tcBorders>
            <w:shd w:val="clear" w:color="FFFFFF" w:fill="FFFFFF"/>
            <w:vAlign w:val="center"/>
            <w:hideMark/>
          </w:tcPr>
          <w:p w14:paraId="3EA844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2004/48/KE për zbatimin e të drejtave të pronësisë intelektuale</w:t>
            </w:r>
          </w:p>
        </w:tc>
        <w:tc>
          <w:tcPr>
            <w:tcW w:w="668" w:type="pct"/>
            <w:tcBorders>
              <w:top w:val="nil"/>
              <w:left w:val="nil"/>
              <w:bottom w:val="single" w:sz="4" w:space="0" w:color="auto"/>
              <w:right w:val="single" w:sz="4" w:space="0" w:color="auto"/>
            </w:tcBorders>
            <w:shd w:val="clear" w:color="FFFFFF" w:fill="FFFFFF"/>
            <w:vAlign w:val="center"/>
            <w:hideMark/>
          </w:tcPr>
          <w:p w14:paraId="5851F84C" w14:textId="77777777" w:rsidR="00482167" w:rsidRPr="006D6BE5" w:rsidRDefault="00E63D69" w:rsidP="00A7241A">
            <w:pPr>
              <w:rPr>
                <w:rFonts w:ascii="Arial" w:hAnsi="Arial" w:cs="Arial"/>
                <w:color w:val="0563C1"/>
                <w:sz w:val="4"/>
                <w:szCs w:val="8"/>
                <w:u w:val="single"/>
                <w:lang w:val="sq-AL"/>
              </w:rPr>
            </w:pPr>
            <w:hyperlink r:id="rId57" w:history="1">
              <w:r w:rsidR="00482167" w:rsidRPr="006D6BE5">
                <w:rPr>
                  <w:rFonts w:ascii="Arial" w:hAnsi="Arial" w:cs="Arial"/>
                  <w:color w:val="0563C1"/>
                  <w:sz w:val="4"/>
                  <w:szCs w:val="8"/>
                  <w:u w:val="single"/>
                  <w:lang w:val="sq-AL"/>
                </w:rPr>
                <w:t>https://eur-lex.europa.eu/legal-content/EN/TXT/?uri=CELEX%3A32004L0048R%2801%29</w:t>
              </w:r>
            </w:hyperlink>
          </w:p>
        </w:tc>
        <w:tc>
          <w:tcPr>
            <w:tcW w:w="506" w:type="pct"/>
            <w:tcBorders>
              <w:top w:val="nil"/>
              <w:left w:val="nil"/>
              <w:bottom w:val="single" w:sz="4" w:space="0" w:color="auto"/>
              <w:right w:val="single" w:sz="4" w:space="0" w:color="auto"/>
            </w:tcBorders>
            <w:shd w:val="clear" w:color="FFFFFF" w:fill="FFFFFF"/>
            <w:vAlign w:val="center"/>
            <w:hideMark/>
          </w:tcPr>
          <w:p w14:paraId="5BAF54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0540F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Markat Tregtare"</w:t>
            </w:r>
          </w:p>
        </w:tc>
        <w:tc>
          <w:tcPr>
            <w:tcW w:w="330" w:type="pct"/>
            <w:tcBorders>
              <w:top w:val="nil"/>
              <w:left w:val="nil"/>
              <w:bottom w:val="single" w:sz="4" w:space="0" w:color="auto"/>
              <w:right w:val="single" w:sz="4" w:space="0" w:color="auto"/>
            </w:tcBorders>
            <w:shd w:val="clear" w:color="FFFFFF" w:fill="FFFFFF"/>
            <w:vAlign w:val="center"/>
            <w:hideMark/>
          </w:tcPr>
          <w:p w14:paraId="63E7D226" w14:textId="3ADC5C8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i ri 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markat tregtare" synon përafrim të plotë të Direktivës 2004/48/KE për zbatimin e të drejtave të pronësisë intelektuale, përfshirë zbatimin e masave, procedurave dhe mjeteve juridike.</w:t>
            </w:r>
          </w:p>
        </w:tc>
        <w:tc>
          <w:tcPr>
            <w:tcW w:w="126" w:type="pct"/>
            <w:tcBorders>
              <w:top w:val="nil"/>
              <w:left w:val="nil"/>
              <w:bottom w:val="single" w:sz="4" w:space="0" w:color="auto"/>
              <w:right w:val="single" w:sz="4" w:space="0" w:color="auto"/>
            </w:tcBorders>
            <w:shd w:val="clear" w:color="FFFFFF" w:fill="FFFFFF"/>
            <w:vAlign w:val="center"/>
            <w:hideMark/>
          </w:tcPr>
          <w:p w14:paraId="4F75ED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7A12C4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D002A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4A640F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BA678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C65DF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2B3A75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CC716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CAB16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A9AE3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0368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4D330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4FE49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2E86BF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5BB56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7EF4CC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104E4E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720F5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drejta e autorit</w:t>
            </w:r>
          </w:p>
        </w:tc>
        <w:tc>
          <w:tcPr>
            <w:tcW w:w="661" w:type="pct"/>
            <w:tcBorders>
              <w:top w:val="nil"/>
              <w:left w:val="nil"/>
              <w:bottom w:val="single" w:sz="4" w:space="0" w:color="auto"/>
              <w:right w:val="single" w:sz="4" w:space="0" w:color="auto"/>
            </w:tcBorders>
            <w:shd w:val="clear" w:color="FFFFFF" w:fill="FFFFFF"/>
            <w:vAlign w:val="center"/>
            <w:hideMark/>
          </w:tcPr>
          <w:p w14:paraId="367D57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2014/26 - Menaxhimi kolektiv i të drejtave të autorit dhe të drejtave të përafërta dhe licencimi shumë-territorial i të drejtave në veprat muzikore për përdorim online në tregun e brendshëm.</w:t>
            </w:r>
          </w:p>
        </w:tc>
        <w:tc>
          <w:tcPr>
            <w:tcW w:w="668" w:type="pct"/>
            <w:tcBorders>
              <w:top w:val="nil"/>
              <w:left w:val="nil"/>
              <w:bottom w:val="single" w:sz="4" w:space="0" w:color="auto"/>
              <w:right w:val="single" w:sz="4" w:space="0" w:color="auto"/>
            </w:tcBorders>
            <w:shd w:val="clear" w:color="FFFFFF" w:fill="FFFFFF"/>
            <w:vAlign w:val="center"/>
            <w:hideMark/>
          </w:tcPr>
          <w:p w14:paraId="0187DEBB" w14:textId="77777777" w:rsidR="00482167" w:rsidRPr="006D6BE5" w:rsidRDefault="00E63D69" w:rsidP="00A7241A">
            <w:pPr>
              <w:rPr>
                <w:rFonts w:ascii="Arial" w:hAnsi="Arial" w:cs="Arial"/>
                <w:color w:val="0563C1"/>
                <w:sz w:val="4"/>
                <w:szCs w:val="8"/>
                <w:u w:val="single"/>
                <w:lang w:val="sq-AL"/>
              </w:rPr>
            </w:pPr>
            <w:hyperlink r:id="rId58" w:history="1">
              <w:r w:rsidR="00482167" w:rsidRPr="006D6BE5">
                <w:rPr>
                  <w:rFonts w:ascii="Arial" w:hAnsi="Arial" w:cs="Arial"/>
                  <w:color w:val="0563C1"/>
                  <w:sz w:val="4"/>
                  <w:szCs w:val="8"/>
                  <w:u w:val="single"/>
                  <w:lang w:val="sq-AL"/>
                </w:rPr>
                <w:t>https://eur-lex.europa.eu/legal-content/EN/TXT/?uri=CELEX%3A32015L2436</w:t>
              </w:r>
            </w:hyperlink>
          </w:p>
        </w:tc>
        <w:tc>
          <w:tcPr>
            <w:tcW w:w="506" w:type="pct"/>
            <w:tcBorders>
              <w:top w:val="nil"/>
              <w:left w:val="nil"/>
              <w:bottom w:val="single" w:sz="4" w:space="0" w:color="auto"/>
              <w:right w:val="single" w:sz="4" w:space="0" w:color="auto"/>
            </w:tcBorders>
            <w:shd w:val="clear" w:color="FFFFFF" w:fill="FFFFFF"/>
            <w:vAlign w:val="center"/>
            <w:hideMark/>
          </w:tcPr>
          <w:p w14:paraId="547868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A4161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35/2016 “Për të drejtat e autorit dhe të drejta të tjera të lidhura me to”, i ndryshuar</w:t>
            </w:r>
          </w:p>
        </w:tc>
        <w:tc>
          <w:tcPr>
            <w:tcW w:w="330" w:type="pct"/>
            <w:tcBorders>
              <w:top w:val="nil"/>
              <w:left w:val="nil"/>
              <w:bottom w:val="single" w:sz="4" w:space="0" w:color="auto"/>
              <w:right w:val="single" w:sz="4" w:space="0" w:color="auto"/>
            </w:tcBorders>
            <w:shd w:val="clear" w:color="FFFFFF" w:fill="FFFFFF"/>
            <w:vAlign w:val="center"/>
            <w:hideMark/>
          </w:tcPr>
          <w:p w14:paraId="294D6B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Intelektuale. Akti do adresojë nëpërmjet përafrimit të plotë të Direktivës 2014/26 zbatimin e kuadrit të ri ligjor lidhur me bashkëpunimin e organizatave të menaxhimit kolektiv, përmes trajnimeve, takimeve, seminareve duke plotësuar kuadrin ligjor me aktet e nevojshme nënligjore si dhe duke kontribuar në përmirësimin e funksionimit dhe organizimin e one stop shop për menaxhimin kolektiv për t'iu përshtatur aftësive të reja të licencimit multiterritorial.</w:t>
            </w:r>
          </w:p>
        </w:tc>
        <w:tc>
          <w:tcPr>
            <w:tcW w:w="126" w:type="pct"/>
            <w:tcBorders>
              <w:top w:val="nil"/>
              <w:left w:val="nil"/>
              <w:bottom w:val="single" w:sz="4" w:space="0" w:color="auto"/>
              <w:right w:val="single" w:sz="4" w:space="0" w:color="auto"/>
            </w:tcBorders>
            <w:shd w:val="clear" w:color="FFFFFF" w:fill="FFFFFF"/>
            <w:vAlign w:val="center"/>
            <w:hideMark/>
          </w:tcPr>
          <w:p w14:paraId="1A3494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E352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893E8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MK</w:t>
            </w:r>
          </w:p>
        </w:tc>
        <w:tc>
          <w:tcPr>
            <w:tcW w:w="113" w:type="pct"/>
            <w:tcBorders>
              <w:top w:val="nil"/>
              <w:left w:val="nil"/>
              <w:bottom w:val="single" w:sz="4" w:space="0" w:color="auto"/>
              <w:right w:val="single" w:sz="4" w:space="0" w:color="auto"/>
            </w:tcBorders>
            <w:shd w:val="clear" w:color="FFFFFF" w:fill="FFFFFF"/>
            <w:vAlign w:val="center"/>
            <w:hideMark/>
          </w:tcPr>
          <w:p w14:paraId="2D4333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6096C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Q3 </w:t>
            </w:r>
          </w:p>
        </w:tc>
        <w:tc>
          <w:tcPr>
            <w:tcW w:w="129" w:type="pct"/>
            <w:tcBorders>
              <w:top w:val="nil"/>
              <w:left w:val="nil"/>
              <w:bottom w:val="single" w:sz="4" w:space="0" w:color="auto"/>
              <w:right w:val="single" w:sz="4" w:space="0" w:color="auto"/>
            </w:tcBorders>
            <w:shd w:val="clear" w:color="FFFFFF" w:fill="FFFFFF"/>
            <w:vAlign w:val="center"/>
            <w:hideMark/>
          </w:tcPr>
          <w:p w14:paraId="329C3B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Buxhet shteti </w:t>
            </w:r>
          </w:p>
        </w:tc>
        <w:tc>
          <w:tcPr>
            <w:tcW w:w="120" w:type="pct"/>
            <w:tcBorders>
              <w:top w:val="nil"/>
              <w:left w:val="nil"/>
              <w:bottom w:val="single" w:sz="4" w:space="0" w:color="auto"/>
              <w:right w:val="single" w:sz="4" w:space="0" w:color="auto"/>
            </w:tcBorders>
            <w:shd w:val="clear" w:color="FFFFFF" w:fill="FFFFFF"/>
            <w:vAlign w:val="center"/>
            <w:hideMark/>
          </w:tcPr>
          <w:p w14:paraId="2EA10F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3E81C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AA177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F6DD6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3D355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D7723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EA9CB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ABED19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98392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47A32C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A00FA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2A98E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drejta e autorit</w:t>
            </w:r>
          </w:p>
        </w:tc>
        <w:tc>
          <w:tcPr>
            <w:tcW w:w="661" w:type="pct"/>
            <w:tcBorders>
              <w:top w:val="nil"/>
              <w:left w:val="nil"/>
              <w:bottom w:val="single" w:sz="4" w:space="0" w:color="auto"/>
              <w:right w:val="single" w:sz="4" w:space="0" w:color="auto"/>
            </w:tcBorders>
            <w:shd w:val="clear" w:color="FFFFFF" w:fill="FFFFFF"/>
            <w:vAlign w:val="center"/>
            <w:hideMark/>
          </w:tcPr>
          <w:p w14:paraId="6DBAA5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2019/790 e Parlamentit Evropian dhe e Këshillit e datës 17 prill 2019 për të drejtën e autorit dhe të drejtat e lidhura me tregun e vetëm dixhital I ndryshuar në Direktivat 96/9/EC dhe 2001/29/EC.</w:t>
            </w:r>
          </w:p>
        </w:tc>
        <w:tc>
          <w:tcPr>
            <w:tcW w:w="668" w:type="pct"/>
            <w:tcBorders>
              <w:top w:val="nil"/>
              <w:left w:val="nil"/>
              <w:bottom w:val="single" w:sz="4" w:space="0" w:color="auto"/>
              <w:right w:val="single" w:sz="4" w:space="0" w:color="auto"/>
            </w:tcBorders>
            <w:shd w:val="clear" w:color="FFFFFF" w:fill="FFFFFF"/>
            <w:vAlign w:val="center"/>
            <w:hideMark/>
          </w:tcPr>
          <w:p w14:paraId="2C7545F6" w14:textId="77777777" w:rsidR="00482167" w:rsidRPr="006D6BE5" w:rsidRDefault="00E63D69" w:rsidP="00A7241A">
            <w:pPr>
              <w:rPr>
                <w:rFonts w:ascii="Arial" w:hAnsi="Arial" w:cs="Arial"/>
                <w:color w:val="0563C1"/>
                <w:sz w:val="4"/>
                <w:szCs w:val="8"/>
                <w:u w:val="single"/>
                <w:lang w:val="sq-AL"/>
              </w:rPr>
            </w:pPr>
            <w:hyperlink r:id="rId59" w:history="1">
              <w:r w:rsidR="00482167" w:rsidRPr="006D6BE5">
                <w:rPr>
                  <w:rFonts w:ascii="Arial" w:hAnsi="Arial" w:cs="Arial"/>
                  <w:color w:val="0563C1"/>
                  <w:sz w:val="4"/>
                  <w:szCs w:val="8"/>
                  <w:u w:val="single"/>
                  <w:lang w:val="sq-AL"/>
                </w:rPr>
                <w:t>http://data.europa.eu/eli/dir/2019/790/oj</w:t>
              </w:r>
            </w:hyperlink>
          </w:p>
        </w:tc>
        <w:tc>
          <w:tcPr>
            <w:tcW w:w="506" w:type="pct"/>
            <w:tcBorders>
              <w:top w:val="nil"/>
              <w:left w:val="nil"/>
              <w:bottom w:val="single" w:sz="4" w:space="0" w:color="auto"/>
              <w:right w:val="single" w:sz="4" w:space="0" w:color="auto"/>
            </w:tcBorders>
            <w:shd w:val="clear" w:color="FFFFFF" w:fill="FFFFFF"/>
            <w:vAlign w:val="center"/>
            <w:hideMark/>
          </w:tcPr>
          <w:p w14:paraId="2A09C3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39A73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35/2016 “Për të drejtat e autorit dhe të drejta të tjera të lidhura me to”, i ndryshuar</w:t>
            </w:r>
          </w:p>
        </w:tc>
        <w:tc>
          <w:tcPr>
            <w:tcW w:w="330" w:type="pct"/>
            <w:tcBorders>
              <w:top w:val="nil"/>
              <w:left w:val="nil"/>
              <w:bottom w:val="single" w:sz="4" w:space="0" w:color="auto"/>
              <w:right w:val="single" w:sz="4" w:space="0" w:color="auto"/>
            </w:tcBorders>
            <w:shd w:val="clear" w:color="FFFFFF" w:fill="FFFFFF"/>
            <w:vAlign w:val="center"/>
            <w:hideMark/>
          </w:tcPr>
          <w:p w14:paraId="674266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Intelektuale. Akti nëpërmjet përafrimit të plotë të Direktivës (BE) 2019/790 për të drejtën e autorit dhe të drejtat e lidhura me tregun e vetëm dixhital, ndryshuar nga Direktivat 96/9/EC dhe 2001/29/EC, do adresojë zbatimin e kuadrit të ri ligjor lidhur me bashkëpunimin e organizatave të menaxhimit kolektiv dhe institucioneve të tjera publike, përfshirë strukturën përgjegjëse për zbatimin online të të drejtës së autorit, duke plotësuar më tej kuadrin ligjor me aktet e nevojshme nënligjore.</w:t>
            </w:r>
          </w:p>
        </w:tc>
        <w:tc>
          <w:tcPr>
            <w:tcW w:w="126" w:type="pct"/>
            <w:tcBorders>
              <w:top w:val="nil"/>
              <w:left w:val="nil"/>
              <w:bottom w:val="single" w:sz="4" w:space="0" w:color="auto"/>
              <w:right w:val="single" w:sz="4" w:space="0" w:color="auto"/>
            </w:tcBorders>
            <w:shd w:val="clear" w:color="FFFFFF" w:fill="FFFFFF"/>
            <w:vAlign w:val="center"/>
            <w:hideMark/>
          </w:tcPr>
          <w:p w14:paraId="79627F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2C83D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6E68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MK</w:t>
            </w:r>
          </w:p>
        </w:tc>
        <w:tc>
          <w:tcPr>
            <w:tcW w:w="113" w:type="pct"/>
            <w:tcBorders>
              <w:top w:val="nil"/>
              <w:left w:val="nil"/>
              <w:bottom w:val="single" w:sz="4" w:space="0" w:color="auto"/>
              <w:right w:val="single" w:sz="4" w:space="0" w:color="auto"/>
            </w:tcBorders>
            <w:shd w:val="clear" w:color="FFFFFF" w:fill="FFFFFF"/>
            <w:vAlign w:val="center"/>
            <w:hideMark/>
          </w:tcPr>
          <w:p w14:paraId="33CE7B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36123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09E4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Buxhet shteti </w:t>
            </w:r>
          </w:p>
        </w:tc>
        <w:tc>
          <w:tcPr>
            <w:tcW w:w="120" w:type="pct"/>
            <w:tcBorders>
              <w:top w:val="nil"/>
              <w:left w:val="nil"/>
              <w:bottom w:val="single" w:sz="4" w:space="0" w:color="auto"/>
              <w:right w:val="single" w:sz="4" w:space="0" w:color="auto"/>
            </w:tcBorders>
            <w:shd w:val="clear" w:color="FFFFFF" w:fill="FFFFFF"/>
            <w:vAlign w:val="center"/>
            <w:hideMark/>
          </w:tcPr>
          <w:p w14:paraId="227947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1B8BA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6C7CD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A3152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24BF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9E556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E324C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F4ED2C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57B09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0C2E6B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BE444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F3503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drejta e autorit</w:t>
            </w:r>
          </w:p>
        </w:tc>
        <w:tc>
          <w:tcPr>
            <w:tcW w:w="661" w:type="pct"/>
            <w:tcBorders>
              <w:top w:val="nil"/>
              <w:left w:val="nil"/>
              <w:bottom w:val="single" w:sz="4" w:space="0" w:color="auto"/>
              <w:right w:val="single" w:sz="4" w:space="0" w:color="auto"/>
            </w:tcBorders>
            <w:shd w:val="clear" w:color="FFFFFF" w:fill="FFFFFF"/>
            <w:vAlign w:val="center"/>
            <w:hideMark/>
          </w:tcPr>
          <w:p w14:paraId="1FD32E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2019/789 e Parlamentit Evropian dhe e Këshillit e datës 17 prill 2019 që përcakton rregullat për ushtrimin e të drejtës së autorit dhe të drejtave të lidhura me të, të zbatueshme për transmetime të caktuara në internet të organizatave transmetuese dhe ritransmetimet e programeve televizive dhe radiofonike, amenduar Direktivën e Këshillit 93/83/EEC.</w:t>
            </w:r>
          </w:p>
        </w:tc>
        <w:tc>
          <w:tcPr>
            <w:tcW w:w="668" w:type="pct"/>
            <w:tcBorders>
              <w:top w:val="nil"/>
              <w:left w:val="nil"/>
              <w:bottom w:val="single" w:sz="4" w:space="0" w:color="auto"/>
              <w:right w:val="single" w:sz="4" w:space="0" w:color="auto"/>
            </w:tcBorders>
            <w:shd w:val="clear" w:color="FFFFFF" w:fill="FFFFFF"/>
            <w:vAlign w:val="center"/>
            <w:hideMark/>
          </w:tcPr>
          <w:p w14:paraId="03BDBD29" w14:textId="77777777" w:rsidR="00482167" w:rsidRPr="006D6BE5" w:rsidRDefault="00E63D69" w:rsidP="00A7241A">
            <w:pPr>
              <w:rPr>
                <w:rFonts w:ascii="Arial" w:hAnsi="Arial" w:cs="Arial"/>
                <w:color w:val="0563C1"/>
                <w:sz w:val="4"/>
                <w:szCs w:val="8"/>
                <w:u w:val="single"/>
                <w:lang w:val="sq-AL"/>
              </w:rPr>
            </w:pPr>
            <w:hyperlink r:id="rId60" w:history="1">
              <w:r w:rsidR="00482167" w:rsidRPr="006D6BE5">
                <w:rPr>
                  <w:rFonts w:ascii="Arial" w:hAnsi="Arial" w:cs="Arial"/>
                  <w:color w:val="0563C1"/>
                  <w:sz w:val="4"/>
                  <w:szCs w:val="8"/>
                  <w:u w:val="single"/>
                  <w:lang w:val="sq-AL"/>
                </w:rPr>
                <w:t>http://data.europa.eu/eli/dir/1987/54/oj</w:t>
              </w:r>
            </w:hyperlink>
          </w:p>
        </w:tc>
        <w:tc>
          <w:tcPr>
            <w:tcW w:w="506" w:type="pct"/>
            <w:tcBorders>
              <w:top w:val="nil"/>
              <w:left w:val="nil"/>
              <w:bottom w:val="single" w:sz="4" w:space="0" w:color="auto"/>
              <w:right w:val="single" w:sz="4" w:space="0" w:color="auto"/>
            </w:tcBorders>
            <w:shd w:val="clear" w:color="FFFFFF" w:fill="FFFFFF"/>
            <w:vAlign w:val="center"/>
            <w:hideMark/>
          </w:tcPr>
          <w:p w14:paraId="210E71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235C5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35/2016 “Për të drejtat e autorit dhe të drejta të tjera të lidhura me to”, i ndryshuar</w:t>
            </w:r>
          </w:p>
        </w:tc>
        <w:tc>
          <w:tcPr>
            <w:tcW w:w="330" w:type="pct"/>
            <w:tcBorders>
              <w:top w:val="nil"/>
              <w:left w:val="nil"/>
              <w:bottom w:val="single" w:sz="4" w:space="0" w:color="auto"/>
              <w:right w:val="single" w:sz="4" w:space="0" w:color="auto"/>
            </w:tcBorders>
            <w:shd w:val="clear" w:color="FFFFFF" w:fill="FFFFFF"/>
            <w:vAlign w:val="center"/>
            <w:hideMark/>
          </w:tcPr>
          <w:p w14:paraId="23F30DFD" w14:textId="47FE78A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Intelektuale. Akti adreson përafrimin e plotë të Direktivës (BE) 2019/789, që përcakton rregullat për ushtrimin e të drejtës së autorit dhe të drejtave të lidhura me të, të zbatueshme për transmetime të caktuara në internet të organizatave transmetuese dhe ritransmetimet e programeve televizive dhe radiofonike, amenduar me Direktivën e Këshillit 93/83/EEC, si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plotëson kuadrin ligjor lidhur me bashkëpunimin e organizatave të menaxhimit kolektiv. </w:t>
            </w:r>
          </w:p>
        </w:tc>
        <w:tc>
          <w:tcPr>
            <w:tcW w:w="126" w:type="pct"/>
            <w:tcBorders>
              <w:top w:val="nil"/>
              <w:left w:val="nil"/>
              <w:bottom w:val="single" w:sz="4" w:space="0" w:color="auto"/>
              <w:right w:val="single" w:sz="4" w:space="0" w:color="auto"/>
            </w:tcBorders>
            <w:shd w:val="clear" w:color="FFFFFF" w:fill="FFFFFF"/>
            <w:vAlign w:val="center"/>
            <w:hideMark/>
          </w:tcPr>
          <w:p w14:paraId="3E6C70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12BD8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A13A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MK</w:t>
            </w:r>
          </w:p>
        </w:tc>
        <w:tc>
          <w:tcPr>
            <w:tcW w:w="113" w:type="pct"/>
            <w:tcBorders>
              <w:top w:val="nil"/>
              <w:left w:val="nil"/>
              <w:bottom w:val="single" w:sz="4" w:space="0" w:color="auto"/>
              <w:right w:val="single" w:sz="4" w:space="0" w:color="auto"/>
            </w:tcBorders>
            <w:shd w:val="clear" w:color="FFFFFF" w:fill="FFFFFF"/>
            <w:vAlign w:val="center"/>
            <w:hideMark/>
          </w:tcPr>
          <w:p w14:paraId="0F033A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9EFF5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5985E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Buxhet shteti </w:t>
            </w:r>
          </w:p>
        </w:tc>
        <w:tc>
          <w:tcPr>
            <w:tcW w:w="120" w:type="pct"/>
            <w:tcBorders>
              <w:top w:val="nil"/>
              <w:left w:val="nil"/>
              <w:bottom w:val="single" w:sz="4" w:space="0" w:color="auto"/>
              <w:right w:val="single" w:sz="4" w:space="0" w:color="auto"/>
            </w:tcBorders>
            <w:shd w:val="clear" w:color="FFFFFF" w:fill="FFFFFF"/>
            <w:vAlign w:val="center"/>
            <w:hideMark/>
          </w:tcPr>
          <w:p w14:paraId="517A5E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E79E8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5DAB3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22DA5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41BB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0C6B7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2681D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F1E482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DF9AD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2E7B8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35996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EEC00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Topografia e Produkteve gjysmëpërcuese</w:t>
            </w:r>
          </w:p>
        </w:tc>
        <w:tc>
          <w:tcPr>
            <w:tcW w:w="661" w:type="pct"/>
            <w:tcBorders>
              <w:top w:val="nil"/>
              <w:left w:val="nil"/>
              <w:bottom w:val="single" w:sz="4" w:space="0" w:color="auto"/>
              <w:right w:val="single" w:sz="4" w:space="0" w:color="auto"/>
            </w:tcBorders>
            <w:shd w:val="clear" w:color="FFFFFF" w:fill="FFFFFF"/>
            <w:vAlign w:val="center"/>
            <w:hideMark/>
          </w:tcPr>
          <w:p w14:paraId="2ED65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87/54/KEE për mbrojtjen e topografisë së produkteve gjysmëpërçuese.</w:t>
            </w:r>
          </w:p>
        </w:tc>
        <w:tc>
          <w:tcPr>
            <w:tcW w:w="668" w:type="pct"/>
            <w:tcBorders>
              <w:top w:val="nil"/>
              <w:left w:val="nil"/>
              <w:bottom w:val="single" w:sz="4" w:space="0" w:color="auto"/>
              <w:right w:val="single" w:sz="4" w:space="0" w:color="auto"/>
            </w:tcBorders>
            <w:shd w:val="clear" w:color="FFFFFF" w:fill="FFFFFF"/>
            <w:vAlign w:val="center"/>
            <w:hideMark/>
          </w:tcPr>
          <w:p w14:paraId="70E4EA60" w14:textId="77777777" w:rsidR="00482167" w:rsidRPr="006D6BE5" w:rsidRDefault="00E63D69" w:rsidP="00A7241A">
            <w:pPr>
              <w:rPr>
                <w:rFonts w:ascii="Arial" w:hAnsi="Arial" w:cs="Arial"/>
                <w:color w:val="0563C1"/>
                <w:sz w:val="4"/>
                <w:szCs w:val="8"/>
                <w:u w:val="single"/>
                <w:lang w:val="sq-AL"/>
              </w:rPr>
            </w:pPr>
            <w:hyperlink r:id="rId61" w:history="1">
              <w:r w:rsidR="00482167" w:rsidRPr="006D6BE5">
                <w:rPr>
                  <w:rFonts w:ascii="Arial" w:hAnsi="Arial" w:cs="Arial"/>
                  <w:color w:val="0563C1"/>
                  <w:sz w:val="4"/>
                  <w:szCs w:val="8"/>
                  <w:u w:val="single"/>
                  <w:lang w:val="sq-AL"/>
                </w:rPr>
                <w:t>https://eur-lex.europa.eu/legal-content/EN/TXT/?uri=CELEX%3A31987L0054&amp;qid=1702569542698</w:t>
              </w:r>
            </w:hyperlink>
          </w:p>
        </w:tc>
        <w:tc>
          <w:tcPr>
            <w:tcW w:w="506" w:type="pct"/>
            <w:tcBorders>
              <w:top w:val="nil"/>
              <w:left w:val="nil"/>
              <w:bottom w:val="single" w:sz="4" w:space="0" w:color="auto"/>
              <w:right w:val="single" w:sz="4" w:space="0" w:color="auto"/>
            </w:tcBorders>
            <w:shd w:val="clear" w:color="FFFFFF" w:fill="FFFFFF"/>
            <w:vAlign w:val="center"/>
            <w:hideMark/>
          </w:tcPr>
          <w:p w14:paraId="19006A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FFE98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 “Per Patentat, Modelet e Përdorimit dhe Certifikatave të Mbrojtjes Shtesë” </w:t>
            </w:r>
          </w:p>
        </w:tc>
        <w:tc>
          <w:tcPr>
            <w:tcW w:w="330" w:type="pct"/>
            <w:tcBorders>
              <w:top w:val="nil"/>
              <w:left w:val="nil"/>
              <w:bottom w:val="single" w:sz="4" w:space="0" w:color="auto"/>
              <w:right w:val="single" w:sz="4" w:space="0" w:color="auto"/>
            </w:tcBorders>
            <w:shd w:val="clear" w:color="FFFFFF" w:fill="FFFFFF"/>
            <w:vAlign w:val="center"/>
            <w:hideMark/>
          </w:tcPr>
          <w:p w14:paraId="253CCB8F" w14:textId="17B4880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Projektligji për “Patentat, Modelet e Përdorimit dhe Certifikatave të Mbrojtjes Shtesë”, lidhur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me mbrojtjen e Topografive të Produkteve Gjysmëpërçuese synon prafrim të plotë me Direktivën 87/54/EEC, me përjashtim të atyre dispozitave të Direktivës që lidhen ekskluzivisht me shtetet anëtare të BE-së.</w:t>
            </w:r>
          </w:p>
        </w:tc>
        <w:tc>
          <w:tcPr>
            <w:tcW w:w="126" w:type="pct"/>
            <w:tcBorders>
              <w:top w:val="nil"/>
              <w:left w:val="nil"/>
              <w:bottom w:val="single" w:sz="4" w:space="0" w:color="auto"/>
              <w:right w:val="single" w:sz="4" w:space="0" w:color="auto"/>
            </w:tcBorders>
            <w:shd w:val="clear" w:color="FFFFFF" w:fill="FFFFFF"/>
            <w:vAlign w:val="center"/>
            <w:hideMark/>
          </w:tcPr>
          <w:p w14:paraId="2859E7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Ligj </w:t>
            </w:r>
          </w:p>
        </w:tc>
        <w:tc>
          <w:tcPr>
            <w:tcW w:w="146" w:type="pct"/>
            <w:tcBorders>
              <w:top w:val="nil"/>
              <w:left w:val="nil"/>
              <w:bottom w:val="single" w:sz="4" w:space="0" w:color="auto"/>
              <w:right w:val="single" w:sz="4" w:space="0" w:color="auto"/>
            </w:tcBorders>
            <w:shd w:val="clear" w:color="FFFFFF" w:fill="FFFFFF"/>
            <w:vAlign w:val="center"/>
            <w:hideMark/>
          </w:tcPr>
          <w:p w14:paraId="1C063B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62A75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5EEF7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BAC19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46A4B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5CDF10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49404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D7AAA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5F684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D4FF9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011EA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A5AF9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69FEBB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7C387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w:t>
            </w:r>
          </w:p>
        </w:tc>
        <w:tc>
          <w:tcPr>
            <w:tcW w:w="144" w:type="pct"/>
            <w:tcBorders>
              <w:top w:val="nil"/>
              <w:left w:val="nil"/>
              <w:bottom w:val="single" w:sz="4" w:space="0" w:color="auto"/>
              <w:right w:val="single" w:sz="4" w:space="0" w:color="auto"/>
            </w:tcBorders>
            <w:shd w:val="clear" w:color="FFFFFF" w:fill="FFFFFF"/>
            <w:vAlign w:val="center"/>
            <w:hideMark/>
          </w:tcPr>
          <w:p w14:paraId="4333A4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F492D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558A3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661" w:type="pct"/>
            <w:tcBorders>
              <w:top w:val="nil"/>
              <w:left w:val="nil"/>
              <w:bottom w:val="single" w:sz="4" w:space="0" w:color="auto"/>
              <w:right w:val="single" w:sz="4" w:space="0" w:color="auto"/>
            </w:tcBorders>
            <w:shd w:val="clear" w:color="FFFFFF" w:fill="FFFFFF"/>
            <w:vAlign w:val="center"/>
            <w:hideMark/>
          </w:tcPr>
          <w:p w14:paraId="547B82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2019/933 e Parlamentit Evropian dhe e Këshillit e datës 20 maj 2019 që amendon Rregulloren (EC) 469/2009. </w:t>
            </w:r>
          </w:p>
        </w:tc>
        <w:tc>
          <w:tcPr>
            <w:tcW w:w="668" w:type="pct"/>
            <w:tcBorders>
              <w:top w:val="nil"/>
              <w:left w:val="nil"/>
              <w:bottom w:val="single" w:sz="4" w:space="0" w:color="auto"/>
              <w:right w:val="single" w:sz="4" w:space="0" w:color="auto"/>
            </w:tcBorders>
            <w:shd w:val="clear" w:color="auto" w:fill="auto"/>
            <w:vAlign w:val="center"/>
            <w:hideMark/>
          </w:tcPr>
          <w:p w14:paraId="215A8C2D" w14:textId="77777777" w:rsidR="00482167" w:rsidRPr="006D6BE5" w:rsidRDefault="00E63D69" w:rsidP="00A7241A">
            <w:pPr>
              <w:rPr>
                <w:rFonts w:ascii="Arial" w:hAnsi="Arial" w:cs="Arial"/>
                <w:color w:val="0563C1"/>
                <w:sz w:val="4"/>
                <w:szCs w:val="8"/>
                <w:u w:val="single"/>
                <w:lang w:val="sq-AL"/>
              </w:rPr>
            </w:pPr>
            <w:hyperlink r:id="rId62" w:history="1">
              <w:r w:rsidR="00482167" w:rsidRPr="006D6BE5">
                <w:rPr>
                  <w:rFonts w:ascii="Arial" w:hAnsi="Arial" w:cs="Arial"/>
                  <w:color w:val="0563C1"/>
                  <w:sz w:val="4"/>
                  <w:szCs w:val="8"/>
                  <w:u w:val="single"/>
                  <w:lang w:val="sq-AL"/>
                </w:rPr>
                <w:t>https://eur-lex.europa.eu/eli/reg/2019/933/oj;</w:t>
              </w:r>
            </w:hyperlink>
          </w:p>
        </w:tc>
        <w:tc>
          <w:tcPr>
            <w:tcW w:w="506" w:type="pct"/>
            <w:tcBorders>
              <w:top w:val="nil"/>
              <w:left w:val="nil"/>
              <w:bottom w:val="single" w:sz="4" w:space="0" w:color="auto"/>
              <w:right w:val="single" w:sz="4" w:space="0" w:color="auto"/>
            </w:tcBorders>
            <w:shd w:val="clear" w:color="FFFFFF" w:fill="FFFFFF"/>
            <w:vAlign w:val="center"/>
            <w:hideMark/>
          </w:tcPr>
          <w:p w14:paraId="29C058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30317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Rregullores për Patentat, Modelet e Përdorimit dhe Certifikatave të Mbrojtjes Shtesë.</w:t>
            </w:r>
          </w:p>
        </w:tc>
        <w:tc>
          <w:tcPr>
            <w:tcW w:w="330" w:type="pct"/>
            <w:tcBorders>
              <w:top w:val="nil"/>
              <w:left w:val="nil"/>
              <w:bottom w:val="single" w:sz="4" w:space="0" w:color="auto"/>
              <w:right w:val="single" w:sz="4" w:space="0" w:color="auto"/>
            </w:tcBorders>
            <w:shd w:val="clear" w:color="FFFFFF" w:fill="FFFFFF"/>
            <w:vAlign w:val="center"/>
            <w:hideMark/>
          </w:tcPr>
          <w:p w14:paraId="38A883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Fusha e Pronësisë Industriale. Vendimi i Këshillit të Ministrave synon përafrim të Rregullores 2019/933 që amendon Rregulloren (EC) 469/2009 për Patentat, Modelet e Përdorimit dhe Certifikatave të Mbrojtjes Shtesë, në zbatimi të ligjit të ri për patentat.</w:t>
            </w:r>
          </w:p>
        </w:tc>
        <w:tc>
          <w:tcPr>
            <w:tcW w:w="126" w:type="pct"/>
            <w:tcBorders>
              <w:top w:val="nil"/>
              <w:left w:val="nil"/>
              <w:bottom w:val="single" w:sz="4" w:space="0" w:color="auto"/>
              <w:right w:val="single" w:sz="4" w:space="0" w:color="auto"/>
            </w:tcBorders>
            <w:shd w:val="clear" w:color="FFFFFF" w:fill="FFFFFF"/>
            <w:vAlign w:val="center"/>
            <w:hideMark/>
          </w:tcPr>
          <w:p w14:paraId="33C7D4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VKM </w:t>
            </w:r>
          </w:p>
        </w:tc>
        <w:tc>
          <w:tcPr>
            <w:tcW w:w="146" w:type="pct"/>
            <w:tcBorders>
              <w:top w:val="nil"/>
              <w:left w:val="nil"/>
              <w:bottom w:val="single" w:sz="4" w:space="0" w:color="auto"/>
              <w:right w:val="single" w:sz="4" w:space="0" w:color="auto"/>
            </w:tcBorders>
            <w:shd w:val="clear" w:color="FFFFFF" w:fill="FFFFFF"/>
            <w:vAlign w:val="center"/>
            <w:hideMark/>
          </w:tcPr>
          <w:p w14:paraId="1437D5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D1506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6AA4A7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9ADE4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F149E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4506D6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2587A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755E1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4BDC0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E8213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4350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48468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AADFCC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0219E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w:t>
            </w:r>
          </w:p>
        </w:tc>
        <w:tc>
          <w:tcPr>
            <w:tcW w:w="144" w:type="pct"/>
            <w:tcBorders>
              <w:top w:val="nil"/>
              <w:left w:val="nil"/>
              <w:bottom w:val="single" w:sz="4" w:space="0" w:color="auto"/>
              <w:right w:val="single" w:sz="4" w:space="0" w:color="auto"/>
            </w:tcBorders>
            <w:shd w:val="clear" w:color="FFFFFF" w:fill="FFFFFF"/>
            <w:vAlign w:val="center"/>
            <w:hideMark/>
          </w:tcPr>
          <w:p w14:paraId="34CF11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65" w:type="pct"/>
            <w:tcBorders>
              <w:top w:val="nil"/>
              <w:left w:val="nil"/>
              <w:bottom w:val="single" w:sz="4" w:space="0" w:color="auto"/>
              <w:right w:val="single" w:sz="4" w:space="0" w:color="auto"/>
            </w:tcBorders>
            <w:shd w:val="clear" w:color="FFFFFF" w:fill="FFFFFF"/>
            <w:vAlign w:val="center"/>
            <w:hideMark/>
          </w:tcPr>
          <w:p w14:paraId="06EDAF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71" w:type="pct"/>
            <w:tcBorders>
              <w:top w:val="nil"/>
              <w:left w:val="nil"/>
              <w:bottom w:val="single" w:sz="4" w:space="0" w:color="auto"/>
              <w:right w:val="single" w:sz="4" w:space="0" w:color="auto"/>
            </w:tcBorders>
            <w:shd w:val="clear" w:color="FFFFFF" w:fill="FFFFFF"/>
            <w:vAlign w:val="center"/>
            <w:hideMark/>
          </w:tcPr>
          <w:p w14:paraId="67761F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661" w:type="pct"/>
            <w:tcBorders>
              <w:top w:val="nil"/>
              <w:left w:val="nil"/>
              <w:bottom w:val="single" w:sz="4" w:space="0" w:color="auto"/>
              <w:right w:val="single" w:sz="4" w:space="0" w:color="auto"/>
            </w:tcBorders>
            <w:shd w:val="clear" w:color="FFFFFF" w:fill="FFFFFF"/>
            <w:vAlign w:val="center"/>
            <w:hideMark/>
          </w:tcPr>
          <w:p w14:paraId="399BB8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Njoftim i Komisionit për referimin e rasteve në lidhje me përqëndrimet (2005/C 56/02)</w:t>
            </w:r>
          </w:p>
        </w:tc>
        <w:tc>
          <w:tcPr>
            <w:tcW w:w="668" w:type="pct"/>
            <w:tcBorders>
              <w:top w:val="nil"/>
              <w:left w:val="nil"/>
              <w:bottom w:val="single" w:sz="4" w:space="0" w:color="auto"/>
              <w:right w:val="single" w:sz="4" w:space="0" w:color="auto"/>
            </w:tcBorders>
            <w:shd w:val="clear" w:color="auto" w:fill="auto"/>
            <w:vAlign w:val="center"/>
            <w:hideMark/>
          </w:tcPr>
          <w:p w14:paraId="2612EBF0" w14:textId="77777777" w:rsidR="00482167" w:rsidRPr="006D6BE5" w:rsidRDefault="00E63D69" w:rsidP="00A7241A">
            <w:pPr>
              <w:rPr>
                <w:rFonts w:ascii="Arial" w:hAnsi="Arial" w:cs="Arial"/>
                <w:color w:val="0563C1"/>
                <w:sz w:val="4"/>
                <w:szCs w:val="8"/>
                <w:u w:val="single"/>
                <w:lang w:val="sq-AL"/>
              </w:rPr>
            </w:pPr>
            <w:hyperlink r:id="rId63" w:history="1">
              <w:r w:rsidR="00482167" w:rsidRPr="006D6BE5">
                <w:rPr>
                  <w:rFonts w:ascii="Arial" w:hAnsi="Arial" w:cs="Arial"/>
                  <w:color w:val="0563C1"/>
                  <w:sz w:val="4"/>
                  <w:szCs w:val="8"/>
                  <w:u w:val="single"/>
                  <w:lang w:val="sq-AL"/>
                </w:rPr>
                <w:t xml:space="preserve">https://eur-lex.europa.eu/legal-content/EN/TXT/PDF/?uri=CELEX:52005XC0305(01)&amp;from=PL' </w:t>
              </w:r>
            </w:hyperlink>
          </w:p>
        </w:tc>
        <w:tc>
          <w:tcPr>
            <w:tcW w:w="506" w:type="pct"/>
            <w:tcBorders>
              <w:top w:val="nil"/>
              <w:left w:val="nil"/>
              <w:bottom w:val="single" w:sz="4" w:space="0" w:color="auto"/>
              <w:right w:val="single" w:sz="4" w:space="0" w:color="auto"/>
            </w:tcBorders>
            <w:shd w:val="clear" w:color="FFFFFF" w:fill="FFFFFF"/>
            <w:vAlign w:val="center"/>
            <w:hideMark/>
          </w:tcPr>
          <w:p w14:paraId="3EF22F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Politike dhe ligjore </w:t>
            </w:r>
          </w:p>
        </w:tc>
        <w:tc>
          <w:tcPr>
            <w:tcW w:w="557" w:type="pct"/>
            <w:tcBorders>
              <w:top w:val="nil"/>
              <w:left w:val="nil"/>
              <w:bottom w:val="single" w:sz="4" w:space="0" w:color="auto"/>
              <w:right w:val="single" w:sz="4" w:space="0" w:color="auto"/>
            </w:tcBorders>
            <w:shd w:val="clear" w:color="FFFFFF" w:fill="FFFFFF"/>
            <w:vAlign w:val="center"/>
            <w:hideMark/>
          </w:tcPr>
          <w:p w14:paraId="6C1DCE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Udhëzues "Mbi referimin e rasteve ne lidhje me përqëndrimet".</w:t>
            </w:r>
          </w:p>
        </w:tc>
        <w:tc>
          <w:tcPr>
            <w:tcW w:w="330" w:type="pct"/>
            <w:tcBorders>
              <w:top w:val="nil"/>
              <w:left w:val="nil"/>
              <w:bottom w:val="single" w:sz="4" w:space="0" w:color="auto"/>
              <w:right w:val="single" w:sz="4" w:space="0" w:color="auto"/>
            </w:tcBorders>
            <w:shd w:val="clear" w:color="FFFFFF" w:fill="FFFFFF"/>
            <w:vAlign w:val="center"/>
            <w:hideMark/>
          </w:tcPr>
          <w:p w14:paraId="4E90C5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26" w:type="pct"/>
            <w:tcBorders>
              <w:top w:val="nil"/>
              <w:left w:val="nil"/>
              <w:bottom w:val="single" w:sz="4" w:space="0" w:color="auto"/>
              <w:right w:val="single" w:sz="4" w:space="0" w:color="auto"/>
            </w:tcBorders>
            <w:shd w:val="clear" w:color="FFFFFF" w:fill="FFFFFF"/>
            <w:vAlign w:val="center"/>
            <w:hideMark/>
          </w:tcPr>
          <w:p w14:paraId="230163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Udhëzim </w:t>
            </w:r>
          </w:p>
        </w:tc>
        <w:tc>
          <w:tcPr>
            <w:tcW w:w="146" w:type="pct"/>
            <w:tcBorders>
              <w:top w:val="nil"/>
              <w:left w:val="nil"/>
              <w:bottom w:val="single" w:sz="4" w:space="0" w:color="auto"/>
              <w:right w:val="single" w:sz="4" w:space="0" w:color="auto"/>
            </w:tcBorders>
            <w:shd w:val="clear" w:color="FFFFFF" w:fill="FFFFFF"/>
            <w:vAlign w:val="center"/>
            <w:hideMark/>
          </w:tcPr>
          <w:p w14:paraId="073FD7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746ED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13" w:type="pct"/>
            <w:tcBorders>
              <w:top w:val="nil"/>
              <w:left w:val="nil"/>
              <w:bottom w:val="single" w:sz="4" w:space="0" w:color="auto"/>
              <w:right w:val="single" w:sz="4" w:space="0" w:color="auto"/>
            </w:tcBorders>
            <w:shd w:val="clear" w:color="FFFFFF" w:fill="FFFFFF"/>
            <w:vAlign w:val="center"/>
            <w:hideMark/>
          </w:tcPr>
          <w:p w14:paraId="371BB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D826A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F428C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47167E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4F9EB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2D079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2E0FE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9D3D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75B5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72251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67E27A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FC6B4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w:t>
            </w:r>
          </w:p>
        </w:tc>
        <w:tc>
          <w:tcPr>
            <w:tcW w:w="144" w:type="pct"/>
            <w:tcBorders>
              <w:top w:val="nil"/>
              <w:left w:val="nil"/>
              <w:bottom w:val="single" w:sz="4" w:space="0" w:color="auto"/>
              <w:right w:val="single" w:sz="4" w:space="0" w:color="auto"/>
            </w:tcBorders>
            <w:shd w:val="clear" w:color="FFFFFF" w:fill="FFFFFF"/>
            <w:vAlign w:val="center"/>
            <w:hideMark/>
          </w:tcPr>
          <w:p w14:paraId="351524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65" w:type="pct"/>
            <w:tcBorders>
              <w:top w:val="nil"/>
              <w:left w:val="nil"/>
              <w:bottom w:val="single" w:sz="4" w:space="0" w:color="auto"/>
              <w:right w:val="single" w:sz="4" w:space="0" w:color="auto"/>
            </w:tcBorders>
            <w:shd w:val="clear" w:color="FFFFFF" w:fill="FFFFFF"/>
            <w:vAlign w:val="center"/>
            <w:hideMark/>
          </w:tcPr>
          <w:p w14:paraId="072A09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71" w:type="pct"/>
            <w:tcBorders>
              <w:top w:val="nil"/>
              <w:left w:val="nil"/>
              <w:bottom w:val="single" w:sz="4" w:space="0" w:color="auto"/>
              <w:right w:val="single" w:sz="4" w:space="0" w:color="auto"/>
            </w:tcBorders>
            <w:shd w:val="clear" w:color="FFFFFF" w:fill="FFFFFF"/>
            <w:vAlign w:val="center"/>
            <w:hideMark/>
          </w:tcPr>
          <w:p w14:paraId="72B2C0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661" w:type="pct"/>
            <w:tcBorders>
              <w:top w:val="nil"/>
              <w:left w:val="nil"/>
              <w:bottom w:val="single" w:sz="4" w:space="0" w:color="auto"/>
              <w:right w:val="single" w:sz="4" w:space="0" w:color="auto"/>
            </w:tcBorders>
            <w:shd w:val="clear" w:color="FFFFFF" w:fill="FFFFFF"/>
            <w:vAlign w:val="center"/>
            <w:hideMark/>
          </w:tcPr>
          <w:p w14:paraId="4E99B5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 për zbatimin e të drejtës së BE-së për konkurrencën mbi marrëveshjet kolektive në lidhje me kushtet e punës së të vetëpunësuarve.</w:t>
            </w:r>
          </w:p>
        </w:tc>
        <w:tc>
          <w:tcPr>
            <w:tcW w:w="668" w:type="pct"/>
            <w:tcBorders>
              <w:top w:val="nil"/>
              <w:left w:val="nil"/>
              <w:bottom w:val="single" w:sz="4" w:space="0" w:color="auto"/>
              <w:right w:val="single" w:sz="4" w:space="0" w:color="auto"/>
            </w:tcBorders>
            <w:shd w:val="clear" w:color="auto" w:fill="auto"/>
            <w:vAlign w:val="center"/>
            <w:hideMark/>
          </w:tcPr>
          <w:p w14:paraId="79DEA0E0" w14:textId="77777777" w:rsidR="00482167" w:rsidRPr="006D6BE5" w:rsidRDefault="00E63D69" w:rsidP="00A7241A">
            <w:pPr>
              <w:rPr>
                <w:rFonts w:ascii="Arial" w:hAnsi="Arial" w:cs="Arial"/>
                <w:color w:val="0563C1"/>
                <w:sz w:val="4"/>
                <w:szCs w:val="8"/>
                <w:u w:val="single"/>
                <w:lang w:val="sq-AL"/>
              </w:rPr>
            </w:pPr>
            <w:hyperlink r:id="rId64" w:history="1">
              <w:r w:rsidR="00482167" w:rsidRPr="006D6BE5">
                <w:rPr>
                  <w:rFonts w:ascii="Arial" w:hAnsi="Arial" w:cs="Arial"/>
                  <w:color w:val="0563C1"/>
                  <w:sz w:val="4"/>
                  <w:szCs w:val="8"/>
                  <w:u w:val="single"/>
                  <w:lang w:val="sq-AL"/>
                </w:rPr>
                <w:t xml:space="preserve">https://eur-lex.europa.eu/legal-content/EN/TXT/?uri=CELEX%3A52022XC0930%2802%29 </w:t>
              </w:r>
            </w:hyperlink>
          </w:p>
        </w:tc>
        <w:tc>
          <w:tcPr>
            <w:tcW w:w="506" w:type="pct"/>
            <w:tcBorders>
              <w:top w:val="nil"/>
              <w:left w:val="nil"/>
              <w:bottom w:val="single" w:sz="4" w:space="0" w:color="auto"/>
              <w:right w:val="single" w:sz="4" w:space="0" w:color="auto"/>
            </w:tcBorders>
            <w:shd w:val="clear" w:color="FFFFFF" w:fill="FFFFFF"/>
            <w:vAlign w:val="center"/>
            <w:hideMark/>
          </w:tcPr>
          <w:p w14:paraId="6CCEA3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Politike dhe ligjore </w:t>
            </w:r>
          </w:p>
        </w:tc>
        <w:tc>
          <w:tcPr>
            <w:tcW w:w="557" w:type="pct"/>
            <w:tcBorders>
              <w:top w:val="nil"/>
              <w:left w:val="nil"/>
              <w:bottom w:val="single" w:sz="4" w:space="0" w:color="auto"/>
              <w:right w:val="single" w:sz="4" w:space="0" w:color="auto"/>
            </w:tcBorders>
            <w:shd w:val="clear" w:color="FFFFFF" w:fill="FFFFFF"/>
            <w:vAlign w:val="center"/>
            <w:hideMark/>
          </w:tcPr>
          <w:p w14:paraId="4E65C4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 "Mbi marrëveshjet kolektive në lidhje me kushtet e punës së të vetëpunësuarve'.</w:t>
            </w:r>
          </w:p>
        </w:tc>
        <w:tc>
          <w:tcPr>
            <w:tcW w:w="330" w:type="pct"/>
            <w:tcBorders>
              <w:top w:val="nil"/>
              <w:left w:val="nil"/>
              <w:bottom w:val="single" w:sz="4" w:space="0" w:color="auto"/>
              <w:right w:val="single" w:sz="4" w:space="0" w:color="auto"/>
            </w:tcBorders>
            <w:shd w:val="clear" w:color="FFFFFF" w:fill="FFFFFF"/>
            <w:vAlign w:val="center"/>
            <w:hideMark/>
          </w:tcPr>
          <w:p w14:paraId="3134E4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26" w:type="pct"/>
            <w:tcBorders>
              <w:top w:val="nil"/>
              <w:left w:val="nil"/>
              <w:bottom w:val="single" w:sz="4" w:space="0" w:color="auto"/>
              <w:right w:val="single" w:sz="4" w:space="0" w:color="auto"/>
            </w:tcBorders>
            <w:shd w:val="clear" w:color="FFFFFF" w:fill="FFFFFF"/>
            <w:vAlign w:val="center"/>
            <w:hideMark/>
          </w:tcPr>
          <w:p w14:paraId="55329D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Udhëzim </w:t>
            </w:r>
          </w:p>
        </w:tc>
        <w:tc>
          <w:tcPr>
            <w:tcW w:w="146" w:type="pct"/>
            <w:tcBorders>
              <w:top w:val="nil"/>
              <w:left w:val="nil"/>
              <w:bottom w:val="single" w:sz="4" w:space="0" w:color="auto"/>
              <w:right w:val="single" w:sz="4" w:space="0" w:color="auto"/>
            </w:tcBorders>
            <w:shd w:val="clear" w:color="FFFFFF" w:fill="FFFFFF"/>
            <w:vAlign w:val="center"/>
            <w:hideMark/>
          </w:tcPr>
          <w:p w14:paraId="11CEEC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A507B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13" w:type="pct"/>
            <w:tcBorders>
              <w:top w:val="nil"/>
              <w:left w:val="nil"/>
              <w:bottom w:val="single" w:sz="4" w:space="0" w:color="auto"/>
              <w:right w:val="single" w:sz="4" w:space="0" w:color="auto"/>
            </w:tcBorders>
            <w:shd w:val="clear" w:color="FFFFFF" w:fill="FFFFFF"/>
            <w:vAlign w:val="center"/>
            <w:hideMark/>
          </w:tcPr>
          <w:p w14:paraId="0CA71A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1A45C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98A36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665839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1B489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6131C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628D7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DC3D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2B2C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E6151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83FC10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0C416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w:t>
            </w:r>
          </w:p>
        </w:tc>
        <w:tc>
          <w:tcPr>
            <w:tcW w:w="144" w:type="pct"/>
            <w:tcBorders>
              <w:top w:val="nil"/>
              <w:left w:val="nil"/>
              <w:bottom w:val="single" w:sz="4" w:space="0" w:color="auto"/>
              <w:right w:val="single" w:sz="4" w:space="0" w:color="auto"/>
            </w:tcBorders>
            <w:shd w:val="clear" w:color="FFFFFF" w:fill="FFFFFF"/>
            <w:vAlign w:val="center"/>
            <w:hideMark/>
          </w:tcPr>
          <w:p w14:paraId="7D8F99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65" w:type="pct"/>
            <w:tcBorders>
              <w:top w:val="nil"/>
              <w:left w:val="nil"/>
              <w:bottom w:val="single" w:sz="4" w:space="0" w:color="auto"/>
              <w:right w:val="single" w:sz="4" w:space="0" w:color="auto"/>
            </w:tcBorders>
            <w:shd w:val="clear" w:color="FFFFFF" w:fill="FFFFFF"/>
            <w:vAlign w:val="center"/>
            <w:hideMark/>
          </w:tcPr>
          <w:p w14:paraId="0906E2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71" w:type="pct"/>
            <w:tcBorders>
              <w:top w:val="nil"/>
              <w:left w:val="nil"/>
              <w:bottom w:val="single" w:sz="4" w:space="0" w:color="auto"/>
              <w:right w:val="single" w:sz="4" w:space="0" w:color="auto"/>
            </w:tcBorders>
            <w:shd w:val="clear" w:color="FFFFFF" w:fill="FFFFFF"/>
            <w:vAlign w:val="center"/>
            <w:hideMark/>
          </w:tcPr>
          <w:p w14:paraId="682D3D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661" w:type="pct"/>
            <w:tcBorders>
              <w:top w:val="nil"/>
              <w:left w:val="nil"/>
              <w:bottom w:val="single" w:sz="4" w:space="0" w:color="auto"/>
              <w:right w:val="single" w:sz="4" w:space="0" w:color="auto"/>
            </w:tcBorders>
            <w:shd w:val="clear" w:color="FFFFFF" w:fill="FFFFFF"/>
            <w:vAlign w:val="center"/>
            <w:hideMark/>
          </w:tcPr>
          <w:p w14:paraId="2A944C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 mbi kufizimet vertikale (2022/C 248/01) (Udhëzim mbi marrëveshjet vertikale)</w:t>
            </w:r>
          </w:p>
        </w:tc>
        <w:tc>
          <w:tcPr>
            <w:tcW w:w="668" w:type="pct"/>
            <w:tcBorders>
              <w:top w:val="nil"/>
              <w:left w:val="nil"/>
              <w:bottom w:val="single" w:sz="4" w:space="0" w:color="auto"/>
              <w:right w:val="single" w:sz="4" w:space="0" w:color="auto"/>
            </w:tcBorders>
            <w:shd w:val="clear" w:color="auto" w:fill="auto"/>
            <w:vAlign w:val="center"/>
            <w:hideMark/>
          </w:tcPr>
          <w:p w14:paraId="1658A154" w14:textId="77777777" w:rsidR="00482167" w:rsidRPr="006D6BE5" w:rsidRDefault="00E63D69" w:rsidP="00A7241A">
            <w:pPr>
              <w:rPr>
                <w:rFonts w:ascii="Arial" w:hAnsi="Arial" w:cs="Arial"/>
                <w:color w:val="0563C1"/>
                <w:sz w:val="4"/>
                <w:szCs w:val="8"/>
                <w:u w:val="single"/>
                <w:lang w:val="sq-AL"/>
              </w:rPr>
            </w:pPr>
            <w:hyperlink r:id="rId65" w:history="1">
              <w:r w:rsidR="00482167" w:rsidRPr="006D6BE5">
                <w:rPr>
                  <w:rFonts w:ascii="Arial" w:hAnsi="Arial" w:cs="Arial"/>
                  <w:color w:val="0563C1"/>
                  <w:sz w:val="4"/>
                  <w:szCs w:val="8"/>
                  <w:u w:val="single"/>
                  <w:lang w:val="sq-AL"/>
                </w:rPr>
                <w:t xml:space="preserve">https://eur-lex.europa.eu/legal-content/EN/TXT/?uri=uriserv%3AOJ.C_.2022.248.01.0001.01.ENG </w:t>
              </w:r>
            </w:hyperlink>
          </w:p>
        </w:tc>
        <w:tc>
          <w:tcPr>
            <w:tcW w:w="506" w:type="pct"/>
            <w:tcBorders>
              <w:top w:val="nil"/>
              <w:left w:val="nil"/>
              <w:bottom w:val="single" w:sz="4" w:space="0" w:color="auto"/>
              <w:right w:val="single" w:sz="4" w:space="0" w:color="auto"/>
            </w:tcBorders>
            <w:shd w:val="clear" w:color="FFFFFF" w:fill="FFFFFF"/>
            <w:vAlign w:val="center"/>
            <w:hideMark/>
          </w:tcPr>
          <w:p w14:paraId="6131DC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Politike dhe ligjore </w:t>
            </w:r>
          </w:p>
        </w:tc>
        <w:tc>
          <w:tcPr>
            <w:tcW w:w="557" w:type="pct"/>
            <w:tcBorders>
              <w:top w:val="nil"/>
              <w:left w:val="nil"/>
              <w:bottom w:val="single" w:sz="4" w:space="0" w:color="auto"/>
              <w:right w:val="single" w:sz="4" w:space="0" w:color="auto"/>
            </w:tcBorders>
            <w:shd w:val="clear" w:color="FFFFFF" w:fill="FFFFFF"/>
            <w:vAlign w:val="center"/>
            <w:hideMark/>
          </w:tcPr>
          <w:p w14:paraId="50F60A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 "Mbi marrëveshjet vertikale."</w:t>
            </w:r>
          </w:p>
        </w:tc>
        <w:tc>
          <w:tcPr>
            <w:tcW w:w="330" w:type="pct"/>
            <w:tcBorders>
              <w:top w:val="nil"/>
              <w:left w:val="nil"/>
              <w:bottom w:val="single" w:sz="4" w:space="0" w:color="auto"/>
              <w:right w:val="single" w:sz="4" w:space="0" w:color="auto"/>
            </w:tcBorders>
            <w:shd w:val="clear" w:color="FFFFFF" w:fill="FFFFFF"/>
            <w:vAlign w:val="center"/>
            <w:hideMark/>
          </w:tcPr>
          <w:p w14:paraId="09EC82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26" w:type="pct"/>
            <w:tcBorders>
              <w:top w:val="nil"/>
              <w:left w:val="nil"/>
              <w:bottom w:val="single" w:sz="4" w:space="0" w:color="auto"/>
              <w:right w:val="single" w:sz="4" w:space="0" w:color="auto"/>
            </w:tcBorders>
            <w:shd w:val="clear" w:color="FFFFFF" w:fill="FFFFFF"/>
            <w:vAlign w:val="center"/>
            <w:hideMark/>
          </w:tcPr>
          <w:p w14:paraId="514E59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Udhëzim </w:t>
            </w:r>
          </w:p>
        </w:tc>
        <w:tc>
          <w:tcPr>
            <w:tcW w:w="146" w:type="pct"/>
            <w:tcBorders>
              <w:top w:val="nil"/>
              <w:left w:val="nil"/>
              <w:bottom w:val="single" w:sz="4" w:space="0" w:color="auto"/>
              <w:right w:val="single" w:sz="4" w:space="0" w:color="auto"/>
            </w:tcBorders>
            <w:shd w:val="clear" w:color="FFFFFF" w:fill="FFFFFF"/>
            <w:vAlign w:val="center"/>
            <w:hideMark/>
          </w:tcPr>
          <w:p w14:paraId="45DE75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24249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13" w:type="pct"/>
            <w:tcBorders>
              <w:top w:val="nil"/>
              <w:left w:val="nil"/>
              <w:bottom w:val="single" w:sz="4" w:space="0" w:color="auto"/>
              <w:right w:val="single" w:sz="4" w:space="0" w:color="auto"/>
            </w:tcBorders>
            <w:shd w:val="clear" w:color="FFFFFF" w:fill="FFFFFF"/>
            <w:vAlign w:val="center"/>
            <w:hideMark/>
          </w:tcPr>
          <w:p w14:paraId="4413C4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55ECC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0E053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1900CE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EF6DE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FB910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9B20A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E5504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AC04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83444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4B8296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0DC8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w:t>
            </w:r>
          </w:p>
        </w:tc>
        <w:tc>
          <w:tcPr>
            <w:tcW w:w="144" w:type="pct"/>
            <w:tcBorders>
              <w:top w:val="nil"/>
              <w:left w:val="nil"/>
              <w:bottom w:val="single" w:sz="4" w:space="0" w:color="auto"/>
              <w:right w:val="single" w:sz="4" w:space="0" w:color="auto"/>
            </w:tcBorders>
            <w:shd w:val="clear" w:color="FFFFFF" w:fill="FFFFFF"/>
            <w:vAlign w:val="center"/>
            <w:hideMark/>
          </w:tcPr>
          <w:p w14:paraId="7692F6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65" w:type="pct"/>
            <w:tcBorders>
              <w:top w:val="nil"/>
              <w:left w:val="nil"/>
              <w:bottom w:val="single" w:sz="4" w:space="0" w:color="auto"/>
              <w:right w:val="single" w:sz="4" w:space="0" w:color="auto"/>
            </w:tcBorders>
            <w:shd w:val="clear" w:color="FFFFFF" w:fill="FFFFFF"/>
            <w:vAlign w:val="center"/>
            <w:hideMark/>
          </w:tcPr>
          <w:p w14:paraId="7EFBC2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71" w:type="pct"/>
            <w:tcBorders>
              <w:top w:val="nil"/>
              <w:left w:val="nil"/>
              <w:bottom w:val="single" w:sz="4" w:space="0" w:color="auto"/>
              <w:right w:val="single" w:sz="4" w:space="0" w:color="auto"/>
            </w:tcBorders>
            <w:shd w:val="clear" w:color="FFFFFF" w:fill="FFFFFF"/>
            <w:vAlign w:val="center"/>
            <w:hideMark/>
          </w:tcPr>
          <w:p w14:paraId="1B5F40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661" w:type="pct"/>
            <w:tcBorders>
              <w:top w:val="nil"/>
              <w:left w:val="nil"/>
              <w:bottom w:val="single" w:sz="4" w:space="0" w:color="auto"/>
              <w:right w:val="single" w:sz="4" w:space="0" w:color="auto"/>
            </w:tcBorders>
            <w:shd w:val="clear" w:color="FFFFFF" w:fill="FFFFFF"/>
            <w:vAlign w:val="center"/>
            <w:hideMark/>
          </w:tcPr>
          <w:p w14:paraId="303FBA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2022/720 (Rregullorja për përjashtimin në bllok të marrëveshjeve vertikale, “VBER”)</w:t>
            </w:r>
          </w:p>
        </w:tc>
        <w:tc>
          <w:tcPr>
            <w:tcW w:w="668" w:type="pct"/>
            <w:tcBorders>
              <w:top w:val="nil"/>
              <w:left w:val="nil"/>
              <w:bottom w:val="single" w:sz="4" w:space="0" w:color="auto"/>
              <w:right w:val="single" w:sz="4" w:space="0" w:color="auto"/>
            </w:tcBorders>
            <w:shd w:val="clear" w:color="auto" w:fill="auto"/>
            <w:vAlign w:val="center"/>
            <w:hideMark/>
          </w:tcPr>
          <w:p w14:paraId="17E0DD0B" w14:textId="77777777" w:rsidR="00482167" w:rsidRPr="006D6BE5" w:rsidRDefault="00E63D69" w:rsidP="00A7241A">
            <w:pPr>
              <w:rPr>
                <w:rFonts w:ascii="Arial" w:hAnsi="Arial" w:cs="Arial"/>
                <w:color w:val="0563C1"/>
                <w:sz w:val="4"/>
                <w:szCs w:val="8"/>
                <w:u w:val="single"/>
                <w:lang w:val="sq-AL"/>
              </w:rPr>
            </w:pPr>
            <w:hyperlink r:id="rId66" w:history="1">
              <w:r w:rsidR="00482167" w:rsidRPr="006D6BE5">
                <w:rPr>
                  <w:rFonts w:ascii="Arial" w:hAnsi="Arial" w:cs="Arial"/>
                  <w:color w:val="0563C1"/>
                  <w:sz w:val="4"/>
                  <w:szCs w:val="8"/>
                  <w:u w:val="single"/>
                  <w:lang w:val="sq-AL"/>
                </w:rPr>
                <w:t xml:space="preserve">https://competition-policy.ec.europa.eu/antitrust-and-cartels/legislation/vertical-block-exemptions_en </w:t>
              </w:r>
            </w:hyperlink>
          </w:p>
        </w:tc>
        <w:tc>
          <w:tcPr>
            <w:tcW w:w="506" w:type="pct"/>
            <w:tcBorders>
              <w:top w:val="nil"/>
              <w:left w:val="nil"/>
              <w:bottom w:val="single" w:sz="4" w:space="0" w:color="auto"/>
              <w:right w:val="single" w:sz="4" w:space="0" w:color="auto"/>
            </w:tcBorders>
            <w:shd w:val="clear" w:color="FFFFFF" w:fill="FFFFFF"/>
            <w:vAlign w:val="center"/>
            <w:hideMark/>
          </w:tcPr>
          <w:p w14:paraId="288CAD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Politike dhe ligjore </w:t>
            </w:r>
          </w:p>
        </w:tc>
        <w:tc>
          <w:tcPr>
            <w:tcW w:w="557" w:type="pct"/>
            <w:tcBorders>
              <w:top w:val="nil"/>
              <w:left w:val="nil"/>
              <w:bottom w:val="single" w:sz="4" w:space="0" w:color="auto"/>
              <w:right w:val="single" w:sz="4" w:space="0" w:color="auto"/>
            </w:tcBorders>
            <w:shd w:val="clear" w:color="FFFFFF" w:fill="FFFFFF"/>
            <w:vAlign w:val="center"/>
            <w:hideMark/>
          </w:tcPr>
          <w:p w14:paraId="37F6B9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"Per perjashtimin ne bllok te kategorive te marrveshjeve vertikale dhe praktikave te bashkerenduara"</w:t>
            </w:r>
          </w:p>
        </w:tc>
        <w:tc>
          <w:tcPr>
            <w:tcW w:w="330" w:type="pct"/>
            <w:tcBorders>
              <w:top w:val="nil"/>
              <w:left w:val="nil"/>
              <w:bottom w:val="single" w:sz="4" w:space="0" w:color="auto"/>
              <w:right w:val="single" w:sz="4" w:space="0" w:color="auto"/>
            </w:tcBorders>
            <w:shd w:val="clear" w:color="FFFFFF" w:fill="FFFFFF"/>
            <w:vAlign w:val="center"/>
            <w:hideMark/>
          </w:tcPr>
          <w:p w14:paraId="0F495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w:t>
            </w:r>
          </w:p>
        </w:tc>
        <w:tc>
          <w:tcPr>
            <w:tcW w:w="126" w:type="pct"/>
            <w:tcBorders>
              <w:top w:val="nil"/>
              <w:left w:val="nil"/>
              <w:bottom w:val="single" w:sz="4" w:space="0" w:color="auto"/>
              <w:right w:val="single" w:sz="4" w:space="0" w:color="auto"/>
            </w:tcBorders>
            <w:shd w:val="clear" w:color="FFFFFF" w:fill="FFFFFF"/>
            <w:vAlign w:val="center"/>
            <w:hideMark/>
          </w:tcPr>
          <w:p w14:paraId="0AE58E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FFFFFF" w:fill="FFFFFF"/>
            <w:vAlign w:val="center"/>
            <w:hideMark/>
          </w:tcPr>
          <w:p w14:paraId="23A382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2D4F4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w:t>
            </w:r>
          </w:p>
        </w:tc>
        <w:tc>
          <w:tcPr>
            <w:tcW w:w="113" w:type="pct"/>
            <w:tcBorders>
              <w:top w:val="nil"/>
              <w:left w:val="nil"/>
              <w:bottom w:val="single" w:sz="4" w:space="0" w:color="auto"/>
              <w:right w:val="single" w:sz="4" w:space="0" w:color="auto"/>
            </w:tcBorders>
            <w:shd w:val="clear" w:color="FFFFFF" w:fill="FFFFFF"/>
            <w:vAlign w:val="center"/>
            <w:hideMark/>
          </w:tcPr>
          <w:p w14:paraId="4EC04D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26B84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1CC7B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0CB5EA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9DFA2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36602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B6A05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D72B8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0EB2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FD1F5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9C8D4A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819FF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w:t>
            </w:r>
          </w:p>
        </w:tc>
        <w:tc>
          <w:tcPr>
            <w:tcW w:w="144" w:type="pct"/>
            <w:tcBorders>
              <w:top w:val="nil"/>
              <w:left w:val="nil"/>
              <w:bottom w:val="single" w:sz="4" w:space="0" w:color="auto"/>
              <w:right w:val="single" w:sz="4" w:space="0" w:color="auto"/>
            </w:tcBorders>
            <w:shd w:val="clear" w:color="FFFFFF" w:fill="FFFFFF"/>
            <w:vAlign w:val="center"/>
            <w:hideMark/>
          </w:tcPr>
          <w:p w14:paraId="085E83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AMF</w:t>
            </w:r>
          </w:p>
        </w:tc>
        <w:tc>
          <w:tcPr>
            <w:tcW w:w="165" w:type="pct"/>
            <w:tcBorders>
              <w:top w:val="nil"/>
              <w:left w:val="nil"/>
              <w:bottom w:val="single" w:sz="4" w:space="0" w:color="auto"/>
              <w:right w:val="single" w:sz="4" w:space="0" w:color="auto"/>
            </w:tcBorders>
            <w:shd w:val="clear" w:color="FFFFFF" w:fill="FFFFFF"/>
            <w:vAlign w:val="center"/>
            <w:hideMark/>
          </w:tcPr>
          <w:p w14:paraId="2CD7CF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Bankat dhe konglomeratet financiare </w:t>
            </w:r>
          </w:p>
        </w:tc>
        <w:tc>
          <w:tcPr>
            <w:tcW w:w="171" w:type="pct"/>
            <w:tcBorders>
              <w:top w:val="nil"/>
              <w:left w:val="nil"/>
              <w:bottom w:val="single" w:sz="4" w:space="0" w:color="auto"/>
              <w:right w:val="single" w:sz="4" w:space="0" w:color="auto"/>
            </w:tcBorders>
            <w:shd w:val="clear" w:color="FFFFFF" w:fill="FFFFFF"/>
            <w:vAlign w:val="center"/>
            <w:hideMark/>
          </w:tcPr>
          <w:p w14:paraId="6E4E28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N/A </w:t>
            </w:r>
          </w:p>
        </w:tc>
        <w:tc>
          <w:tcPr>
            <w:tcW w:w="661" w:type="pct"/>
            <w:tcBorders>
              <w:top w:val="nil"/>
              <w:left w:val="nil"/>
              <w:bottom w:val="single" w:sz="4" w:space="0" w:color="auto"/>
              <w:right w:val="single" w:sz="4" w:space="0" w:color="auto"/>
            </w:tcBorders>
            <w:shd w:val="clear" w:color="FFFFFF" w:fill="FFFFFF"/>
            <w:vAlign w:val="center"/>
            <w:hideMark/>
          </w:tcPr>
          <w:p w14:paraId="476921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 Nr. 575/2013 e Parlamentit Evropian dhe e Këshillit e datës 26 qershor 2013 "Mbi kërkesat prudenciale për institucionet e kreditit dhe shoqëritë e investimit, dhe që ndryshon Rregulloren (BE) Nr. 648/2012"</w:t>
            </w:r>
          </w:p>
        </w:tc>
        <w:tc>
          <w:tcPr>
            <w:tcW w:w="668" w:type="pct"/>
            <w:tcBorders>
              <w:top w:val="nil"/>
              <w:left w:val="nil"/>
              <w:bottom w:val="single" w:sz="4" w:space="0" w:color="auto"/>
              <w:right w:val="single" w:sz="4" w:space="0" w:color="auto"/>
            </w:tcBorders>
            <w:shd w:val="clear" w:color="FFFFFF" w:fill="FFFFFF"/>
            <w:vAlign w:val="center"/>
            <w:hideMark/>
          </w:tcPr>
          <w:p w14:paraId="2730E757" w14:textId="77777777" w:rsidR="00482167" w:rsidRPr="006D6BE5" w:rsidRDefault="00E63D69" w:rsidP="00A7241A">
            <w:pPr>
              <w:rPr>
                <w:rFonts w:ascii="Arial" w:hAnsi="Arial" w:cs="Arial"/>
                <w:color w:val="0563C1"/>
                <w:sz w:val="4"/>
                <w:szCs w:val="8"/>
                <w:u w:val="single"/>
                <w:lang w:val="sq-AL"/>
              </w:rPr>
            </w:pPr>
            <w:hyperlink r:id="rId67" w:history="1">
              <w:r w:rsidR="00482167" w:rsidRPr="006D6BE5">
                <w:rPr>
                  <w:rFonts w:ascii="Arial" w:hAnsi="Arial" w:cs="Arial"/>
                  <w:color w:val="0563C1"/>
                  <w:sz w:val="4"/>
                  <w:szCs w:val="8"/>
                  <w:u w:val="single"/>
                  <w:lang w:val="sq-AL"/>
                </w:rPr>
                <w:t>http://data.europa.eu/eli/reg/2013/575/oj;</w:t>
              </w:r>
            </w:hyperlink>
          </w:p>
        </w:tc>
        <w:tc>
          <w:tcPr>
            <w:tcW w:w="506" w:type="pct"/>
            <w:tcBorders>
              <w:top w:val="nil"/>
              <w:left w:val="nil"/>
              <w:bottom w:val="single" w:sz="4" w:space="0" w:color="auto"/>
              <w:right w:val="single" w:sz="4" w:space="0" w:color="auto"/>
            </w:tcBorders>
            <w:shd w:val="clear" w:color="auto" w:fill="auto"/>
            <w:vAlign w:val="center"/>
            <w:hideMark/>
          </w:tcPr>
          <w:p w14:paraId="1A27BB3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144FE5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Bordit të Bankës së Shqipërisë për rishikimin e rregullores nr.69, datë 18.12.2014 "Për kapitalin rregullator të bankës"</w:t>
            </w:r>
          </w:p>
        </w:tc>
        <w:tc>
          <w:tcPr>
            <w:tcW w:w="330" w:type="pct"/>
            <w:tcBorders>
              <w:top w:val="nil"/>
              <w:left w:val="nil"/>
              <w:bottom w:val="single" w:sz="4" w:space="0" w:color="auto"/>
              <w:right w:val="single" w:sz="4" w:space="0" w:color="auto"/>
            </w:tcBorders>
            <w:shd w:val="clear" w:color="auto" w:fill="auto"/>
            <w:vAlign w:val="center"/>
            <w:hideMark/>
          </w:tcPr>
          <w:p w14:paraId="4EDD807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Synohet rishikimi i kërkesave për llogaritjen e kapitalit rregullator të bankave</w:t>
            </w:r>
          </w:p>
        </w:tc>
        <w:tc>
          <w:tcPr>
            <w:tcW w:w="126" w:type="pct"/>
            <w:tcBorders>
              <w:top w:val="nil"/>
              <w:left w:val="nil"/>
              <w:bottom w:val="single" w:sz="4" w:space="0" w:color="auto"/>
              <w:right w:val="single" w:sz="4" w:space="0" w:color="auto"/>
            </w:tcBorders>
            <w:shd w:val="clear" w:color="auto" w:fill="auto"/>
            <w:vAlign w:val="center"/>
            <w:hideMark/>
          </w:tcPr>
          <w:p w14:paraId="2296CFB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0EAB8D6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665C6DC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BSH</w:t>
            </w:r>
          </w:p>
        </w:tc>
        <w:tc>
          <w:tcPr>
            <w:tcW w:w="113" w:type="pct"/>
            <w:tcBorders>
              <w:top w:val="nil"/>
              <w:left w:val="nil"/>
              <w:bottom w:val="single" w:sz="4" w:space="0" w:color="auto"/>
              <w:right w:val="single" w:sz="4" w:space="0" w:color="auto"/>
            </w:tcBorders>
            <w:shd w:val="clear" w:color="auto" w:fill="auto"/>
            <w:vAlign w:val="center"/>
            <w:hideMark/>
          </w:tcPr>
          <w:p w14:paraId="02ED32F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0C8A08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BC3CF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1FD9F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9EA22F2" w14:textId="17ECA8C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3,352 </w:t>
            </w:r>
          </w:p>
        </w:tc>
        <w:tc>
          <w:tcPr>
            <w:tcW w:w="117" w:type="pct"/>
            <w:tcBorders>
              <w:top w:val="nil"/>
              <w:left w:val="nil"/>
              <w:bottom w:val="single" w:sz="4" w:space="0" w:color="auto"/>
              <w:right w:val="single" w:sz="4" w:space="0" w:color="auto"/>
            </w:tcBorders>
            <w:shd w:val="clear" w:color="FFFFFF" w:fill="FFFFFF"/>
            <w:vAlign w:val="center"/>
            <w:hideMark/>
          </w:tcPr>
          <w:p w14:paraId="164B72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78601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E397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344D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989E2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72DC68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89380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w:t>
            </w:r>
          </w:p>
        </w:tc>
        <w:tc>
          <w:tcPr>
            <w:tcW w:w="144" w:type="pct"/>
            <w:tcBorders>
              <w:top w:val="nil"/>
              <w:left w:val="nil"/>
              <w:bottom w:val="single" w:sz="4" w:space="0" w:color="auto"/>
              <w:right w:val="single" w:sz="4" w:space="0" w:color="auto"/>
            </w:tcBorders>
            <w:shd w:val="clear" w:color="FFFFFF" w:fill="FFFFFF"/>
            <w:vAlign w:val="center"/>
            <w:hideMark/>
          </w:tcPr>
          <w:p w14:paraId="7DB013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AMF</w:t>
            </w:r>
          </w:p>
        </w:tc>
        <w:tc>
          <w:tcPr>
            <w:tcW w:w="165" w:type="pct"/>
            <w:tcBorders>
              <w:top w:val="nil"/>
              <w:left w:val="nil"/>
              <w:bottom w:val="single" w:sz="4" w:space="0" w:color="auto"/>
              <w:right w:val="single" w:sz="4" w:space="0" w:color="auto"/>
            </w:tcBorders>
            <w:shd w:val="clear" w:color="FFFFFF" w:fill="FFFFFF"/>
            <w:vAlign w:val="center"/>
            <w:hideMark/>
          </w:tcPr>
          <w:p w14:paraId="66F84D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Bankat dhe konglomeratet financiare </w:t>
            </w:r>
          </w:p>
        </w:tc>
        <w:tc>
          <w:tcPr>
            <w:tcW w:w="171" w:type="pct"/>
            <w:tcBorders>
              <w:top w:val="nil"/>
              <w:left w:val="nil"/>
              <w:bottom w:val="single" w:sz="4" w:space="0" w:color="auto"/>
              <w:right w:val="single" w:sz="4" w:space="0" w:color="auto"/>
            </w:tcBorders>
            <w:shd w:val="clear" w:color="FFFFFF" w:fill="FFFFFF"/>
            <w:vAlign w:val="center"/>
            <w:hideMark/>
          </w:tcPr>
          <w:p w14:paraId="5EC2E7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N/A </w:t>
            </w:r>
          </w:p>
        </w:tc>
        <w:tc>
          <w:tcPr>
            <w:tcW w:w="661" w:type="pct"/>
            <w:tcBorders>
              <w:top w:val="nil"/>
              <w:left w:val="nil"/>
              <w:bottom w:val="single" w:sz="4" w:space="0" w:color="auto"/>
              <w:right w:val="single" w:sz="4" w:space="0" w:color="auto"/>
            </w:tcBorders>
            <w:shd w:val="clear" w:color="FFFFFF" w:fill="FFFFFF"/>
            <w:vAlign w:val="center"/>
            <w:hideMark/>
          </w:tcPr>
          <w:p w14:paraId="7649EA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 Nr. 575/2013 e Parlamentit Evropian dhe e Këshillit e datës 26 qershor 2013 "Mbi kërkesat prudenciale për institucionet e kreditit dhe shoqëritë e investimit, dhe që ndryshon Rregulloren (BE) Nr. 648/2012"</w:t>
            </w:r>
          </w:p>
        </w:tc>
        <w:tc>
          <w:tcPr>
            <w:tcW w:w="668" w:type="pct"/>
            <w:tcBorders>
              <w:top w:val="nil"/>
              <w:left w:val="nil"/>
              <w:bottom w:val="single" w:sz="4" w:space="0" w:color="auto"/>
              <w:right w:val="single" w:sz="4" w:space="0" w:color="auto"/>
            </w:tcBorders>
            <w:shd w:val="clear" w:color="FFFFFF" w:fill="FFFFFF"/>
            <w:vAlign w:val="center"/>
            <w:hideMark/>
          </w:tcPr>
          <w:p w14:paraId="0CAB00A6" w14:textId="77777777" w:rsidR="00482167" w:rsidRPr="006D6BE5" w:rsidRDefault="00E63D69" w:rsidP="00A7241A">
            <w:pPr>
              <w:rPr>
                <w:rFonts w:ascii="Arial" w:hAnsi="Arial" w:cs="Arial"/>
                <w:color w:val="0563C1"/>
                <w:sz w:val="4"/>
                <w:szCs w:val="8"/>
                <w:u w:val="single"/>
                <w:lang w:val="sq-AL"/>
              </w:rPr>
            </w:pPr>
            <w:hyperlink r:id="rId68" w:history="1">
              <w:r w:rsidR="00482167" w:rsidRPr="006D6BE5">
                <w:rPr>
                  <w:rFonts w:ascii="Arial" w:hAnsi="Arial" w:cs="Arial"/>
                  <w:color w:val="0563C1"/>
                  <w:sz w:val="4"/>
                  <w:szCs w:val="8"/>
                  <w:u w:val="single"/>
                  <w:lang w:val="sq-AL"/>
                </w:rPr>
                <w:t>http://data.europa.eu/eli/reg/2013/575/oj;</w:t>
              </w:r>
            </w:hyperlink>
          </w:p>
        </w:tc>
        <w:tc>
          <w:tcPr>
            <w:tcW w:w="506" w:type="pct"/>
            <w:tcBorders>
              <w:top w:val="nil"/>
              <w:left w:val="nil"/>
              <w:bottom w:val="single" w:sz="4" w:space="0" w:color="auto"/>
              <w:right w:val="single" w:sz="4" w:space="0" w:color="auto"/>
            </w:tcBorders>
            <w:shd w:val="clear" w:color="auto" w:fill="auto"/>
            <w:vAlign w:val="center"/>
            <w:hideMark/>
          </w:tcPr>
          <w:p w14:paraId="17448A7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B81C15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Bordit të Bankës së Shqipërisë për rishikimin e rregullores nr.60, datë 29.08.2008 "Për kërkesat minimale të publikimit të informacionit nga bankat dhe degët e bankave të huaja"</w:t>
            </w:r>
          </w:p>
        </w:tc>
        <w:tc>
          <w:tcPr>
            <w:tcW w:w="330" w:type="pct"/>
            <w:tcBorders>
              <w:top w:val="nil"/>
              <w:left w:val="nil"/>
              <w:bottom w:val="single" w:sz="4" w:space="0" w:color="auto"/>
              <w:right w:val="single" w:sz="4" w:space="0" w:color="auto"/>
            </w:tcBorders>
            <w:shd w:val="clear" w:color="auto" w:fill="auto"/>
            <w:vAlign w:val="center"/>
            <w:hideMark/>
          </w:tcPr>
          <w:p w14:paraId="7BE3F2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Synohet rishikimi i kërkesave për publikimin e informacionit nga ana e bankave</w:t>
            </w:r>
          </w:p>
        </w:tc>
        <w:tc>
          <w:tcPr>
            <w:tcW w:w="126" w:type="pct"/>
            <w:tcBorders>
              <w:top w:val="nil"/>
              <w:left w:val="nil"/>
              <w:bottom w:val="single" w:sz="4" w:space="0" w:color="auto"/>
              <w:right w:val="single" w:sz="4" w:space="0" w:color="auto"/>
            </w:tcBorders>
            <w:shd w:val="clear" w:color="auto" w:fill="auto"/>
            <w:vAlign w:val="center"/>
            <w:hideMark/>
          </w:tcPr>
          <w:p w14:paraId="72D9855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1DDE1B3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6CC73CD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BSH</w:t>
            </w:r>
          </w:p>
        </w:tc>
        <w:tc>
          <w:tcPr>
            <w:tcW w:w="113" w:type="pct"/>
            <w:tcBorders>
              <w:top w:val="nil"/>
              <w:left w:val="nil"/>
              <w:bottom w:val="single" w:sz="4" w:space="0" w:color="auto"/>
              <w:right w:val="single" w:sz="4" w:space="0" w:color="auto"/>
            </w:tcBorders>
            <w:shd w:val="clear" w:color="auto" w:fill="auto"/>
            <w:vAlign w:val="center"/>
            <w:hideMark/>
          </w:tcPr>
          <w:p w14:paraId="3275C37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AD9AC6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BB736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EA7DD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8F0462A" w14:textId="2D62AB15"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3,352 </w:t>
            </w:r>
          </w:p>
        </w:tc>
        <w:tc>
          <w:tcPr>
            <w:tcW w:w="117" w:type="pct"/>
            <w:tcBorders>
              <w:top w:val="nil"/>
              <w:left w:val="nil"/>
              <w:bottom w:val="single" w:sz="4" w:space="0" w:color="auto"/>
              <w:right w:val="single" w:sz="4" w:space="0" w:color="auto"/>
            </w:tcBorders>
            <w:shd w:val="clear" w:color="FFFFFF" w:fill="FFFFFF"/>
            <w:vAlign w:val="center"/>
            <w:hideMark/>
          </w:tcPr>
          <w:p w14:paraId="04C066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43244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73A1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FD2B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696A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EDB768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2265A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w:t>
            </w:r>
          </w:p>
        </w:tc>
        <w:tc>
          <w:tcPr>
            <w:tcW w:w="144" w:type="pct"/>
            <w:tcBorders>
              <w:top w:val="nil"/>
              <w:left w:val="nil"/>
              <w:bottom w:val="single" w:sz="4" w:space="0" w:color="auto"/>
              <w:right w:val="single" w:sz="4" w:space="0" w:color="auto"/>
            </w:tcBorders>
            <w:shd w:val="clear" w:color="FFFFFF" w:fill="FFFFFF"/>
            <w:vAlign w:val="center"/>
            <w:hideMark/>
          </w:tcPr>
          <w:p w14:paraId="2466D2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AMF</w:t>
            </w:r>
          </w:p>
        </w:tc>
        <w:tc>
          <w:tcPr>
            <w:tcW w:w="165" w:type="pct"/>
            <w:tcBorders>
              <w:top w:val="nil"/>
              <w:left w:val="nil"/>
              <w:bottom w:val="single" w:sz="4" w:space="0" w:color="auto"/>
              <w:right w:val="single" w:sz="4" w:space="0" w:color="auto"/>
            </w:tcBorders>
            <w:shd w:val="clear" w:color="FFFFFF" w:fill="FFFFFF"/>
            <w:vAlign w:val="center"/>
            <w:hideMark/>
          </w:tcPr>
          <w:p w14:paraId="17AECA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Sigurimet dhe pensionet </w:t>
            </w:r>
          </w:p>
        </w:tc>
        <w:tc>
          <w:tcPr>
            <w:tcW w:w="171" w:type="pct"/>
            <w:tcBorders>
              <w:top w:val="nil"/>
              <w:left w:val="nil"/>
              <w:bottom w:val="single" w:sz="4" w:space="0" w:color="auto"/>
              <w:right w:val="single" w:sz="4" w:space="0" w:color="auto"/>
            </w:tcBorders>
            <w:shd w:val="clear" w:color="FFFFFF" w:fill="FFFFFF"/>
            <w:vAlign w:val="center"/>
            <w:hideMark/>
          </w:tcPr>
          <w:p w14:paraId="279FC6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Solvency II (life, non-life, reinsurance, winding-up)</w:t>
            </w:r>
          </w:p>
        </w:tc>
        <w:tc>
          <w:tcPr>
            <w:tcW w:w="661" w:type="pct"/>
            <w:tcBorders>
              <w:top w:val="nil"/>
              <w:left w:val="nil"/>
              <w:bottom w:val="single" w:sz="4" w:space="0" w:color="auto"/>
              <w:right w:val="single" w:sz="4" w:space="0" w:color="auto"/>
            </w:tcBorders>
            <w:shd w:val="clear" w:color="FFFFFF" w:fill="FFFFFF"/>
            <w:vAlign w:val="center"/>
            <w:hideMark/>
          </w:tcPr>
          <w:p w14:paraId="379C3632" w14:textId="5ED8FAC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2009/138/EC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Parlamentit Evropian dhe e Këshillit të datës 25 nëntor 2009 mbi fillimin dhe ndjekjen e biznesit të Sigurimeve dhe Risigurimeve (Solvency II) (riformuluar)</w:t>
            </w:r>
          </w:p>
        </w:tc>
        <w:tc>
          <w:tcPr>
            <w:tcW w:w="668" w:type="pct"/>
            <w:tcBorders>
              <w:top w:val="nil"/>
              <w:left w:val="nil"/>
              <w:bottom w:val="single" w:sz="4" w:space="0" w:color="auto"/>
              <w:right w:val="single" w:sz="4" w:space="0" w:color="auto"/>
            </w:tcBorders>
            <w:shd w:val="clear" w:color="FFFFFF" w:fill="FFFFFF"/>
            <w:vAlign w:val="center"/>
            <w:hideMark/>
          </w:tcPr>
          <w:p w14:paraId="7ED7DAF3" w14:textId="77777777" w:rsidR="00482167" w:rsidRPr="006D6BE5" w:rsidRDefault="00E63D69" w:rsidP="00A7241A">
            <w:pPr>
              <w:rPr>
                <w:rFonts w:ascii="Arial" w:hAnsi="Arial" w:cs="Arial"/>
                <w:color w:val="0563C1"/>
                <w:sz w:val="4"/>
                <w:szCs w:val="8"/>
                <w:u w:val="single"/>
                <w:lang w:val="sq-AL"/>
              </w:rPr>
            </w:pPr>
            <w:hyperlink r:id="rId69" w:tooltip="Gives access to this document through its ELI URI." w:history="1">
              <w:r w:rsidR="00482167" w:rsidRPr="006D6BE5">
                <w:rPr>
                  <w:rFonts w:ascii="Arial" w:hAnsi="Arial" w:cs="Arial"/>
                  <w:color w:val="0563C1"/>
                  <w:sz w:val="4"/>
                  <w:szCs w:val="8"/>
                  <w:u w:val="single"/>
                  <w:lang w:val="sq-AL"/>
                </w:rPr>
                <w:t>http://data.europa.eu/eli/dir/2009/138/oj</w:t>
              </w:r>
            </w:hyperlink>
          </w:p>
        </w:tc>
        <w:tc>
          <w:tcPr>
            <w:tcW w:w="506" w:type="pct"/>
            <w:tcBorders>
              <w:top w:val="nil"/>
              <w:left w:val="nil"/>
              <w:bottom w:val="single" w:sz="4" w:space="0" w:color="auto"/>
              <w:right w:val="single" w:sz="4" w:space="0" w:color="auto"/>
            </w:tcBorders>
            <w:shd w:val="clear" w:color="auto" w:fill="auto"/>
            <w:vAlign w:val="center"/>
            <w:hideMark/>
          </w:tcPr>
          <w:p w14:paraId="39F7A4B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C771E3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Për disa shtesa dhe ndryshime në Ligjin nr. 52, datë 22.05.2014 "Për veprimtarinë e sigurimit dhe risigurimit"</w:t>
            </w:r>
          </w:p>
        </w:tc>
        <w:tc>
          <w:tcPr>
            <w:tcW w:w="330" w:type="pct"/>
            <w:tcBorders>
              <w:top w:val="nil"/>
              <w:left w:val="nil"/>
              <w:bottom w:val="single" w:sz="4" w:space="0" w:color="auto"/>
              <w:right w:val="single" w:sz="4" w:space="0" w:color="auto"/>
            </w:tcBorders>
            <w:shd w:val="clear" w:color="auto" w:fill="auto"/>
            <w:vAlign w:val="center"/>
            <w:hideMark/>
          </w:tcPr>
          <w:p w14:paraId="30CE984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Zhvillimi i mëtejshëm i ORSA-s ; Kërkesa të shtuara për mirëqeverisje; Sistemi efektiv i menaxhimit te riskut; Mbikeqyrja e grupit; Funksionet kyce</w:t>
            </w:r>
          </w:p>
        </w:tc>
        <w:tc>
          <w:tcPr>
            <w:tcW w:w="126" w:type="pct"/>
            <w:tcBorders>
              <w:top w:val="nil"/>
              <w:left w:val="nil"/>
              <w:bottom w:val="single" w:sz="4" w:space="0" w:color="auto"/>
              <w:right w:val="single" w:sz="4" w:space="0" w:color="auto"/>
            </w:tcBorders>
            <w:shd w:val="clear" w:color="auto" w:fill="auto"/>
            <w:vAlign w:val="center"/>
            <w:hideMark/>
          </w:tcPr>
          <w:p w14:paraId="00B5423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44B966E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17ADBDF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MFE/AMF</w:t>
            </w:r>
          </w:p>
        </w:tc>
        <w:tc>
          <w:tcPr>
            <w:tcW w:w="113" w:type="pct"/>
            <w:tcBorders>
              <w:top w:val="nil"/>
              <w:left w:val="nil"/>
              <w:bottom w:val="single" w:sz="4" w:space="0" w:color="auto"/>
              <w:right w:val="single" w:sz="4" w:space="0" w:color="auto"/>
            </w:tcBorders>
            <w:shd w:val="clear" w:color="auto" w:fill="auto"/>
            <w:vAlign w:val="center"/>
            <w:hideMark/>
          </w:tcPr>
          <w:p w14:paraId="7F5D1F9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3292D26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59EA9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2E275D9" w14:textId="4FBF2199" w:rsidR="00482167" w:rsidRPr="006D6BE5" w:rsidRDefault="006D6BE5" w:rsidP="00A7241A">
            <w:pPr>
              <w:rPr>
                <w:rFonts w:ascii="Arial" w:hAnsi="Arial" w:cs="Arial"/>
                <w:sz w:val="4"/>
                <w:szCs w:val="8"/>
                <w:lang w:val="sq-AL"/>
              </w:rPr>
            </w:pPr>
            <w:r>
              <w:rPr>
                <w:rFonts w:ascii="Arial" w:hAnsi="Arial" w:cs="Arial"/>
                <w:sz w:val="4"/>
                <w:szCs w:val="8"/>
                <w:lang w:val="sq-AL"/>
              </w:rPr>
              <w:t xml:space="preserve">  </w:t>
            </w:r>
            <w:r w:rsidR="00482167" w:rsidRPr="006D6BE5">
              <w:rPr>
                <w:rFonts w:ascii="Arial" w:hAnsi="Arial" w:cs="Arial"/>
                <w:sz w:val="4"/>
                <w:szCs w:val="8"/>
                <w:lang w:val="sq-AL"/>
              </w:rPr>
              <w:t xml:space="preserve">273 </w:t>
            </w:r>
          </w:p>
        </w:tc>
        <w:tc>
          <w:tcPr>
            <w:tcW w:w="126" w:type="pct"/>
            <w:tcBorders>
              <w:top w:val="nil"/>
              <w:left w:val="nil"/>
              <w:bottom w:val="single" w:sz="4" w:space="0" w:color="auto"/>
              <w:right w:val="single" w:sz="4" w:space="0" w:color="auto"/>
            </w:tcBorders>
            <w:shd w:val="clear" w:color="FFFFFF" w:fill="FFFFFF"/>
            <w:vAlign w:val="center"/>
            <w:hideMark/>
          </w:tcPr>
          <w:p w14:paraId="74CFFC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A25A8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1C958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4A72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722F2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2AF6C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2D9091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4600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43F611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216BF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4DC897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Modernizimi i rregullave te BE per mbrojtjen e konsumatoreve</w:t>
            </w:r>
          </w:p>
        </w:tc>
        <w:tc>
          <w:tcPr>
            <w:tcW w:w="661" w:type="pct"/>
            <w:tcBorders>
              <w:top w:val="nil"/>
              <w:left w:val="nil"/>
              <w:bottom w:val="single" w:sz="4" w:space="0" w:color="auto"/>
              <w:right w:val="single" w:sz="4" w:space="0" w:color="auto"/>
            </w:tcBorders>
            <w:shd w:val="clear" w:color="FFFFFF" w:fill="FFFFFF"/>
            <w:vAlign w:val="center"/>
            <w:hideMark/>
          </w:tcPr>
          <w:p w14:paraId="2357B2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2019/2161 e Parlamentit Evropian dhe e Këshillit e datës 27 nëntor 2019 që ndryshon Direktivën e Këshillit 93/13/EEC dhe Direktivat 98/6/EC, 2005/29/EC dhe 2011/83/BE të Parlamentit Evropian dhe të Këshillit për sa i përket zbatimit dhe modernizimit më të mirë të rregullave të Bashkimit për mbrojtjen e konsumatorëve (Tekst me rëndësi për ZEE)</w:t>
            </w:r>
          </w:p>
        </w:tc>
        <w:tc>
          <w:tcPr>
            <w:tcW w:w="668" w:type="pct"/>
            <w:tcBorders>
              <w:top w:val="nil"/>
              <w:left w:val="nil"/>
              <w:bottom w:val="single" w:sz="4" w:space="0" w:color="auto"/>
              <w:right w:val="single" w:sz="4" w:space="0" w:color="auto"/>
            </w:tcBorders>
            <w:shd w:val="clear" w:color="auto" w:fill="auto"/>
            <w:vAlign w:val="center"/>
            <w:hideMark/>
          </w:tcPr>
          <w:p w14:paraId="7664DE3B" w14:textId="77777777" w:rsidR="00482167" w:rsidRPr="006D6BE5" w:rsidRDefault="00E63D69" w:rsidP="00A7241A">
            <w:pPr>
              <w:rPr>
                <w:rFonts w:ascii="Arial" w:hAnsi="Arial" w:cs="Arial"/>
                <w:color w:val="0563C1"/>
                <w:sz w:val="4"/>
                <w:szCs w:val="8"/>
                <w:u w:val="single"/>
                <w:lang w:val="sq-AL"/>
              </w:rPr>
            </w:pPr>
            <w:hyperlink r:id="rId70" w:history="1">
              <w:r w:rsidR="00482167" w:rsidRPr="006D6BE5">
                <w:rPr>
                  <w:rFonts w:ascii="Arial" w:hAnsi="Arial" w:cs="Arial"/>
                  <w:color w:val="0563C1"/>
                  <w:sz w:val="4"/>
                  <w:szCs w:val="8"/>
                  <w:u w:val="single"/>
                  <w:lang w:val="sq-AL"/>
                </w:rPr>
                <w:t>https://eur-lex.europa.eu/legal-content/en/ALL/?uri=CELEX%3A32019L2161;</w:t>
              </w:r>
            </w:hyperlink>
          </w:p>
        </w:tc>
        <w:tc>
          <w:tcPr>
            <w:tcW w:w="506" w:type="pct"/>
            <w:tcBorders>
              <w:top w:val="nil"/>
              <w:left w:val="nil"/>
              <w:bottom w:val="single" w:sz="4" w:space="0" w:color="auto"/>
              <w:right w:val="single" w:sz="4" w:space="0" w:color="auto"/>
            </w:tcBorders>
            <w:shd w:val="clear" w:color="FFFFFF" w:fill="FFFFFF"/>
            <w:vAlign w:val="center"/>
            <w:hideMark/>
          </w:tcPr>
          <w:p w14:paraId="16AE67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BB56E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3A6EC7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46E88E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2B0DC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5F8FC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2C0754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040F7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75978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E75D5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9967DCC" w14:textId="2058ED6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2,000 </w:t>
            </w:r>
          </w:p>
        </w:tc>
        <w:tc>
          <w:tcPr>
            <w:tcW w:w="117" w:type="pct"/>
            <w:tcBorders>
              <w:top w:val="nil"/>
              <w:left w:val="nil"/>
              <w:bottom w:val="single" w:sz="4" w:space="0" w:color="auto"/>
              <w:right w:val="single" w:sz="4" w:space="0" w:color="auto"/>
            </w:tcBorders>
            <w:shd w:val="clear" w:color="FFFFFF" w:fill="FFFFFF"/>
            <w:vAlign w:val="center"/>
            <w:hideMark/>
          </w:tcPr>
          <w:p w14:paraId="3D64BA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C50AD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E25B9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4554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6CA1D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67BC8B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B3E8D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19BF83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326F4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688AD7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Kontratat me përmbajtje digjitale dhe shërbimet digjitale</w:t>
            </w:r>
          </w:p>
        </w:tc>
        <w:tc>
          <w:tcPr>
            <w:tcW w:w="661" w:type="pct"/>
            <w:tcBorders>
              <w:top w:val="nil"/>
              <w:left w:val="nil"/>
              <w:bottom w:val="single" w:sz="4" w:space="0" w:color="auto"/>
              <w:right w:val="single" w:sz="4" w:space="0" w:color="auto"/>
            </w:tcBorders>
            <w:shd w:val="clear" w:color="FFFFFF" w:fill="FFFFFF"/>
            <w:vAlign w:val="center"/>
            <w:hideMark/>
          </w:tcPr>
          <w:p w14:paraId="316837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2019/770 e Parlamentit Evropian dhe e Këshillit e datës 20 maj 2019 mbi disa aspekte në lidhje me kontratat për furnizimin me përmbajtje dixhitale dhe shërbime dixhitale (Tekst me rëndësi për ZEE-në.) (OJ L 136, 22.5.2019, f. 1–27)</w:t>
            </w:r>
          </w:p>
        </w:tc>
        <w:tc>
          <w:tcPr>
            <w:tcW w:w="668" w:type="pct"/>
            <w:tcBorders>
              <w:top w:val="nil"/>
              <w:left w:val="nil"/>
              <w:bottom w:val="single" w:sz="4" w:space="0" w:color="auto"/>
              <w:right w:val="single" w:sz="4" w:space="0" w:color="auto"/>
            </w:tcBorders>
            <w:shd w:val="clear" w:color="auto" w:fill="auto"/>
            <w:vAlign w:val="center"/>
            <w:hideMark/>
          </w:tcPr>
          <w:p w14:paraId="061F812A" w14:textId="77777777" w:rsidR="00482167" w:rsidRPr="006D6BE5" w:rsidRDefault="00E63D69" w:rsidP="00A7241A">
            <w:pPr>
              <w:rPr>
                <w:rFonts w:ascii="Arial" w:hAnsi="Arial" w:cs="Arial"/>
                <w:color w:val="0563C1"/>
                <w:sz w:val="4"/>
                <w:szCs w:val="8"/>
                <w:u w:val="single"/>
                <w:lang w:val="sq-AL"/>
              </w:rPr>
            </w:pPr>
            <w:hyperlink r:id="rId71" w:history="1">
              <w:r w:rsidR="00482167" w:rsidRPr="006D6BE5">
                <w:rPr>
                  <w:rFonts w:ascii="Arial" w:hAnsi="Arial" w:cs="Arial"/>
                  <w:color w:val="0563C1"/>
                  <w:sz w:val="4"/>
                  <w:szCs w:val="8"/>
                  <w:u w:val="single"/>
                  <w:lang w:val="sq-AL"/>
                </w:rPr>
                <w:t>https://eur-lex.europa.eu/legal-content/EN/TXT/?uri=celex%3A32019L0770</w:t>
              </w:r>
            </w:hyperlink>
          </w:p>
        </w:tc>
        <w:tc>
          <w:tcPr>
            <w:tcW w:w="506" w:type="pct"/>
            <w:tcBorders>
              <w:top w:val="nil"/>
              <w:left w:val="nil"/>
              <w:bottom w:val="single" w:sz="4" w:space="0" w:color="auto"/>
              <w:right w:val="single" w:sz="4" w:space="0" w:color="auto"/>
            </w:tcBorders>
            <w:shd w:val="clear" w:color="FFFFFF" w:fill="FFFFFF"/>
            <w:vAlign w:val="center"/>
            <w:hideMark/>
          </w:tcPr>
          <w:p w14:paraId="01AAC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0B164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006997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6DE178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DD3B2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D6CEB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6A2B6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B52D8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45B03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2A427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E8BDC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696D8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3EFAF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3C19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A32D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00477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6C198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5D05A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753324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6051B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4CF27E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Kontratat e shitjes së mallrave</w:t>
            </w:r>
          </w:p>
        </w:tc>
        <w:tc>
          <w:tcPr>
            <w:tcW w:w="661" w:type="pct"/>
            <w:tcBorders>
              <w:top w:val="nil"/>
              <w:left w:val="nil"/>
              <w:bottom w:val="single" w:sz="4" w:space="0" w:color="auto"/>
              <w:right w:val="single" w:sz="4" w:space="0" w:color="auto"/>
            </w:tcBorders>
            <w:shd w:val="clear" w:color="FFFFFF" w:fill="FFFFFF"/>
            <w:vAlign w:val="center"/>
            <w:hideMark/>
          </w:tcPr>
          <w:p w14:paraId="0DDF52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2019/771 e Parlamentit Evropian dhe e Këshillit e datës 20 maj 2019 për disa aspekte në lidhje me kontratat për shitjen e mallrave, duke amenduar Rregulloren (BE) 2017/2394 dhe Direktivën 2009/22/KE dhe duke shfuqizuar Direktivën 1999 /44/EC (Tekst me rëndësi për ZEE.) (OJ L 136, 22.5.2019, f. 28–50)</w:t>
            </w:r>
          </w:p>
        </w:tc>
        <w:tc>
          <w:tcPr>
            <w:tcW w:w="668" w:type="pct"/>
            <w:tcBorders>
              <w:top w:val="nil"/>
              <w:left w:val="nil"/>
              <w:bottom w:val="single" w:sz="4" w:space="0" w:color="auto"/>
              <w:right w:val="single" w:sz="4" w:space="0" w:color="auto"/>
            </w:tcBorders>
            <w:shd w:val="clear" w:color="auto" w:fill="auto"/>
            <w:vAlign w:val="center"/>
            <w:hideMark/>
          </w:tcPr>
          <w:p w14:paraId="4B755CE5" w14:textId="77777777" w:rsidR="00482167" w:rsidRPr="006D6BE5" w:rsidRDefault="00E63D69" w:rsidP="00A7241A">
            <w:pPr>
              <w:rPr>
                <w:rFonts w:ascii="Arial" w:hAnsi="Arial" w:cs="Arial"/>
                <w:color w:val="0563C1"/>
                <w:sz w:val="4"/>
                <w:szCs w:val="8"/>
                <w:u w:val="single"/>
                <w:lang w:val="sq-AL"/>
              </w:rPr>
            </w:pPr>
            <w:hyperlink r:id="rId72" w:history="1">
              <w:r w:rsidR="00482167" w:rsidRPr="006D6BE5">
                <w:rPr>
                  <w:rFonts w:ascii="Arial" w:hAnsi="Arial" w:cs="Arial"/>
                  <w:color w:val="0563C1"/>
                  <w:sz w:val="4"/>
                  <w:szCs w:val="8"/>
                  <w:u w:val="single"/>
                  <w:lang w:val="sq-AL"/>
                </w:rPr>
                <w:t>https://eur-lex.europa.eu/legal-content/en/TXT/?uri=CELEX:32019L0771;</w:t>
              </w:r>
            </w:hyperlink>
          </w:p>
        </w:tc>
        <w:tc>
          <w:tcPr>
            <w:tcW w:w="506" w:type="pct"/>
            <w:tcBorders>
              <w:top w:val="nil"/>
              <w:left w:val="nil"/>
              <w:bottom w:val="single" w:sz="4" w:space="0" w:color="auto"/>
              <w:right w:val="single" w:sz="4" w:space="0" w:color="auto"/>
            </w:tcBorders>
            <w:shd w:val="clear" w:color="FFFFFF" w:fill="FFFFFF"/>
            <w:vAlign w:val="center"/>
            <w:hideMark/>
          </w:tcPr>
          <w:p w14:paraId="7079A7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613A3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3A74CC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2DD64A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0F9CD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A41AE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24C900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E34E0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D8D0A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6E1D3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0822D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D0EB9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8FBE2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1D71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E9E2A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4BFFD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F49CF0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21CDC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784D00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D08A2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0F4871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Ndalimi i shkeljeve; </w:t>
            </w:r>
            <w:r w:rsidRPr="006D6BE5">
              <w:rPr>
                <w:rFonts w:ascii="Arial" w:hAnsi="Arial" w:cs="Arial"/>
                <w:color w:val="000000"/>
                <w:sz w:val="4"/>
                <w:szCs w:val="8"/>
                <w:lang w:val="sq-AL"/>
              </w:rPr>
              <w:br/>
              <w:t>Veprimet përfaqësuese</w:t>
            </w:r>
          </w:p>
        </w:tc>
        <w:tc>
          <w:tcPr>
            <w:tcW w:w="661" w:type="pct"/>
            <w:tcBorders>
              <w:top w:val="nil"/>
              <w:left w:val="nil"/>
              <w:bottom w:val="single" w:sz="4" w:space="0" w:color="auto"/>
              <w:right w:val="single" w:sz="4" w:space="0" w:color="auto"/>
            </w:tcBorders>
            <w:shd w:val="clear" w:color="FFFFFF" w:fill="FFFFFF"/>
            <w:vAlign w:val="center"/>
            <w:hideMark/>
          </w:tcPr>
          <w:p w14:paraId="69249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2020/1828 e Parlamentit Evropian dhe e Këshillit e datës 25 nëntor 2020 mbi veprimet përfaqësuese për mbrojtjen e interesave kolektive të konsumatorëve dhe shfuqizimin e Direktivës 2009/22/KE</w:t>
            </w:r>
          </w:p>
        </w:tc>
        <w:tc>
          <w:tcPr>
            <w:tcW w:w="668" w:type="pct"/>
            <w:tcBorders>
              <w:top w:val="nil"/>
              <w:left w:val="nil"/>
              <w:bottom w:val="single" w:sz="4" w:space="0" w:color="auto"/>
              <w:right w:val="single" w:sz="4" w:space="0" w:color="auto"/>
            </w:tcBorders>
            <w:shd w:val="clear" w:color="auto" w:fill="auto"/>
            <w:vAlign w:val="center"/>
            <w:hideMark/>
          </w:tcPr>
          <w:p w14:paraId="3B4E8CE8" w14:textId="77777777" w:rsidR="00482167" w:rsidRPr="006D6BE5" w:rsidRDefault="00E63D69" w:rsidP="00A7241A">
            <w:pPr>
              <w:rPr>
                <w:rFonts w:ascii="Arial" w:hAnsi="Arial" w:cs="Arial"/>
                <w:color w:val="0563C1"/>
                <w:sz w:val="4"/>
                <w:szCs w:val="8"/>
                <w:u w:val="single"/>
                <w:lang w:val="sq-AL"/>
              </w:rPr>
            </w:pPr>
            <w:hyperlink r:id="rId73" w:history="1">
              <w:r w:rsidR="00482167" w:rsidRPr="006D6BE5">
                <w:rPr>
                  <w:rFonts w:ascii="Arial" w:hAnsi="Arial" w:cs="Arial"/>
                  <w:color w:val="0563C1"/>
                  <w:sz w:val="4"/>
                  <w:szCs w:val="8"/>
                  <w:u w:val="single"/>
                  <w:lang w:val="sq-AL"/>
                </w:rPr>
                <w:t>https://eur-lex.europa.eu/legal-content/EN/TXT/?uri=celex%3A32020L1828</w:t>
              </w:r>
            </w:hyperlink>
          </w:p>
        </w:tc>
        <w:tc>
          <w:tcPr>
            <w:tcW w:w="506" w:type="pct"/>
            <w:tcBorders>
              <w:top w:val="nil"/>
              <w:left w:val="nil"/>
              <w:bottom w:val="single" w:sz="4" w:space="0" w:color="auto"/>
              <w:right w:val="single" w:sz="4" w:space="0" w:color="auto"/>
            </w:tcBorders>
            <w:shd w:val="clear" w:color="FFFFFF" w:fill="FFFFFF"/>
            <w:vAlign w:val="center"/>
            <w:hideMark/>
          </w:tcPr>
          <w:p w14:paraId="4F8070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D55BA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2CDC7A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21668A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5E8E8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3207F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0C1D0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66872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FF20C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3C752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0A6B2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61BA6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DC220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63C6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DBF23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8B553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5E9F95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D96E9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518A82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9C48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13F8C4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Zgjidhja online e mosmarrëveshjeve</w:t>
            </w:r>
          </w:p>
        </w:tc>
        <w:tc>
          <w:tcPr>
            <w:tcW w:w="661" w:type="pct"/>
            <w:tcBorders>
              <w:top w:val="nil"/>
              <w:left w:val="nil"/>
              <w:bottom w:val="single" w:sz="4" w:space="0" w:color="auto"/>
              <w:right w:val="single" w:sz="4" w:space="0" w:color="auto"/>
            </w:tcBorders>
            <w:shd w:val="clear" w:color="FFFFFF" w:fill="FFFFFF"/>
            <w:vAlign w:val="center"/>
            <w:hideMark/>
          </w:tcPr>
          <w:p w14:paraId="498A7652" w14:textId="30F72C3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524/2013 e Parlamentit Evropian dhe e Këshillit e datës 21 maj 2013 për zgjidhjen online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 mosmarrëveshjeve te konsumatorëve dhe ndryshimin e Rregullores (KE) Nr. (OJ L 165, 18.6.2013, f. 1–12)</w:t>
            </w:r>
            <w:r w:rsidRPr="006D6BE5">
              <w:rPr>
                <w:rFonts w:ascii="Arial" w:hAnsi="Arial" w:cs="Arial"/>
                <w:color w:val="000000"/>
                <w:sz w:val="4"/>
                <w:szCs w:val="8"/>
                <w:lang w:val="sq-AL"/>
              </w:rPr>
              <w:br/>
              <w:t>Ndryshuar me 32009L0022 (OJ L 110, 1.5.2009, f. 30–36)</w:t>
            </w:r>
          </w:p>
        </w:tc>
        <w:tc>
          <w:tcPr>
            <w:tcW w:w="668" w:type="pct"/>
            <w:tcBorders>
              <w:top w:val="nil"/>
              <w:left w:val="nil"/>
              <w:bottom w:val="single" w:sz="4" w:space="0" w:color="auto"/>
              <w:right w:val="single" w:sz="4" w:space="0" w:color="auto"/>
            </w:tcBorders>
            <w:shd w:val="clear" w:color="auto" w:fill="auto"/>
            <w:vAlign w:val="center"/>
            <w:hideMark/>
          </w:tcPr>
          <w:p w14:paraId="5FE9F351" w14:textId="77777777" w:rsidR="00482167" w:rsidRPr="006D6BE5" w:rsidRDefault="00E63D69" w:rsidP="00A7241A">
            <w:pPr>
              <w:rPr>
                <w:rFonts w:ascii="Arial" w:hAnsi="Arial" w:cs="Arial"/>
                <w:color w:val="0563C1"/>
                <w:sz w:val="4"/>
                <w:szCs w:val="8"/>
                <w:u w:val="single"/>
                <w:lang w:val="sq-AL"/>
              </w:rPr>
            </w:pPr>
            <w:hyperlink r:id="rId74" w:history="1">
              <w:r w:rsidR="00482167" w:rsidRPr="006D6BE5">
                <w:rPr>
                  <w:rFonts w:ascii="Arial" w:hAnsi="Arial" w:cs="Arial"/>
                  <w:color w:val="0563C1"/>
                  <w:sz w:val="4"/>
                  <w:szCs w:val="8"/>
                  <w:u w:val="single"/>
                  <w:lang w:val="sq-AL"/>
                </w:rPr>
                <w:t>https://eur-lex.europa.eu/legal-content/EN/TXT/?uri=celex%3A32013R0524;</w:t>
              </w:r>
            </w:hyperlink>
          </w:p>
        </w:tc>
        <w:tc>
          <w:tcPr>
            <w:tcW w:w="506" w:type="pct"/>
            <w:tcBorders>
              <w:top w:val="nil"/>
              <w:left w:val="nil"/>
              <w:bottom w:val="single" w:sz="4" w:space="0" w:color="auto"/>
              <w:right w:val="single" w:sz="4" w:space="0" w:color="auto"/>
            </w:tcBorders>
            <w:shd w:val="clear" w:color="FFFFFF" w:fill="FFFFFF"/>
            <w:vAlign w:val="center"/>
            <w:hideMark/>
          </w:tcPr>
          <w:p w14:paraId="2D2847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D59B0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74C835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3FA6BA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A56A7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972ED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903B4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E2C56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60D43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5F323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BA5C7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1F1EF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97F2A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96A7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A16D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FFDC7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D6F4B7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C0FB9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3256D7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88678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w:t>
            </w:r>
          </w:p>
        </w:tc>
        <w:tc>
          <w:tcPr>
            <w:tcW w:w="171" w:type="pct"/>
            <w:tcBorders>
              <w:top w:val="nil"/>
              <w:left w:val="nil"/>
              <w:bottom w:val="single" w:sz="4" w:space="0" w:color="auto"/>
              <w:right w:val="single" w:sz="4" w:space="0" w:color="auto"/>
            </w:tcBorders>
            <w:shd w:val="clear" w:color="FFFFFF" w:fill="FFFFFF"/>
            <w:vAlign w:val="center"/>
            <w:hideMark/>
          </w:tcPr>
          <w:p w14:paraId="69C6DD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Bashkëpunimi mes autoriteteve kombëtare përgjegjëse për zbatimin</w:t>
            </w:r>
          </w:p>
        </w:tc>
        <w:tc>
          <w:tcPr>
            <w:tcW w:w="661" w:type="pct"/>
            <w:tcBorders>
              <w:top w:val="nil"/>
              <w:left w:val="nil"/>
              <w:bottom w:val="single" w:sz="4" w:space="0" w:color="auto"/>
              <w:right w:val="single" w:sz="4" w:space="0" w:color="auto"/>
            </w:tcBorders>
            <w:shd w:val="clear" w:color="FFFFFF" w:fill="FFFFFF"/>
            <w:vAlign w:val="center"/>
            <w:hideMark/>
          </w:tcPr>
          <w:p w14:paraId="0D1C9F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2017/2394 e Parlamentit Evropian dhe e Këshillit e datës 12 dhjetor 2017 mbi bashkëpunimin ndërmjet autoriteteve kombëtare përgjegjëse për zbatimin e ligjeve për mbrojtjen e konsumatorit dhe shfuqizimin e Rregullores (KE) Nr 2006/2004 (Tekst me rëndësi për EEA). (OJ L 345, 27.12.2017, f. 1–26.)</w:t>
            </w:r>
          </w:p>
        </w:tc>
        <w:tc>
          <w:tcPr>
            <w:tcW w:w="668" w:type="pct"/>
            <w:tcBorders>
              <w:top w:val="nil"/>
              <w:left w:val="nil"/>
              <w:bottom w:val="single" w:sz="4" w:space="0" w:color="auto"/>
              <w:right w:val="single" w:sz="4" w:space="0" w:color="auto"/>
            </w:tcBorders>
            <w:shd w:val="clear" w:color="auto" w:fill="auto"/>
            <w:vAlign w:val="center"/>
            <w:hideMark/>
          </w:tcPr>
          <w:p w14:paraId="1E325E37" w14:textId="77777777" w:rsidR="00482167" w:rsidRPr="006D6BE5" w:rsidRDefault="00E63D69" w:rsidP="00A7241A">
            <w:pPr>
              <w:rPr>
                <w:rFonts w:ascii="Arial" w:hAnsi="Arial" w:cs="Arial"/>
                <w:color w:val="0563C1"/>
                <w:sz w:val="4"/>
                <w:szCs w:val="8"/>
                <w:u w:val="single"/>
                <w:lang w:val="sq-AL"/>
              </w:rPr>
            </w:pPr>
            <w:hyperlink r:id="rId75" w:history="1">
              <w:r w:rsidR="00482167" w:rsidRPr="006D6BE5">
                <w:rPr>
                  <w:rFonts w:ascii="Arial" w:hAnsi="Arial" w:cs="Arial"/>
                  <w:color w:val="0563C1"/>
                  <w:sz w:val="4"/>
                  <w:szCs w:val="8"/>
                  <w:u w:val="single"/>
                  <w:lang w:val="sq-AL"/>
                </w:rPr>
                <w:t>https://eur-lex.europa.eu/legal-content/DA/TXT/?uri=celex:32017R2394;</w:t>
              </w:r>
            </w:hyperlink>
          </w:p>
        </w:tc>
        <w:tc>
          <w:tcPr>
            <w:tcW w:w="506" w:type="pct"/>
            <w:tcBorders>
              <w:top w:val="nil"/>
              <w:left w:val="nil"/>
              <w:bottom w:val="single" w:sz="4" w:space="0" w:color="auto"/>
              <w:right w:val="single" w:sz="4" w:space="0" w:color="auto"/>
            </w:tcBorders>
            <w:shd w:val="clear" w:color="FFFFFF" w:fill="FFFFFF"/>
            <w:vAlign w:val="center"/>
            <w:hideMark/>
          </w:tcPr>
          <w:p w14:paraId="0D552B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76E52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e ndryshim të Ligjit nr. 9902, date 17.04.2008 "Per mbrojtjen e konsumatorëve"</w:t>
            </w:r>
          </w:p>
        </w:tc>
        <w:tc>
          <w:tcPr>
            <w:tcW w:w="330" w:type="pct"/>
            <w:tcBorders>
              <w:top w:val="nil"/>
              <w:left w:val="nil"/>
              <w:bottom w:val="single" w:sz="4" w:space="0" w:color="auto"/>
              <w:right w:val="single" w:sz="4" w:space="0" w:color="auto"/>
            </w:tcBorders>
            <w:shd w:val="clear" w:color="FFFFFF" w:fill="FFFFFF"/>
            <w:vAlign w:val="center"/>
            <w:hideMark/>
          </w:tcPr>
          <w:p w14:paraId="7E6A5F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konsumatorit: çështjet ku synohet përafrim janë në lidhje me sistemin online per zgjidhjen alternative te mosmarreveshjeve (ODR); Modernizimin e rregullave per mbrojtjen e konsumatorit dhe per kontratat e sherbimeve digjitale</w:t>
            </w:r>
          </w:p>
        </w:tc>
        <w:tc>
          <w:tcPr>
            <w:tcW w:w="126" w:type="pct"/>
            <w:tcBorders>
              <w:top w:val="nil"/>
              <w:left w:val="nil"/>
              <w:bottom w:val="single" w:sz="4" w:space="0" w:color="auto"/>
              <w:right w:val="single" w:sz="4" w:space="0" w:color="auto"/>
            </w:tcBorders>
            <w:shd w:val="clear" w:color="FFFFFF" w:fill="FFFFFF"/>
            <w:vAlign w:val="center"/>
            <w:hideMark/>
          </w:tcPr>
          <w:p w14:paraId="51E46E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37C50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329DD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4816DF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08A82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CCEB1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08E3D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BC9F4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DBFEE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72D82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7F59A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42604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17480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59EABE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1AF99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78AF31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74113A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53F932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w:t>
            </w:r>
          </w:p>
        </w:tc>
        <w:tc>
          <w:tcPr>
            <w:tcW w:w="661" w:type="pct"/>
            <w:tcBorders>
              <w:top w:val="nil"/>
              <w:left w:val="nil"/>
              <w:bottom w:val="single" w:sz="4" w:space="0" w:color="auto"/>
              <w:right w:val="single" w:sz="4" w:space="0" w:color="auto"/>
            </w:tcBorders>
            <w:shd w:val="clear" w:color="FFFFFF" w:fill="FFFFFF"/>
            <w:vAlign w:val="center"/>
            <w:hideMark/>
          </w:tcPr>
          <w:p w14:paraId="1A2044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2017/745 e Parlamentit Evropian dhe e Këshillit e datës 5 prill 2017 për pajisjet mjekësore, duke amenduar Direktivën 2001/83/EC, Rregulloren (EC) Nr 178/2002 dhe Rregulloren (EC) Nr 1223/2009 dhe duke shfuqizuar Direktivat e Këshillit 90/385/KEE dhe 93/42/EEC</w:t>
            </w:r>
          </w:p>
        </w:tc>
        <w:tc>
          <w:tcPr>
            <w:tcW w:w="668" w:type="pct"/>
            <w:tcBorders>
              <w:top w:val="nil"/>
              <w:left w:val="nil"/>
              <w:bottom w:val="single" w:sz="4" w:space="0" w:color="auto"/>
              <w:right w:val="single" w:sz="4" w:space="0" w:color="auto"/>
            </w:tcBorders>
            <w:shd w:val="clear" w:color="auto" w:fill="auto"/>
            <w:vAlign w:val="center"/>
            <w:hideMark/>
          </w:tcPr>
          <w:p w14:paraId="62EA7619" w14:textId="77777777" w:rsidR="00482167" w:rsidRPr="006D6BE5" w:rsidRDefault="00E63D69" w:rsidP="00A7241A">
            <w:pPr>
              <w:rPr>
                <w:rFonts w:ascii="Arial" w:hAnsi="Arial" w:cs="Arial"/>
                <w:color w:val="0563C1"/>
                <w:sz w:val="4"/>
                <w:szCs w:val="8"/>
                <w:u w:val="single"/>
                <w:lang w:val="sq-AL"/>
              </w:rPr>
            </w:pPr>
            <w:hyperlink r:id="rId76" w:history="1">
              <w:r w:rsidR="00482167" w:rsidRPr="006D6BE5">
                <w:rPr>
                  <w:rFonts w:ascii="Arial" w:hAnsi="Arial" w:cs="Arial"/>
                  <w:color w:val="0563C1"/>
                  <w:sz w:val="4"/>
                  <w:szCs w:val="8"/>
                  <w:u w:val="single"/>
                  <w:lang w:val="sq-AL"/>
                </w:rPr>
                <w:t>https://eur-lex.europa.eu/legal-content/EN/TXT/?uri=CELEX%3A32017R0745;</w:t>
              </w:r>
            </w:hyperlink>
          </w:p>
        </w:tc>
        <w:tc>
          <w:tcPr>
            <w:tcW w:w="506" w:type="pct"/>
            <w:tcBorders>
              <w:top w:val="nil"/>
              <w:left w:val="nil"/>
              <w:bottom w:val="single" w:sz="4" w:space="0" w:color="auto"/>
              <w:right w:val="single" w:sz="4" w:space="0" w:color="auto"/>
            </w:tcBorders>
            <w:shd w:val="clear" w:color="FFFFFF" w:fill="FFFFFF"/>
            <w:vAlign w:val="center"/>
            <w:hideMark/>
          </w:tcPr>
          <w:p w14:paraId="57C19B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97C8E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89/2014 “Për pajisjet mjekësore”</w:t>
            </w:r>
          </w:p>
        </w:tc>
        <w:tc>
          <w:tcPr>
            <w:tcW w:w="330" w:type="pct"/>
            <w:tcBorders>
              <w:top w:val="nil"/>
              <w:left w:val="nil"/>
              <w:bottom w:val="single" w:sz="4" w:space="0" w:color="auto"/>
              <w:right w:val="single" w:sz="4" w:space="0" w:color="auto"/>
            </w:tcBorders>
            <w:shd w:val="clear" w:color="FFFFFF" w:fill="FFFFFF"/>
            <w:vAlign w:val="center"/>
            <w:hideMark/>
          </w:tcPr>
          <w:p w14:paraId="7A61D6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Identifikimi dhe gjurmueshmëria e pajisjeve brenda zinxhirit të furnizimit (Identifikimi unik i pajisjes) </w:t>
            </w:r>
          </w:p>
        </w:tc>
        <w:tc>
          <w:tcPr>
            <w:tcW w:w="126" w:type="pct"/>
            <w:tcBorders>
              <w:top w:val="nil"/>
              <w:left w:val="nil"/>
              <w:bottom w:val="single" w:sz="4" w:space="0" w:color="auto"/>
              <w:right w:val="single" w:sz="4" w:space="0" w:color="auto"/>
            </w:tcBorders>
            <w:shd w:val="clear" w:color="FFFFFF" w:fill="FFFFFF"/>
            <w:vAlign w:val="center"/>
            <w:hideMark/>
          </w:tcPr>
          <w:p w14:paraId="167271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F7B94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2F62D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393804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51B5F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62B4D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7649E4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BE1EF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5AC54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F444C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26F4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8B3B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8829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597D56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334CF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2C017A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4FC20C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625CC1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w:t>
            </w:r>
          </w:p>
        </w:tc>
        <w:tc>
          <w:tcPr>
            <w:tcW w:w="661" w:type="pct"/>
            <w:tcBorders>
              <w:top w:val="nil"/>
              <w:left w:val="nil"/>
              <w:bottom w:val="single" w:sz="4" w:space="0" w:color="auto"/>
              <w:right w:val="single" w:sz="4" w:space="0" w:color="auto"/>
            </w:tcBorders>
            <w:shd w:val="clear" w:color="FFFFFF" w:fill="FFFFFF"/>
            <w:vAlign w:val="center"/>
            <w:hideMark/>
          </w:tcPr>
          <w:p w14:paraId="1B7CF0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2017/746 e Parlamentit Evropian dhe e Këshillit e datës 5 prill 2017 mbi pajisjet mjekësore diagnostikuese in vitro dhe shfuqizimin e Direktivës 98/79/EC dhe Vendimit të Komisionit 2010/227/BE</w:t>
            </w:r>
          </w:p>
        </w:tc>
        <w:tc>
          <w:tcPr>
            <w:tcW w:w="668" w:type="pct"/>
            <w:tcBorders>
              <w:top w:val="nil"/>
              <w:left w:val="nil"/>
              <w:bottom w:val="single" w:sz="4" w:space="0" w:color="auto"/>
              <w:right w:val="single" w:sz="4" w:space="0" w:color="auto"/>
            </w:tcBorders>
            <w:shd w:val="clear" w:color="auto" w:fill="auto"/>
            <w:vAlign w:val="center"/>
            <w:hideMark/>
          </w:tcPr>
          <w:p w14:paraId="232F45AA" w14:textId="77777777" w:rsidR="00482167" w:rsidRPr="006D6BE5" w:rsidRDefault="00E63D69" w:rsidP="00A7241A">
            <w:pPr>
              <w:rPr>
                <w:rFonts w:ascii="Arial" w:hAnsi="Arial" w:cs="Arial"/>
                <w:color w:val="0563C1"/>
                <w:sz w:val="4"/>
                <w:szCs w:val="8"/>
                <w:u w:val="single"/>
                <w:lang w:val="sq-AL"/>
              </w:rPr>
            </w:pPr>
            <w:hyperlink r:id="rId77" w:history="1">
              <w:r w:rsidR="00482167" w:rsidRPr="006D6BE5">
                <w:rPr>
                  <w:rFonts w:ascii="Arial" w:hAnsi="Arial" w:cs="Arial"/>
                  <w:color w:val="0563C1"/>
                  <w:sz w:val="4"/>
                  <w:szCs w:val="8"/>
                  <w:u w:val="single"/>
                  <w:lang w:val="sq-AL"/>
                </w:rPr>
                <w:t>https://eur-lex.europa.eu/eli/reg/2017/746/oj;</w:t>
              </w:r>
            </w:hyperlink>
          </w:p>
        </w:tc>
        <w:tc>
          <w:tcPr>
            <w:tcW w:w="506" w:type="pct"/>
            <w:tcBorders>
              <w:top w:val="nil"/>
              <w:left w:val="nil"/>
              <w:bottom w:val="single" w:sz="4" w:space="0" w:color="auto"/>
              <w:right w:val="single" w:sz="4" w:space="0" w:color="auto"/>
            </w:tcBorders>
            <w:shd w:val="clear" w:color="FFFFFF" w:fill="FFFFFF"/>
            <w:vAlign w:val="center"/>
            <w:hideMark/>
          </w:tcPr>
          <w:p w14:paraId="679046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4DB4805" w14:textId="689BCCD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i Ligjit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89/2014 “Për pajisjet mjekësore”</w:t>
            </w:r>
            <w:r w:rsidRPr="006D6BE5">
              <w:rPr>
                <w:rFonts w:ascii="Arial" w:hAnsi="Arial" w:cs="Arial"/>
                <w:color w:val="000000"/>
                <w:sz w:val="4"/>
                <w:szCs w:val="8"/>
                <w:lang w:val="sq-AL"/>
              </w:rPr>
              <w:br/>
              <w:t>Ligji 21/2020. “Për disa ndryshime në ligjin 89/2014 “Për pajisjet mjekësore”</w:t>
            </w:r>
          </w:p>
        </w:tc>
        <w:tc>
          <w:tcPr>
            <w:tcW w:w="330" w:type="pct"/>
            <w:tcBorders>
              <w:top w:val="nil"/>
              <w:left w:val="nil"/>
              <w:bottom w:val="single" w:sz="4" w:space="0" w:color="auto"/>
              <w:right w:val="single" w:sz="4" w:space="0" w:color="auto"/>
            </w:tcBorders>
            <w:shd w:val="clear" w:color="FFFFFF" w:fill="FFFFFF"/>
            <w:vAlign w:val="center"/>
            <w:hideMark/>
          </w:tcPr>
          <w:p w14:paraId="0B66BA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Procedurat e vlerësimit të konformitetit nga organet e autorizuara</w:t>
            </w:r>
          </w:p>
        </w:tc>
        <w:tc>
          <w:tcPr>
            <w:tcW w:w="126" w:type="pct"/>
            <w:tcBorders>
              <w:top w:val="nil"/>
              <w:left w:val="nil"/>
              <w:bottom w:val="single" w:sz="4" w:space="0" w:color="auto"/>
              <w:right w:val="single" w:sz="4" w:space="0" w:color="auto"/>
            </w:tcBorders>
            <w:shd w:val="clear" w:color="FFFFFF" w:fill="FFFFFF"/>
            <w:vAlign w:val="center"/>
            <w:hideMark/>
          </w:tcPr>
          <w:p w14:paraId="7F11E7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6CF8C0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1DECD0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2116CC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2A156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2709D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354C90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5631F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6B6DC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030FB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1D34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83B8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93C33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1178ED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CE1E0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106A94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63BE9F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22F01C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Direktivë</w:t>
            </w:r>
          </w:p>
        </w:tc>
        <w:tc>
          <w:tcPr>
            <w:tcW w:w="661" w:type="pct"/>
            <w:tcBorders>
              <w:top w:val="nil"/>
              <w:left w:val="nil"/>
              <w:bottom w:val="single" w:sz="4" w:space="0" w:color="auto"/>
              <w:right w:val="single" w:sz="4" w:space="0" w:color="auto"/>
            </w:tcBorders>
            <w:shd w:val="clear" w:color="FFFFFF" w:fill="FFFFFF"/>
            <w:vAlign w:val="center"/>
            <w:hideMark/>
          </w:tcPr>
          <w:p w14:paraId="708770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2001/83/EC e Parlamentit Evropian dhe e Këshillit e datës 6 nëntor 2001 mbi kodin komunitar për produktet medicinale për përdorim njerëzor</w:t>
            </w:r>
          </w:p>
        </w:tc>
        <w:tc>
          <w:tcPr>
            <w:tcW w:w="668" w:type="pct"/>
            <w:tcBorders>
              <w:top w:val="nil"/>
              <w:left w:val="nil"/>
              <w:bottom w:val="single" w:sz="4" w:space="0" w:color="auto"/>
              <w:right w:val="single" w:sz="4" w:space="0" w:color="auto"/>
            </w:tcBorders>
            <w:shd w:val="clear" w:color="auto" w:fill="auto"/>
            <w:vAlign w:val="center"/>
            <w:hideMark/>
          </w:tcPr>
          <w:p w14:paraId="16F3F628" w14:textId="77777777" w:rsidR="00482167" w:rsidRPr="006D6BE5" w:rsidRDefault="00E63D69" w:rsidP="00A7241A">
            <w:pPr>
              <w:rPr>
                <w:rFonts w:ascii="Arial" w:hAnsi="Arial" w:cs="Arial"/>
                <w:color w:val="0563C1"/>
                <w:sz w:val="4"/>
                <w:szCs w:val="8"/>
                <w:u w:val="single"/>
                <w:lang w:val="sq-AL"/>
              </w:rPr>
            </w:pPr>
            <w:hyperlink r:id="rId78" w:history="1">
              <w:r w:rsidR="00482167" w:rsidRPr="006D6BE5">
                <w:rPr>
                  <w:rFonts w:ascii="Arial" w:hAnsi="Arial" w:cs="Arial"/>
                  <w:color w:val="0563C1"/>
                  <w:sz w:val="4"/>
                  <w:szCs w:val="8"/>
                  <w:u w:val="single"/>
                  <w:lang w:val="sq-AL"/>
                </w:rPr>
                <w:t>https://eur-lex.europa.eu/eli/dir/2001/83/oj/eng;</w:t>
              </w:r>
            </w:hyperlink>
          </w:p>
        </w:tc>
        <w:tc>
          <w:tcPr>
            <w:tcW w:w="506" w:type="pct"/>
            <w:tcBorders>
              <w:top w:val="nil"/>
              <w:left w:val="nil"/>
              <w:bottom w:val="single" w:sz="4" w:space="0" w:color="auto"/>
              <w:right w:val="single" w:sz="4" w:space="0" w:color="auto"/>
            </w:tcBorders>
            <w:shd w:val="clear" w:color="FFFFFF" w:fill="FFFFFF"/>
            <w:vAlign w:val="center"/>
            <w:hideMark/>
          </w:tcPr>
          <w:p w14:paraId="283728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671CC3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i ligjit nr. 105/2014 “Për barnat dhe shërbimin farmaceutik”</w:t>
            </w:r>
          </w:p>
        </w:tc>
        <w:tc>
          <w:tcPr>
            <w:tcW w:w="330" w:type="pct"/>
            <w:tcBorders>
              <w:top w:val="nil"/>
              <w:left w:val="nil"/>
              <w:bottom w:val="single" w:sz="4" w:space="0" w:color="auto"/>
              <w:right w:val="single" w:sz="4" w:space="0" w:color="auto"/>
            </w:tcBorders>
            <w:shd w:val="clear" w:color="FFFFFF" w:fill="FFFFFF"/>
            <w:vAlign w:val="center"/>
            <w:hideMark/>
          </w:tcPr>
          <w:p w14:paraId="559744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Procedura për autorizimin e tregtimit të barnave; Etiketimi dhe fletëpalosje; Farmakovigjilenca, Mbledhja, Raportimi dhe vlerësimi i të dhënave të farmakovigjilencës</w:t>
            </w:r>
          </w:p>
        </w:tc>
        <w:tc>
          <w:tcPr>
            <w:tcW w:w="126" w:type="pct"/>
            <w:tcBorders>
              <w:top w:val="nil"/>
              <w:left w:val="nil"/>
              <w:bottom w:val="single" w:sz="4" w:space="0" w:color="auto"/>
              <w:right w:val="single" w:sz="4" w:space="0" w:color="auto"/>
            </w:tcBorders>
            <w:shd w:val="clear" w:color="FFFFFF" w:fill="FFFFFF"/>
            <w:vAlign w:val="center"/>
            <w:hideMark/>
          </w:tcPr>
          <w:p w14:paraId="272EDE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4C0D1F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E78F8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71D56B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37AAA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3E5F3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7B651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864CB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DE65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90C2E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361A6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43371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4836D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88518E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FD07B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1C28F2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69FE6C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60A040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w:t>
            </w:r>
          </w:p>
        </w:tc>
        <w:tc>
          <w:tcPr>
            <w:tcW w:w="661" w:type="pct"/>
            <w:tcBorders>
              <w:top w:val="nil"/>
              <w:left w:val="nil"/>
              <w:bottom w:val="single" w:sz="4" w:space="0" w:color="auto"/>
              <w:right w:val="single" w:sz="4" w:space="0" w:color="auto"/>
            </w:tcBorders>
            <w:shd w:val="clear" w:color="FFFFFF" w:fill="FFFFFF"/>
            <w:vAlign w:val="center"/>
            <w:hideMark/>
          </w:tcPr>
          <w:p w14:paraId="7ED9196A" w14:textId="78A0546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(EC) No 726/2004 e Parlamentit Evropian dhe e Këshillit</w:t>
            </w:r>
          </w:p>
        </w:tc>
        <w:tc>
          <w:tcPr>
            <w:tcW w:w="668" w:type="pct"/>
            <w:tcBorders>
              <w:top w:val="nil"/>
              <w:left w:val="nil"/>
              <w:bottom w:val="single" w:sz="4" w:space="0" w:color="auto"/>
              <w:right w:val="single" w:sz="4" w:space="0" w:color="auto"/>
            </w:tcBorders>
            <w:shd w:val="clear" w:color="auto" w:fill="auto"/>
            <w:vAlign w:val="center"/>
            <w:hideMark/>
          </w:tcPr>
          <w:p w14:paraId="69B1008D" w14:textId="77777777" w:rsidR="00482167" w:rsidRPr="006D6BE5" w:rsidRDefault="00E63D69" w:rsidP="00A7241A">
            <w:pPr>
              <w:rPr>
                <w:rFonts w:ascii="Arial" w:hAnsi="Arial" w:cs="Arial"/>
                <w:color w:val="0563C1"/>
                <w:sz w:val="4"/>
                <w:szCs w:val="8"/>
                <w:u w:val="single"/>
                <w:lang w:val="sq-AL"/>
              </w:rPr>
            </w:pPr>
            <w:hyperlink r:id="rId79" w:history="1">
              <w:r w:rsidR="00482167" w:rsidRPr="006D6BE5">
                <w:rPr>
                  <w:rFonts w:ascii="Arial" w:hAnsi="Arial" w:cs="Arial"/>
                  <w:color w:val="0563C1"/>
                  <w:sz w:val="4"/>
                  <w:szCs w:val="8"/>
                  <w:u w:val="single"/>
                  <w:lang w:val="sq-AL"/>
                </w:rPr>
                <w:t>https://health.ec.europa.eu/system/files/2016-11/reg_2004_726_en_0.pdf;</w:t>
              </w:r>
            </w:hyperlink>
          </w:p>
        </w:tc>
        <w:tc>
          <w:tcPr>
            <w:tcW w:w="506" w:type="pct"/>
            <w:tcBorders>
              <w:top w:val="nil"/>
              <w:left w:val="nil"/>
              <w:bottom w:val="single" w:sz="4" w:space="0" w:color="auto"/>
              <w:right w:val="single" w:sz="4" w:space="0" w:color="auto"/>
            </w:tcBorders>
            <w:shd w:val="clear" w:color="FFFFFF" w:fill="FFFFFF"/>
            <w:vAlign w:val="center"/>
            <w:hideMark/>
          </w:tcPr>
          <w:p w14:paraId="466F03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BEA17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i ligjit nr. 105/2014 “Për barnat dhe shërbimin farmaceutik”</w:t>
            </w:r>
          </w:p>
        </w:tc>
        <w:tc>
          <w:tcPr>
            <w:tcW w:w="330" w:type="pct"/>
            <w:tcBorders>
              <w:top w:val="nil"/>
              <w:left w:val="nil"/>
              <w:bottom w:val="single" w:sz="4" w:space="0" w:color="auto"/>
              <w:right w:val="single" w:sz="4" w:space="0" w:color="auto"/>
            </w:tcBorders>
            <w:shd w:val="clear" w:color="FFFFFF" w:fill="FFFFFF"/>
            <w:vAlign w:val="center"/>
            <w:hideMark/>
          </w:tcPr>
          <w:p w14:paraId="4E9DA3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 në lidhje me procedurat për autorizimin e tregtimit të barnave</w:t>
            </w:r>
          </w:p>
        </w:tc>
        <w:tc>
          <w:tcPr>
            <w:tcW w:w="126" w:type="pct"/>
            <w:tcBorders>
              <w:top w:val="nil"/>
              <w:left w:val="nil"/>
              <w:bottom w:val="single" w:sz="4" w:space="0" w:color="auto"/>
              <w:right w:val="single" w:sz="4" w:space="0" w:color="auto"/>
            </w:tcBorders>
            <w:shd w:val="clear" w:color="FFFFFF" w:fill="FFFFFF"/>
            <w:vAlign w:val="center"/>
            <w:hideMark/>
          </w:tcPr>
          <w:p w14:paraId="10A85A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25929E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04E3EE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37341E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57FB6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F9A7E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14F179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ED617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64102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7167C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B99D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D8B7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06D0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3CB976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517F9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43B96F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3BF5ED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64A981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w:t>
            </w:r>
          </w:p>
        </w:tc>
        <w:tc>
          <w:tcPr>
            <w:tcW w:w="661" w:type="pct"/>
            <w:tcBorders>
              <w:top w:val="nil"/>
              <w:left w:val="nil"/>
              <w:bottom w:val="single" w:sz="4" w:space="0" w:color="auto"/>
              <w:right w:val="single" w:sz="4" w:space="0" w:color="auto"/>
            </w:tcBorders>
            <w:shd w:val="clear" w:color="FFFFFF" w:fill="FFFFFF"/>
            <w:vAlign w:val="center"/>
            <w:hideMark/>
          </w:tcPr>
          <w:p w14:paraId="55DA8A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Komisionit (EC) Nr 1234/2008 lidhur me ekzaminimin e variacioneve të autorizimit të tregtimit për produktet medicinale për përdorim njerëzor dhe veterinar</w:t>
            </w:r>
          </w:p>
        </w:tc>
        <w:tc>
          <w:tcPr>
            <w:tcW w:w="668" w:type="pct"/>
            <w:tcBorders>
              <w:top w:val="nil"/>
              <w:left w:val="nil"/>
              <w:bottom w:val="single" w:sz="4" w:space="0" w:color="auto"/>
              <w:right w:val="single" w:sz="4" w:space="0" w:color="auto"/>
            </w:tcBorders>
            <w:shd w:val="clear" w:color="auto" w:fill="auto"/>
            <w:vAlign w:val="center"/>
            <w:hideMark/>
          </w:tcPr>
          <w:p w14:paraId="3C0DCE99" w14:textId="77777777" w:rsidR="00482167" w:rsidRPr="006D6BE5" w:rsidRDefault="00E63D69" w:rsidP="00A7241A">
            <w:pPr>
              <w:rPr>
                <w:rFonts w:ascii="Arial" w:hAnsi="Arial" w:cs="Arial"/>
                <w:color w:val="0563C1"/>
                <w:sz w:val="4"/>
                <w:szCs w:val="8"/>
                <w:u w:val="single"/>
                <w:lang w:val="sq-AL"/>
              </w:rPr>
            </w:pPr>
            <w:hyperlink r:id="rId80" w:history="1">
              <w:r w:rsidR="00482167" w:rsidRPr="006D6BE5">
                <w:rPr>
                  <w:rFonts w:ascii="Arial" w:hAnsi="Arial" w:cs="Arial"/>
                  <w:color w:val="0563C1"/>
                  <w:sz w:val="4"/>
                  <w:szCs w:val="8"/>
                  <w:u w:val="single"/>
                  <w:lang w:val="sq-AL"/>
                </w:rPr>
                <w:t>https://eur-lex.europa.eu/LexUriServ/LexUriServ.do?uri=OJ:L:2008:334:0007:0024:en:PDF;</w:t>
              </w:r>
            </w:hyperlink>
          </w:p>
        </w:tc>
        <w:tc>
          <w:tcPr>
            <w:tcW w:w="506" w:type="pct"/>
            <w:tcBorders>
              <w:top w:val="nil"/>
              <w:left w:val="nil"/>
              <w:bottom w:val="single" w:sz="4" w:space="0" w:color="auto"/>
              <w:right w:val="single" w:sz="4" w:space="0" w:color="auto"/>
            </w:tcBorders>
            <w:shd w:val="clear" w:color="FFFFFF" w:fill="FFFFFF"/>
            <w:vAlign w:val="center"/>
            <w:hideMark/>
          </w:tcPr>
          <w:p w14:paraId="78BB91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4ECFBE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i ligjit nr. 105/2014 “Për barnat dhe shërbimin farmaceutik”</w:t>
            </w:r>
          </w:p>
        </w:tc>
        <w:tc>
          <w:tcPr>
            <w:tcW w:w="330" w:type="pct"/>
            <w:tcBorders>
              <w:top w:val="nil"/>
              <w:left w:val="nil"/>
              <w:bottom w:val="single" w:sz="4" w:space="0" w:color="auto"/>
              <w:right w:val="single" w:sz="4" w:space="0" w:color="auto"/>
            </w:tcBorders>
            <w:shd w:val="clear" w:color="FFFFFF" w:fill="FFFFFF"/>
            <w:vAlign w:val="center"/>
            <w:hideMark/>
          </w:tcPr>
          <w:p w14:paraId="12C0F1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 në lidhje me procedurat për aplikimin dhe vlerësimin e variacioneve</w:t>
            </w:r>
          </w:p>
        </w:tc>
        <w:tc>
          <w:tcPr>
            <w:tcW w:w="126" w:type="pct"/>
            <w:tcBorders>
              <w:top w:val="nil"/>
              <w:left w:val="nil"/>
              <w:bottom w:val="single" w:sz="4" w:space="0" w:color="auto"/>
              <w:right w:val="single" w:sz="4" w:space="0" w:color="auto"/>
            </w:tcBorders>
            <w:shd w:val="clear" w:color="FFFFFF" w:fill="FFFFFF"/>
            <w:vAlign w:val="center"/>
            <w:hideMark/>
          </w:tcPr>
          <w:p w14:paraId="0F0D5E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0EF89C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2A549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4A1026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8B1A1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18697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236002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55000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92368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E6C9D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E033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15DB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4942E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45C041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47BB6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6925E6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6E0240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676669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Hemovigjilanca</w:t>
            </w:r>
          </w:p>
        </w:tc>
        <w:tc>
          <w:tcPr>
            <w:tcW w:w="661" w:type="pct"/>
            <w:tcBorders>
              <w:top w:val="nil"/>
              <w:left w:val="nil"/>
              <w:bottom w:val="single" w:sz="4" w:space="0" w:color="auto"/>
              <w:right w:val="single" w:sz="4" w:space="0" w:color="auto"/>
            </w:tcBorders>
            <w:shd w:val="clear" w:color="FFFFFF" w:fill="FFFFFF"/>
            <w:vAlign w:val="center"/>
            <w:hideMark/>
          </w:tcPr>
          <w:p w14:paraId="5ED907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46F98D7B" w14:textId="77777777" w:rsidR="00482167" w:rsidRPr="006D6BE5" w:rsidRDefault="00E63D69" w:rsidP="00A7241A">
            <w:pPr>
              <w:rPr>
                <w:rFonts w:ascii="Arial" w:hAnsi="Arial" w:cs="Arial"/>
                <w:color w:val="0563C1"/>
                <w:sz w:val="4"/>
                <w:szCs w:val="8"/>
                <w:u w:val="single"/>
                <w:lang w:val="sq-AL"/>
              </w:rPr>
            </w:pPr>
            <w:hyperlink r:id="rId81"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6EB57B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3454E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disa shtesa dhe ndryshime në Ligjin 9739/2007, date 21.05.2007 i amenduar me Ligjet 10137/2009 dhe 10141/2009</w:t>
            </w:r>
          </w:p>
        </w:tc>
        <w:tc>
          <w:tcPr>
            <w:tcW w:w="330" w:type="pct"/>
            <w:tcBorders>
              <w:top w:val="nil"/>
              <w:left w:val="nil"/>
              <w:bottom w:val="single" w:sz="4" w:space="0" w:color="auto"/>
              <w:right w:val="single" w:sz="4" w:space="0" w:color="auto"/>
            </w:tcBorders>
            <w:shd w:val="clear" w:color="auto" w:fill="auto"/>
            <w:vAlign w:val="center"/>
            <w:hideMark/>
          </w:tcPr>
          <w:p w14:paraId="54D66E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rrejtit të hemovigjilancës</w:t>
            </w:r>
          </w:p>
        </w:tc>
        <w:tc>
          <w:tcPr>
            <w:tcW w:w="126" w:type="pct"/>
            <w:tcBorders>
              <w:top w:val="nil"/>
              <w:left w:val="nil"/>
              <w:bottom w:val="single" w:sz="4" w:space="0" w:color="auto"/>
              <w:right w:val="single" w:sz="4" w:space="0" w:color="auto"/>
            </w:tcBorders>
            <w:shd w:val="clear" w:color="FFFFFF" w:fill="FFFFFF"/>
            <w:vAlign w:val="center"/>
            <w:hideMark/>
          </w:tcPr>
          <w:p w14:paraId="4156E1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D261F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AA1F2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31DA30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A73EF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CC142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4D2ECE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7C484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90EBF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5CC20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13C3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439E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515E7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0F42EC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91672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2D459B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62624D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703A90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Hemovigjilanca</w:t>
            </w:r>
          </w:p>
        </w:tc>
        <w:tc>
          <w:tcPr>
            <w:tcW w:w="661" w:type="pct"/>
            <w:tcBorders>
              <w:top w:val="nil"/>
              <w:left w:val="nil"/>
              <w:bottom w:val="single" w:sz="4" w:space="0" w:color="auto"/>
              <w:right w:val="single" w:sz="4" w:space="0" w:color="auto"/>
            </w:tcBorders>
            <w:shd w:val="clear" w:color="FFFFFF" w:fill="FFFFFF"/>
            <w:vAlign w:val="center"/>
            <w:hideMark/>
          </w:tcPr>
          <w:p w14:paraId="11C1A3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2005/61 - Zbatimi i Direktivës 2002/98/EC në lidhje me kërkesat e gjurmueshmërisë dhe njoftimin e reaksioneve dhe ngjarjeve të rënda anësore</w:t>
            </w:r>
          </w:p>
        </w:tc>
        <w:tc>
          <w:tcPr>
            <w:tcW w:w="668" w:type="pct"/>
            <w:tcBorders>
              <w:top w:val="nil"/>
              <w:left w:val="nil"/>
              <w:bottom w:val="single" w:sz="4" w:space="0" w:color="auto"/>
              <w:right w:val="single" w:sz="4" w:space="0" w:color="auto"/>
            </w:tcBorders>
            <w:shd w:val="clear" w:color="FFFFFF" w:fill="FFFFFF"/>
            <w:vAlign w:val="center"/>
            <w:hideMark/>
          </w:tcPr>
          <w:p w14:paraId="4CBB3223" w14:textId="77777777" w:rsidR="00482167" w:rsidRPr="006D6BE5" w:rsidRDefault="00E63D69" w:rsidP="00A7241A">
            <w:pPr>
              <w:rPr>
                <w:rFonts w:ascii="Arial" w:hAnsi="Arial" w:cs="Arial"/>
                <w:color w:val="0563C1"/>
                <w:sz w:val="4"/>
                <w:szCs w:val="8"/>
                <w:u w:val="single"/>
                <w:lang w:val="sq-AL"/>
              </w:rPr>
            </w:pPr>
            <w:hyperlink r:id="rId82" w:history="1">
              <w:r w:rsidR="00482167" w:rsidRPr="006D6BE5">
                <w:rPr>
                  <w:rFonts w:ascii="Arial" w:hAnsi="Arial" w:cs="Arial"/>
                  <w:color w:val="0563C1"/>
                  <w:sz w:val="4"/>
                  <w:szCs w:val="8"/>
                  <w:u w:val="single"/>
                  <w:lang w:val="sq-AL"/>
                </w:rPr>
                <w:t>https://eur-lex.europa.eu/LexUriServ/LexUriServ.do?uri=OJ:L:2005:256:0032:0040:EN:PDF;</w:t>
              </w:r>
            </w:hyperlink>
          </w:p>
        </w:tc>
        <w:tc>
          <w:tcPr>
            <w:tcW w:w="506" w:type="pct"/>
            <w:tcBorders>
              <w:top w:val="nil"/>
              <w:left w:val="nil"/>
              <w:bottom w:val="single" w:sz="4" w:space="0" w:color="auto"/>
              <w:right w:val="single" w:sz="4" w:space="0" w:color="auto"/>
            </w:tcBorders>
            <w:shd w:val="clear" w:color="FFFFFF" w:fill="FFFFFF"/>
            <w:vAlign w:val="center"/>
            <w:hideMark/>
          </w:tcPr>
          <w:p w14:paraId="447F3D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0687B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Projekturdhër i Ministrit të Shëndetësisë dhe Mbrojtjes Sociale "Për disa shtesa dhe ndryshime në Rregulloren No. 6, datë 07.01.2015 "Per zbatimin e skemes se hemovigjilences" </w:t>
            </w:r>
          </w:p>
        </w:tc>
        <w:tc>
          <w:tcPr>
            <w:tcW w:w="330" w:type="pct"/>
            <w:tcBorders>
              <w:top w:val="nil"/>
              <w:left w:val="nil"/>
              <w:bottom w:val="single" w:sz="4" w:space="0" w:color="auto"/>
              <w:right w:val="single" w:sz="4" w:space="0" w:color="auto"/>
            </w:tcBorders>
            <w:shd w:val="clear" w:color="auto" w:fill="auto"/>
            <w:vAlign w:val="center"/>
            <w:hideMark/>
          </w:tcPr>
          <w:p w14:paraId="2366EDB2" w14:textId="48A58D7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Reflektim 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kërkesave për autoritetin kompetent për hemovigjilancën dhe organizimin e rrjetit të raportimit të hemovigjilancës. </w:t>
            </w:r>
          </w:p>
        </w:tc>
        <w:tc>
          <w:tcPr>
            <w:tcW w:w="126" w:type="pct"/>
            <w:tcBorders>
              <w:top w:val="nil"/>
              <w:left w:val="nil"/>
              <w:bottom w:val="single" w:sz="4" w:space="0" w:color="auto"/>
              <w:right w:val="single" w:sz="4" w:space="0" w:color="auto"/>
            </w:tcBorders>
            <w:shd w:val="clear" w:color="FFFFFF" w:fill="FFFFFF"/>
            <w:vAlign w:val="center"/>
            <w:hideMark/>
          </w:tcPr>
          <w:p w14:paraId="3EB97A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CA868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3CD57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47AB9D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DD313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58FB5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3525F0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B82ED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8CC56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202D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8C79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32424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C92A5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B1AA22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2B3F6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5D0403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7E18B3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149B07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 për Qendrat e Gjakut</w:t>
            </w:r>
          </w:p>
        </w:tc>
        <w:tc>
          <w:tcPr>
            <w:tcW w:w="661" w:type="pct"/>
            <w:tcBorders>
              <w:top w:val="nil"/>
              <w:left w:val="nil"/>
              <w:bottom w:val="single" w:sz="4" w:space="0" w:color="auto"/>
              <w:right w:val="single" w:sz="4" w:space="0" w:color="auto"/>
            </w:tcBorders>
            <w:shd w:val="clear" w:color="FFFFFF" w:fill="FFFFFF"/>
            <w:vAlign w:val="center"/>
            <w:hideMark/>
          </w:tcPr>
          <w:p w14:paraId="1A84D9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7588413B" w14:textId="77777777" w:rsidR="00482167" w:rsidRPr="006D6BE5" w:rsidRDefault="00E63D69" w:rsidP="00A7241A">
            <w:pPr>
              <w:rPr>
                <w:rFonts w:ascii="Arial" w:hAnsi="Arial" w:cs="Arial"/>
                <w:color w:val="0563C1"/>
                <w:sz w:val="4"/>
                <w:szCs w:val="8"/>
                <w:u w:val="single"/>
                <w:lang w:val="sq-AL"/>
              </w:rPr>
            </w:pPr>
            <w:hyperlink r:id="rId83"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073B6F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E2D2C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disa shtesa dhe ndryshime në Ligjin 9739/2007, datë 21.05.2007</w:t>
            </w:r>
          </w:p>
        </w:tc>
        <w:tc>
          <w:tcPr>
            <w:tcW w:w="330" w:type="pct"/>
            <w:tcBorders>
              <w:top w:val="nil"/>
              <w:left w:val="nil"/>
              <w:bottom w:val="single" w:sz="4" w:space="0" w:color="auto"/>
              <w:right w:val="single" w:sz="4" w:space="0" w:color="auto"/>
            </w:tcBorders>
            <w:shd w:val="clear" w:color="auto" w:fill="auto"/>
            <w:vAlign w:val="center"/>
            <w:hideMark/>
          </w:tcPr>
          <w:p w14:paraId="75FE63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efikas i punës në Qendrat e Gjakut, personi përgjegjës në qendrat e gjakut</w:t>
            </w:r>
          </w:p>
        </w:tc>
        <w:tc>
          <w:tcPr>
            <w:tcW w:w="126" w:type="pct"/>
            <w:tcBorders>
              <w:top w:val="nil"/>
              <w:left w:val="nil"/>
              <w:bottom w:val="single" w:sz="4" w:space="0" w:color="auto"/>
              <w:right w:val="single" w:sz="4" w:space="0" w:color="auto"/>
            </w:tcBorders>
            <w:shd w:val="clear" w:color="FFFFFF" w:fill="FFFFFF"/>
            <w:vAlign w:val="center"/>
            <w:hideMark/>
          </w:tcPr>
          <w:p w14:paraId="3B3756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4FD89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D860F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3B14FE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F66D3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6CD55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5E514F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06B10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673E1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6A3BF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F355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192E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D0746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7E9469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7CA97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22294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238E16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1D14E2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 për Qendrat e Gjakut</w:t>
            </w:r>
          </w:p>
        </w:tc>
        <w:tc>
          <w:tcPr>
            <w:tcW w:w="661" w:type="pct"/>
            <w:tcBorders>
              <w:top w:val="nil"/>
              <w:left w:val="nil"/>
              <w:bottom w:val="single" w:sz="4" w:space="0" w:color="auto"/>
              <w:right w:val="single" w:sz="4" w:space="0" w:color="auto"/>
            </w:tcBorders>
            <w:shd w:val="clear" w:color="FFFFFF" w:fill="FFFFFF"/>
            <w:vAlign w:val="center"/>
            <w:hideMark/>
          </w:tcPr>
          <w:p w14:paraId="453EFC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1C57C4F5" w14:textId="77777777" w:rsidR="00482167" w:rsidRPr="006D6BE5" w:rsidRDefault="00E63D69" w:rsidP="00A7241A">
            <w:pPr>
              <w:rPr>
                <w:rFonts w:ascii="Arial" w:hAnsi="Arial" w:cs="Arial"/>
                <w:color w:val="0563C1"/>
                <w:sz w:val="4"/>
                <w:szCs w:val="8"/>
                <w:u w:val="single"/>
                <w:lang w:val="sq-AL"/>
              </w:rPr>
            </w:pPr>
            <w:hyperlink r:id="rId84"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6E2B9C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A2989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Projektvendim i Këshillit të Ministrave për disa shtesa dhe ndryshime në VKM no. 505, datë 06.07.2016 "Per menyren e organizimit dhe funksionimit te Qendres Kombetare te Transfuzionit te Gjakut dhe nivelet e sherbimit te transfuzionit ne institucionet shendetesore" </w:t>
            </w:r>
          </w:p>
        </w:tc>
        <w:tc>
          <w:tcPr>
            <w:tcW w:w="330" w:type="pct"/>
            <w:tcBorders>
              <w:top w:val="nil"/>
              <w:left w:val="nil"/>
              <w:bottom w:val="single" w:sz="4" w:space="0" w:color="auto"/>
              <w:right w:val="single" w:sz="4" w:space="0" w:color="auto"/>
            </w:tcBorders>
            <w:shd w:val="clear" w:color="auto" w:fill="auto"/>
            <w:vAlign w:val="center"/>
            <w:hideMark/>
          </w:tcPr>
          <w:p w14:paraId="468647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efikas i punës në Qendrat e Gjakut</w:t>
            </w:r>
          </w:p>
        </w:tc>
        <w:tc>
          <w:tcPr>
            <w:tcW w:w="126" w:type="pct"/>
            <w:tcBorders>
              <w:top w:val="nil"/>
              <w:left w:val="nil"/>
              <w:bottom w:val="single" w:sz="4" w:space="0" w:color="auto"/>
              <w:right w:val="single" w:sz="4" w:space="0" w:color="auto"/>
            </w:tcBorders>
            <w:shd w:val="clear" w:color="FFFFFF" w:fill="FFFFFF"/>
            <w:vAlign w:val="center"/>
            <w:hideMark/>
          </w:tcPr>
          <w:p w14:paraId="286017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9673E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8D64E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308406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3E9DC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DB052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05D0C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CBDF2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E1DEA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CB2A9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301C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9C674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D6B49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546957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B4569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70EEC1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128DBA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622C2E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 për Qendrat e Gjakut</w:t>
            </w:r>
          </w:p>
        </w:tc>
        <w:tc>
          <w:tcPr>
            <w:tcW w:w="661" w:type="pct"/>
            <w:tcBorders>
              <w:top w:val="nil"/>
              <w:left w:val="nil"/>
              <w:bottom w:val="single" w:sz="4" w:space="0" w:color="auto"/>
              <w:right w:val="single" w:sz="4" w:space="0" w:color="auto"/>
            </w:tcBorders>
            <w:shd w:val="clear" w:color="FFFFFF" w:fill="FFFFFF"/>
            <w:vAlign w:val="center"/>
            <w:hideMark/>
          </w:tcPr>
          <w:p w14:paraId="54133C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01119591" w14:textId="77777777" w:rsidR="00482167" w:rsidRPr="006D6BE5" w:rsidRDefault="00E63D69" w:rsidP="00A7241A">
            <w:pPr>
              <w:rPr>
                <w:rFonts w:ascii="Arial" w:hAnsi="Arial" w:cs="Arial"/>
                <w:color w:val="0563C1"/>
                <w:sz w:val="4"/>
                <w:szCs w:val="8"/>
                <w:u w:val="single"/>
                <w:lang w:val="sq-AL"/>
              </w:rPr>
            </w:pPr>
            <w:hyperlink r:id="rId85"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1AA39B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191E781" w14:textId="0468803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te Shendetesise dhe Mbrojtjes Sociale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shtesa dhe ndryshime në Rregulloren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Brendeshme e QKTGJ për Kontrollin e Cilesise dhe Planin e Veprimit "Mjaftueshmeri me gjak te sigurte dhe cilesor"</w:t>
            </w:r>
          </w:p>
        </w:tc>
        <w:tc>
          <w:tcPr>
            <w:tcW w:w="330" w:type="pct"/>
            <w:tcBorders>
              <w:top w:val="nil"/>
              <w:left w:val="nil"/>
              <w:bottom w:val="single" w:sz="4" w:space="0" w:color="auto"/>
              <w:right w:val="single" w:sz="4" w:space="0" w:color="auto"/>
            </w:tcBorders>
            <w:shd w:val="clear" w:color="auto" w:fill="auto"/>
            <w:vAlign w:val="center"/>
            <w:hideMark/>
          </w:tcPr>
          <w:p w14:paraId="256B08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 sigurim cilësie</w:t>
            </w:r>
          </w:p>
        </w:tc>
        <w:tc>
          <w:tcPr>
            <w:tcW w:w="126" w:type="pct"/>
            <w:tcBorders>
              <w:top w:val="nil"/>
              <w:left w:val="nil"/>
              <w:bottom w:val="single" w:sz="4" w:space="0" w:color="auto"/>
              <w:right w:val="single" w:sz="4" w:space="0" w:color="auto"/>
            </w:tcBorders>
            <w:shd w:val="clear" w:color="FFFFFF" w:fill="FFFFFF"/>
            <w:vAlign w:val="center"/>
            <w:hideMark/>
          </w:tcPr>
          <w:p w14:paraId="16436C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3B82C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B9556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6B2FAF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F7387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E0F98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275527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8E906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EB351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04F5B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F6FE7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226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4709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74A622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FE164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04C834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0F9E23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40B6FC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Dizenjim, autorizim, akreditim ose licensim i qendrave te gjakut</w:t>
            </w:r>
          </w:p>
        </w:tc>
        <w:tc>
          <w:tcPr>
            <w:tcW w:w="661" w:type="pct"/>
            <w:tcBorders>
              <w:top w:val="nil"/>
              <w:left w:val="nil"/>
              <w:bottom w:val="single" w:sz="4" w:space="0" w:color="auto"/>
              <w:right w:val="single" w:sz="4" w:space="0" w:color="auto"/>
            </w:tcBorders>
            <w:shd w:val="clear" w:color="FFFFFF" w:fill="FFFFFF"/>
            <w:vAlign w:val="center"/>
            <w:hideMark/>
          </w:tcPr>
          <w:p w14:paraId="46F95F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67C04A17" w14:textId="77777777" w:rsidR="00482167" w:rsidRPr="006D6BE5" w:rsidRDefault="00E63D69" w:rsidP="00A7241A">
            <w:pPr>
              <w:rPr>
                <w:rFonts w:ascii="Arial" w:hAnsi="Arial" w:cs="Arial"/>
                <w:color w:val="0563C1"/>
                <w:sz w:val="4"/>
                <w:szCs w:val="8"/>
                <w:u w:val="single"/>
                <w:lang w:val="sq-AL"/>
              </w:rPr>
            </w:pPr>
            <w:hyperlink r:id="rId86"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56E742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00EC22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i VKM per Akreditimin e QKTGJ</w:t>
            </w:r>
          </w:p>
        </w:tc>
        <w:tc>
          <w:tcPr>
            <w:tcW w:w="330" w:type="pct"/>
            <w:tcBorders>
              <w:top w:val="nil"/>
              <w:left w:val="nil"/>
              <w:bottom w:val="single" w:sz="4" w:space="0" w:color="auto"/>
              <w:right w:val="single" w:sz="4" w:space="0" w:color="auto"/>
            </w:tcBorders>
            <w:shd w:val="clear" w:color="auto" w:fill="auto"/>
            <w:vAlign w:val="center"/>
            <w:hideMark/>
          </w:tcPr>
          <w:p w14:paraId="7E046A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Akreditimi i QKTGJ</w:t>
            </w:r>
          </w:p>
        </w:tc>
        <w:tc>
          <w:tcPr>
            <w:tcW w:w="126" w:type="pct"/>
            <w:tcBorders>
              <w:top w:val="nil"/>
              <w:left w:val="nil"/>
              <w:bottom w:val="single" w:sz="4" w:space="0" w:color="auto"/>
              <w:right w:val="single" w:sz="4" w:space="0" w:color="auto"/>
            </w:tcBorders>
            <w:shd w:val="clear" w:color="FFFFFF" w:fill="FFFFFF"/>
            <w:vAlign w:val="center"/>
            <w:hideMark/>
          </w:tcPr>
          <w:p w14:paraId="0A7AC9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238A54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0CDFAE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7C2787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39905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086EE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3697B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0A22A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85620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B1BCE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D116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60B2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CAA2B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E83F2A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BA3A6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3039D7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361E65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473687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Mjaftueshmëri në gjak cilësor</w:t>
            </w:r>
          </w:p>
        </w:tc>
        <w:tc>
          <w:tcPr>
            <w:tcW w:w="661" w:type="pct"/>
            <w:tcBorders>
              <w:top w:val="nil"/>
              <w:left w:val="nil"/>
              <w:bottom w:val="single" w:sz="4" w:space="0" w:color="auto"/>
              <w:right w:val="single" w:sz="4" w:space="0" w:color="auto"/>
            </w:tcBorders>
            <w:shd w:val="clear" w:color="FFFFFF" w:fill="FFFFFF"/>
            <w:vAlign w:val="center"/>
            <w:hideMark/>
          </w:tcPr>
          <w:p w14:paraId="12099B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15A2B970" w14:textId="77777777" w:rsidR="00482167" w:rsidRPr="006D6BE5" w:rsidRDefault="00E63D69" w:rsidP="00A7241A">
            <w:pPr>
              <w:rPr>
                <w:rFonts w:ascii="Arial" w:hAnsi="Arial" w:cs="Arial"/>
                <w:color w:val="0563C1"/>
                <w:sz w:val="4"/>
                <w:szCs w:val="8"/>
                <w:u w:val="single"/>
                <w:lang w:val="sq-AL"/>
              </w:rPr>
            </w:pPr>
            <w:hyperlink r:id="rId87"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1EB0BF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7DAB915B" w14:textId="25973A8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per Ngritjen, organizimin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funksionimin e QKTGJ</w:t>
            </w:r>
          </w:p>
        </w:tc>
        <w:tc>
          <w:tcPr>
            <w:tcW w:w="330" w:type="pct"/>
            <w:tcBorders>
              <w:top w:val="nil"/>
              <w:left w:val="nil"/>
              <w:bottom w:val="single" w:sz="4" w:space="0" w:color="auto"/>
              <w:right w:val="single" w:sz="4" w:space="0" w:color="auto"/>
            </w:tcBorders>
            <w:shd w:val="clear" w:color="auto" w:fill="auto"/>
            <w:vAlign w:val="center"/>
            <w:hideMark/>
          </w:tcPr>
          <w:p w14:paraId="39F440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Zgjerim i kapaciteteve mbledhëse të gjakut në QKTGJ</w:t>
            </w:r>
          </w:p>
        </w:tc>
        <w:tc>
          <w:tcPr>
            <w:tcW w:w="126" w:type="pct"/>
            <w:tcBorders>
              <w:top w:val="nil"/>
              <w:left w:val="nil"/>
              <w:bottom w:val="single" w:sz="4" w:space="0" w:color="auto"/>
              <w:right w:val="single" w:sz="4" w:space="0" w:color="auto"/>
            </w:tcBorders>
            <w:shd w:val="clear" w:color="FFFFFF" w:fill="FFFFFF"/>
            <w:vAlign w:val="center"/>
            <w:hideMark/>
          </w:tcPr>
          <w:p w14:paraId="6A4B08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5B7F8F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47C2E3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1A8B62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705DDA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B9870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21A48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5684E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DA780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DF139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4619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4EDB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23AA2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16E2DF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6FFDC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28</w:t>
            </w:r>
          </w:p>
        </w:tc>
        <w:tc>
          <w:tcPr>
            <w:tcW w:w="144" w:type="pct"/>
            <w:tcBorders>
              <w:top w:val="nil"/>
              <w:left w:val="nil"/>
              <w:bottom w:val="single" w:sz="4" w:space="0" w:color="auto"/>
              <w:right w:val="single" w:sz="4" w:space="0" w:color="auto"/>
            </w:tcBorders>
            <w:shd w:val="clear" w:color="FFFFFF" w:fill="FFFFFF"/>
            <w:vAlign w:val="center"/>
            <w:hideMark/>
          </w:tcPr>
          <w:p w14:paraId="60C500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65" w:type="pct"/>
            <w:tcBorders>
              <w:top w:val="nil"/>
              <w:left w:val="nil"/>
              <w:bottom w:val="single" w:sz="4" w:space="0" w:color="auto"/>
              <w:right w:val="single" w:sz="4" w:space="0" w:color="auto"/>
            </w:tcBorders>
            <w:shd w:val="clear" w:color="FFFFFF" w:fill="FFFFFF"/>
            <w:vAlign w:val="center"/>
            <w:hideMark/>
          </w:tcPr>
          <w:p w14:paraId="00A788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Shëndetit</w:t>
            </w:r>
          </w:p>
        </w:tc>
        <w:tc>
          <w:tcPr>
            <w:tcW w:w="171" w:type="pct"/>
            <w:tcBorders>
              <w:top w:val="nil"/>
              <w:left w:val="nil"/>
              <w:bottom w:val="single" w:sz="4" w:space="0" w:color="auto"/>
              <w:right w:val="single" w:sz="4" w:space="0" w:color="auto"/>
            </w:tcBorders>
            <w:shd w:val="clear" w:color="FFFFFF" w:fill="FFFFFF"/>
            <w:vAlign w:val="center"/>
            <w:hideMark/>
          </w:tcPr>
          <w:p w14:paraId="361FA9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Mjaftueshmëri në gjak cilësor</w:t>
            </w:r>
          </w:p>
        </w:tc>
        <w:tc>
          <w:tcPr>
            <w:tcW w:w="661" w:type="pct"/>
            <w:tcBorders>
              <w:top w:val="nil"/>
              <w:left w:val="nil"/>
              <w:bottom w:val="single" w:sz="4" w:space="0" w:color="auto"/>
              <w:right w:val="single" w:sz="4" w:space="0" w:color="auto"/>
            </w:tcBorders>
            <w:shd w:val="clear" w:color="FFFFFF" w:fill="FFFFFF"/>
            <w:vAlign w:val="center"/>
            <w:hideMark/>
          </w:tcPr>
          <w:p w14:paraId="77AAB9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2002/98/EC e Parlamentit Evropian dhe e Këshillit e datës 27 janar 2003 për vendosjen e standardeve të cilësisë dhe sigurisë për mbledhjen, testimin, përpunimin, ruajtjen dhe shpërndarjen e gjakut të njeriut dhe përbërësve të gjakut dhe amendon Direktivën 2001/83/EC</w:t>
            </w:r>
          </w:p>
        </w:tc>
        <w:tc>
          <w:tcPr>
            <w:tcW w:w="668" w:type="pct"/>
            <w:tcBorders>
              <w:top w:val="nil"/>
              <w:left w:val="nil"/>
              <w:bottom w:val="single" w:sz="4" w:space="0" w:color="auto"/>
              <w:right w:val="single" w:sz="4" w:space="0" w:color="auto"/>
            </w:tcBorders>
            <w:shd w:val="clear" w:color="FFFFFF" w:fill="FFFFFF"/>
            <w:vAlign w:val="center"/>
            <w:hideMark/>
          </w:tcPr>
          <w:p w14:paraId="6B91F2F7" w14:textId="77777777" w:rsidR="00482167" w:rsidRPr="006D6BE5" w:rsidRDefault="00E63D69" w:rsidP="00A7241A">
            <w:pPr>
              <w:rPr>
                <w:rFonts w:ascii="Arial" w:hAnsi="Arial" w:cs="Arial"/>
                <w:color w:val="0563C1"/>
                <w:sz w:val="4"/>
                <w:szCs w:val="8"/>
                <w:u w:val="single"/>
                <w:lang w:val="sq-AL"/>
              </w:rPr>
            </w:pPr>
            <w:hyperlink r:id="rId88" w:history="1">
              <w:r w:rsidR="00482167" w:rsidRPr="006D6BE5">
                <w:rPr>
                  <w:rFonts w:ascii="Arial" w:hAnsi="Arial" w:cs="Arial"/>
                  <w:color w:val="0563C1"/>
                  <w:sz w:val="4"/>
                  <w:szCs w:val="8"/>
                  <w:u w:val="single"/>
                  <w:lang w:val="sq-AL"/>
                </w:rPr>
                <w:t>https://eur-lex.europa.eu/legal-content/EN/ALL/?uri=CELEX%3A32002L0098;</w:t>
              </w:r>
            </w:hyperlink>
          </w:p>
        </w:tc>
        <w:tc>
          <w:tcPr>
            <w:tcW w:w="506" w:type="pct"/>
            <w:tcBorders>
              <w:top w:val="nil"/>
              <w:left w:val="nil"/>
              <w:bottom w:val="single" w:sz="4" w:space="0" w:color="auto"/>
              <w:right w:val="single" w:sz="4" w:space="0" w:color="auto"/>
            </w:tcBorders>
            <w:shd w:val="clear" w:color="FFFFFF" w:fill="FFFFFF"/>
            <w:vAlign w:val="center"/>
            <w:hideMark/>
          </w:tcPr>
          <w:p w14:paraId="5922CD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72F33B3" w14:textId="41207A6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 per Ngritjen, organizimin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funksionimin e QKTGJ</w:t>
            </w:r>
          </w:p>
        </w:tc>
        <w:tc>
          <w:tcPr>
            <w:tcW w:w="330" w:type="pct"/>
            <w:tcBorders>
              <w:top w:val="nil"/>
              <w:left w:val="nil"/>
              <w:bottom w:val="single" w:sz="4" w:space="0" w:color="auto"/>
              <w:right w:val="single" w:sz="4" w:space="0" w:color="auto"/>
            </w:tcBorders>
            <w:shd w:val="clear" w:color="auto" w:fill="auto"/>
            <w:vAlign w:val="center"/>
            <w:hideMark/>
          </w:tcPr>
          <w:p w14:paraId="58DF2B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Ndërtimi i 5 qendrave rajonale të gjakut (blood establishments), dhe 26 banka gjaku spitalore</w:t>
            </w:r>
          </w:p>
        </w:tc>
        <w:tc>
          <w:tcPr>
            <w:tcW w:w="126" w:type="pct"/>
            <w:tcBorders>
              <w:top w:val="nil"/>
              <w:left w:val="nil"/>
              <w:bottom w:val="single" w:sz="4" w:space="0" w:color="auto"/>
              <w:right w:val="single" w:sz="4" w:space="0" w:color="auto"/>
            </w:tcBorders>
            <w:shd w:val="clear" w:color="FFFFFF" w:fill="FFFFFF"/>
            <w:vAlign w:val="center"/>
            <w:hideMark/>
          </w:tcPr>
          <w:p w14:paraId="04A20B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5792E9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3A2329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71F1F4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6A3C0A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C6D28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22B689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FCE10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F5E51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065EE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17F72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1546E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F1EF3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8ABB147"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AE51B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0262390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0D334C5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04055ED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5D12FF8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Zbatuese e Komisionit (BE) 2020/1070 e datës 20 korrik 2020 për specifikimin e karakteristikave të pikave të aksesit pa tel me zonë të vogël në përputhje me nenin 57 paragrafin 2 të Direktivës (BE) 2018/1972 të Parlamentit Evropian dhe Këshillit për krijimin e Komunikimeve Elektronike Evropiane Kodi (tekst me rëndësi për ZEE)</w:t>
            </w:r>
          </w:p>
        </w:tc>
        <w:tc>
          <w:tcPr>
            <w:tcW w:w="668" w:type="pct"/>
            <w:tcBorders>
              <w:top w:val="nil"/>
              <w:left w:val="nil"/>
              <w:bottom w:val="single" w:sz="4" w:space="0" w:color="auto"/>
              <w:right w:val="single" w:sz="4" w:space="0" w:color="auto"/>
            </w:tcBorders>
            <w:shd w:val="clear" w:color="auto" w:fill="auto"/>
            <w:vAlign w:val="center"/>
            <w:hideMark/>
          </w:tcPr>
          <w:p w14:paraId="3CE2EFC3" w14:textId="77777777" w:rsidR="00482167" w:rsidRPr="006D6BE5" w:rsidRDefault="00E63D69" w:rsidP="00A7241A">
            <w:pPr>
              <w:rPr>
                <w:rFonts w:ascii="Arial" w:hAnsi="Arial" w:cs="Arial"/>
                <w:color w:val="0563C1"/>
                <w:sz w:val="4"/>
                <w:szCs w:val="8"/>
                <w:u w:val="single"/>
                <w:lang w:val="sq-AL"/>
              </w:rPr>
            </w:pPr>
            <w:hyperlink r:id="rId89" w:history="1">
              <w:r w:rsidR="00482167" w:rsidRPr="006D6BE5">
                <w:rPr>
                  <w:rFonts w:ascii="Arial" w:hAnsi="Arial" w:cs="Arial"/>
                  <w:color w:val="0563C1"/>
                  <w:sz w:val="4"/>
                  <w:szCs w:val="8"/>
                  <w:u w:val="single"/>
                  <w:lang w:val="sq-AL"/>
                </w:rPr>
                <w:t>https://eur-lex.europa.eu/eli/reg_impl/2020/1070/oj</w:t>
              </w:r>
            </w:hyperlink>
          </w:p>
        </w:tc>
        <w:tc>
          <w:tcPr>
            <w:tcW w:w="506" w:type="pct"/>
            <w:tcBorders>
              <w:top w:val="nil"/>
              <w:left w:val="nil"/>
              <w:bottom w:val="single" w:sz="4" w:space="0" w:color="auto"/>
              <w:right w:val="single" w:sz="4" w:space="0" w:color="auto"/>
            </w:tcBorders>
            <w:shd w:val="clear" w:color="auto" w:fill="auto"/>
            <w:vAlign w:val="center"/>
            <w:hideMark/>
          </w:tcPr>
          <w:p w14:paraId="6914E4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18E17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karakteristikave të pikave të aksesit pa tel në zona të vogla"</w:t>
            </w:r>
          </w:p>
        </w:tc>
        <w:tc>
          <w:tcPr>
            <w:tcW w:w="330" w:type="pct"/>
            <w:tcBorders>
              <w:top w:val="nil"/>
              <w:left w:val="nil"/>
              <w:bottom w:val="single" w:sz="4" w:space="0" w:color="auto"/>
              <w:right w:val="single" w:sz="4" w:space="0" w:color="auto"/>
            </w:tcBorders>
            <w:shd w:val="clear" w:color="auto" w:fill="auto"/>
            <w:vAlign w:val="center"/>
            <w:hideMark/>
          </w:tcPr>
          <w:p w14:paraId="2339BA3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Pas miratimit dhe hyrjes në fuqi të ligjit të ri për komunikimet elektronike në Republikën e Shqipërisë (që transpozon Direktivën BE 2018/1972), MIE do të miratojë VKM "Për miratimin e karakteristikave të pikave të aksesit pa tel në zona të vogla"</w:t>
            </w:r>
          </w:p>
        </w:tc>
        <w:tc>
          <w:tcPr>
            <w:tcW w:w="126" w:type="pct"/>
            <w:tcBorders>
              <w:top w:val="nil"/>
              <w:left w:val="nil"/>
              <w:bottom w:val="single" w:sz="4" w:space="0" w:color="auto"/>
              <w:right w:val="single" w:sz="4" w:space="0" w:color="auto"/>
            </w:tcBorders>
            <w:shd w:val="clear" w:color="auto" w:fill="auto"/>
            <w:vAlign w:val="center"/>
            <w:hideMark/>
          </w:tcPr>
          <w:p w14:paraId="78AAA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57F5D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24030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397B3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5DD351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0EF5FA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0D8FDA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62BA5C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268BA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6CA91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348F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F6BAC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0CD8D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B0A5B06"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DBCFA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05F1A75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22AC819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4EF4CD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06D6EA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Zbatuese e Komisionit (BE) 2019/2243 e datës 17 dhjetor 2019 që percakton një model për përmbledhjen e kontratës që do të përdoret nga ofruesit e shërbimeve të komunikimeve elektronike publike në përputhje me Direktivën (BE) 2018/1972 të Parlamentit Evropian dhe të Këshillit</w:t>
            </w:r>
          </w:p>
        </w:tc>
        <w:tc>
          <w:tcPr>
            <w:tcW w:w="668" w:type="pct"/>
            <w:tcBorders>
              <w:top w:val="nil"/>
              <w:left w:val="nil"/>
              <w:bottom w:val="single" w:sz="4" w:space="0" w:color="auto"/>
              <w:right w:val="single" w:sz="4" w:space="0" w:color="auto"/>
            </w:tcBorders>
            <w:shd w:val="clear" w:color="auto" w:fill="auto"/>
            <w:vAlign w:val="center"/>
            <w:hideMark/>
          </w:tcPr>
          <w:p w14:paraId="213BFC4E" w14:textId="77777777" w:rsidR="00482167" w:rsidRPr="006D6BE5" w:rsidRDefault="00E63D69" w:rsidP="00A7241A">
            <w:pPr>
              <w:rPr>
                <w:rFonts w:ascii="Arial" w:hAnsi="Arial" w:cs="Arial"/>
                <w:color w:val="0563C1"/>
                <w:sz w:val="4"/>
                <w:szCs w:val="8"/>
                <w:u w:val="single"/>
                <w:lang w:val="sq-AL"/>
              </w:rPr>
            </w:pPr>
            <w:hyperlink r:id="rId90" w:history="1">
              <w:r w:rsidR="00482167" w:rsidRPr="006D6BE5">
                <w:rPr>
                  <w:rFonts w:ascii="Arial" w:hAnsi="Arial" w:cs="Arial"/>
                  <w:color w:val="0563C1"/>
                  <w:sz w:val="4"/>
                  <w:szCs w:val="8"/>
                  <w:u w:val="single"/>
                  <w:lang w:val="sq-AL"/>
                </w:rPr>
                <w:t>https://eur-lex.europa.eu/legal-content/EN/TXT/?uri=CELEX%3A32019R2243</w:t>
              </w:r>
            </w:hyperlink>
          </w:p>
        </w:tc>
        <w:tc>
          <w:tcPr>
            <w:tcW w:w="506" w:type="pct"/>
            <w:tcBorders>
              <w:top w:val="nil"/>
              <w:left w:val="nil"/>
              <w:bottom w:val="single" w:sz="4" w:space="0" w:color="auto"/>
              <w:right w:val="single" w:sz="4" w:space="0" w:color="auto"/>
            </w:tcBorders>
            <w:shd w:val="clear" w:color="auto" w:fill="auto"/>
            <w:vAlign w:val="center"/>
            <w:hideMark/>
          </w:tcPr>
          <w:p w14:paraId="154AEF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6DED03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AKEP "Per miratimim e Rregullores mbi modelin e permbledhur te kontratës së pajtimit që do të përdoret nga ofruesit e shërbimeve të komunikimeve elektronike publike"</w:t>
            </w:r>
          </w:p>
        </w:tc>
        <w:tc>
          <w:tcPr>
            <w:tcW w:w="330" w:type="pct"/>
            <w:tcBorders>
              <w:top w:val="nil"/>
              <w:left w:val="nil"/>
              <w:bottom w:val="single" w:sz="4" w:space="0" w:color="auto"/>
              <w:right w:val="single" w:sz="4" w:space="0" w:color="auto"/>
            </w:tcBorders>
            <w:shd w:val="clear" w:color="auto" w:fill="auto"/>
            <w:vAlign w:val="center"/>
            <w:hideMark/>
          </w:tcPr>
          <w:p w14:paraId="5CE7672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Pas miratimit dhe hyrjes në fuqi të ligjit të ri për komunikimet elektronike në Republikën e Shqipërisë (që transpozon Direktivën BE 2018/1972), AKEP do të miratojë një rregullore për percaktimin e një modeli për përmbledhjen e kontratës që do të përdoret nga ofruesit e shërbimeve të komunikimeve elektronike të disponueshme për publikun. në përputhje me Ligjin për komunikimet elektronike.</w:t>
            </w:r>
          </w:p>
        </w:tc>
        <w:tc>
          <w:tcPr>
            <w:tcW w:w="126" w:type="pct"/>
            <w:tcBorders>
              <w:top w:val="nil"/>
              <w:left w:val="nil"/>
              <w:bottom w:val="single" w:sz="4" w:space="0" w:color="auto"/>
              <w:right w:val="single" w:sz="4" w:space="0" w:color="auto"/>
            </w:tcBorders>
            <w:shd w:val="clear" w:color="auto" w:fill="auto"/>
            <w:vAlign w:val="center"/>
            <w:hideMark/>
          </w:tcPr>
          <w:p w14:paraId="346E6A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0B01A7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597F22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AKEP</w:t>
            </w:r>
          </w:p>
        </w:tc>
        <w:tc>
          <w:tcPr>
            <w:tcW w:w="113" w:type="pct"/>
            <w:tcBorders>
              <w:top w:val="nil"/>
              <w:left w:val="nil"/>
              <w:bottom w:val="single" w:sz="4" w:space="0" w:color="auto"/>
              <w:right w:val="single" w:sz="4" w:space="0" w:color="auto"/>
            </w:tcBorders>
            <w:shd w:val="clear" w:color="auto" w:fill="auto"/>
            <w:vAlign w:val="center"/>
            <w:hideMark/>
          </w:tcPr>
          <w:p w14:paraId="7D59C3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77B7E0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43959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07208D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06DB0D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CAE8C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F4963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82C2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6458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0B2EB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71AF6AE"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752B2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4AA3F51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0EFF41E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7190627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B1E020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2007/98/EC: Vendimi i Komisionit i datës 14 shkurt 2007 mbi përdorimin e harmonizuar të spektrit të radios në brezat e frekuencave 2 GHz për zbatimin e sistemeve që ofrojnë shërbime satelitore celulare (njoftuar nën numrin e dokumentit C(2007) 409) </w:t>
            </w:r>
          </w:p>
        </w:tc>
        <w:tc>
          <w:tcPr>
            <w:tcW w:w="668" w:type="pct"/>
            <w:tcBorders>
              <w:top w:val="nil"/>
              <w:left w:val="nil"/>
              <w:bottom w:val="single" w:sz="4" w:space="0" w:color="auto"/>
              <w:right w:val="single" w:sz="4" w:space="0" w:color="auto"/>
            </w:tcBorders>
            <w:shd w:val="clear" w:color="auto" w:fill="auto"/>
            <w:vAlign w:val="center"/>
            <w:hideMark/>
          </w:tcPr>
          <w:p w14:paraId="594103E3" w14:textId="77777777" w:rsidR="00482167" w:rsidRPr="006D6BE5" w:rsidRDefault="00E63D69" w:rsidP="00A7241A">
            <w:pPr>
              <w:rPr>
                <w:rFonts w:ascii="Arial" w:hAnsi="Arial" w:cs="Arial"/>
                <w:color w:val="0563C1"/>
                <w:sz w:val="4"/>
                <w:szCs w:val="8"/>
                <w:u w:val="single"/>
                <w:lang w:val="sq-AL"/>
              </w:rPr>
            </w:pPr>
            <w:hyperlink r:id="rId91" w:history="1">
              <w:r w:rsidR="00482167" w:rsidRPr="006D6BE5">
                <w:rPr>
                  <w:rFonts w:ascii="Arial" w:hAnsi="Arial" w:cs="Arial"/>
                  <w:color w:val="0563C1"/>
                  <w:sz w:val="4"/>
                  <w:szCs w:val="8"/>
                  <w:u w:val="single"/>
                  <w:lang w:val="sq-AL"/>
                </w:rPr>
                <w:t>https://eur-lex.europa.eu/legal-content/en/TXT/?uri=CELEX%3A32007D0098</w:t>
              </w:r>
            </w:hyperlink>
          </w:p>
        </w:tc>
        <w:tc>
          <w:tcPr>
            <w:tcW w:w="506" w:type="pct"/>
            <w:tcBorders>
              <w:top w:val="nil"/>
              <w:left w:val="nil"/>
              <w:bottom w:val="single" w:sz="4" w:space="0" w:color="auto"/>
              <w:right w:val="single" w:sz="4" w:space="0" w:color="auto"/>
            </w:tcBorders>
            <w:shd w:val="clear" w:color="auto" w:fill="auto"/>
            <w:vAlign w:val="center"/>
            <w:hideMark/>
          </w:tcPr>
          <w:p w14:paraId="2E3EF5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05E229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7662FAC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4E3BE6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B0F7B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C03FE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505307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C4E75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08FF37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41EEB480" w14:textId="0B146C8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150 </w:t>
            </w:r>
          </w:p>
        </w:tc>
        <w:tc>
          <w:tcPr>
            <w:tcW w:w="126" w:type="pct"/>
            <w:tcBorders>
              <w:top w:val="nil"/>
              <w:left w:val="nil"/>
              <w:bottom w:val="single" w:sz="4" w:space="0" w:color="auto"/>
              <w:right w:val="single" w:sz="4" w:space="0" w:color="auto"/>
            </w:tcBorders>
            <w:shd w:val="clear" w:color="auto" w:fill="auto"/>
            <w:vAlign w:val="center"/>
            <w:hideMark/>
          </w:tcPr>
          <w:p w14:paraId="7D8F6B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22518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42289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F68F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CE8F2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FAE26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3B9BA5A"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07636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4210A71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13E6E94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1C8F62E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3D19D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2022/173 i datës 7 shkurt 2022 për harmonizimin e brezave të frekuencave 900 MHz dhe 1800 MHz për sistemet tokësore të afta për të ofruar shërbime të komunikimeve elektronike në Bashkimin dhe shfuqizimin e Vendimit 2009/766/EC.</w:t>
            </w:r>
          </w:p>
        </w:tc>
        <w:tc>
          <w:tcPr>
            <w:tcW w:w="668" w:type="pct"/>
            <w:tcBorders>
              <w:top w:val="nil"/>
              <w:left w:val="nil"/>
              <w:bottom w:val="single" w:sz="4" w:space="0" w:color="auto"/>
              <w:right w:val="single" w:sz="4" w:space="0" w:color="auto"/>
            </w:tcBorders>
            <w:shd w:val="clear" w:color="auto" w:fill="auto"/>
            <w:vAlign w:val="center"/>
            <w:hideMark/>
          </w:tcPr>
          <w:p w14:paraId="5B92D9DC" w14:textId="77777777" w:rsidR="00482167" w:rsidRPr="006D6BE5" w:rsidRDefault="00E63D69" w:rsidP="00A7241A">
            <w:pPr>
              <w:rPr>
                <w:rFonts w:ascii="Arial" w:hAnsi="Arial" w:cs="Arial"/>
                <w:color w:val="0563C1"/>
                <w:sz w:val="4"/>
                <w:szCs w:val="8"/>
                <w:u w:val="single"/>
                <w:lang w:val="sq-AL"/>
              </w:rPr>
            </w:pPr>
            <w:hyperlink r:id="rId92" w:history="1">
              <w:r w:rsidR="00482167" w:rsidRPr="006D6BE5">
                <w:rPr>
                  <w:rFonts w:ascii="Arial" w:hAnsi="Arial" w:cs="Arial"/>
                  <w:color w:val="0563C1"/>
                  <w:sz w:val="4"/>
                  <w:szCs w:val="8"/>
                  <w:u w:val="single"/>
                  <w:lang w:val="sq-AL"/>
                </w:rPr>
                <w:t>https://eur-lex.europa.eu/eli/dec_impl/2022/173</w:t>
              </w:r>
            </w:hyperlink>
          </w:p>
        </w:tc>
        <w:tc>
          <w:tcPr>
            <w:tcW w:w="506" w:type="pct"/>
            <w:tcBorders>
              <w:top w:val="nil"/>
              <w:left w:val="nil"/>
              <w:bottom w:val="single" w:sz="4" w:space="0" w:color="auto"/>
              <w:right w:val="single" w:sz="4" w:space="0" w:color="auto"/>
            </w:tcBorders>
            <w:shd w:val="clear" w:color="auto" w:fill="auto"/>
            <w:vAlign w:val="center"/>
            <w:hideMark/>
          </w:tcPr>
          <w:p w14:paraId="2BBCC1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366E9B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1E202F6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53C73E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1DC174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219E27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4B6479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88A8E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268C1F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8AFAD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36B2A6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E98B3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326AA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5724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22B9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622E5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9DCF72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72EE3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5CCCAAC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2BF7D7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773CFF6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7A1F86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2012/688/BE i datës 5 nëntor 2012 për harmonizimin e brezave të frekuencave 1920-1980 MHz dhe 2110-2170 MHz për sistemet tokësore të afta për Bashkimin Evropian të komunikimit elektronik në lidhje me të. Komisioni (BE) 2020/667 e datës 6 maj 2020</w:t>
            </w:r>
          </w:p>
        </w:tc>
        <w:tc>
          <w:tcPr>
            <w:tcW w:w="668" w:type="pct"/>
            <w:tcBorders>
              <w:top w:val="nil"/>
              <w:left w:val="nil"/>
              <w:bottom w:val="single" w:sz="4" w:space="0" w:color="auto"/>
              <w:right w:val="single" w:sz="4" w:space="0" w:color="auto"/>
            </w:tcBorders>
            <w:shd w:val="clear" w:color="auto" w:fill="auto"/>
            <w:vAlign w:val="center"/>
            <w:hideMark/>
          </w:tcPr>
          <w:p w14:paraId="2681A70E" w14:textId="77777777" w:rsidR="00482167" w:rsidRPr="006D6BE5" w:rsidRDefault="00E63D69" w:rsidP="00A7241A">
            <w:pPr>
              <w:rPr>
                <w:rFonts w:ascii="Arial" w:hAnsi="Arial" w:cs="Arial"/>
                <w:color w:val="0563C1"/>
                <w:sz w:val="4"/>
                <w:szCs w:val="8"/>
                <w:u w:val="single"/>
                <w:lang w:val="sq-AL"/>
              </w:rPr>
            </w:pPr>
            <w:hyperlink r:id="rId93" w:history="1">
              <w:r w:rsidR="00482167" w:rsidRPr="006D6BE5">
                <w:rPr>
                  <w:rFonts w:ascii="Arial" w:hAnsi="Arial" w:cs="Arial"/>
                  <w:color w:val="0563C1"/>
                  <w:sz w:val="4"/>
                  <w:szCs w:val="8"/>
                  <w:u w:val="single"/>
                  <w:lang w:val="sq-AL"/>
                </w:rPr>
                <w:t>https://eur-lex.europa.eu/legal-content/EN/ALL/?uri=CELEX%3A32012D0688</w:t>
              </w:r>
            </w:hyperlink>
          </w:p>
        </w:tc>
        <w:tc>
          <w:tcPr>
            <w:tcW w:w="506" w:type="pct"/>
            <w:tcBorders>
              <w:top w:val="nil"/>
              <w:left w:val="nil"/>
              <w:bottom w:val="single" w:sz="4" w:space="0" w:color="auto"/>
              <w:right w:val="single" w:sz="4" w:space="0" w:color="auto"/>
            </w:tcBorders>
            <w:shd w:val="clear" w:color="auto" w:fill="auto"/>
            <w:vAlign w:val="center"/>
            <w:hideMark/>
          </w:tcPr>
          <w:p w14:paraId="56F291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2B8B4C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72FB338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29F536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3F4293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782587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52BB3D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744310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4BD903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F6650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7322BD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6CD1E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626AB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485A1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861C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5055D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56F9C73"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D01AE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491C02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0685276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3D44893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09508F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i Komisionit 2008/477/EC i datës 13 qershor 2008 për harmonizimin e brezit të frekuencave 2500-2690 MHz për sistemet tokësore të afta për të ofruar shërbime të komunikimeve elektronike në Komunitet, i ndryshuar nga vendimi zbatues i Komisionit (BE) 2020/636 i datës 8 maj 2020.</w:t>
            </w:r>
          </w:p>
        </w:tc>
        <w:tc>
          <w:tcPr>
            <w:tcW w:w="668" w:type="pct"/>
            <w:tcBorders>
              <w:top w:val="nil"/>
              <w:left w:val="nil"/>
              <w:bottom w:val="single" w:sz="4" w:space="0" w:color="auto"/>
              <w:right w:val="single" w:sz="4" w:space="0" w:color="auto"/>
            </w:tcBorders>
            <w:shd w:val="clear" w:color="auto" w:fill="auto"/>
            <w:vAlign w:val="center"/>
            <w:hideMark/>
          </w:tcPr>
          <w:p w14:paraId="7297FBAE" w14:textId="77777777" w:rsidR="00482167" w:rsidRPr="006D6BE5" w:rsidRDefault="00E63D69" w:rsidP="00A7241A">
            <w:pPr>
              <w:rPr>
                <w:rFonts w:ascii="Arial" w:hAnsi="Arial" w:cs="Arial"/>
                <w:color w:val="0563C1"/>
                <w:sz w:val="4"/>
                <w:szCs w:val="8"/>
                <w:u w:val="single"/>
                <w:lang w:val="sq-AL"/>
              </w:rPr>
            </w:pPr>
            <w:hyperlink r:id="rId94" w:history="1">
              <w:r w:rsidR="00482167" w:rsidRPr="006D6BE5">
                <w:rPr>
                  <w:rFonts w:ascii="Arial" w:hAnsi="Arial" w:cs="Arial"/>
                  <w:color w:val="0563C1"/>
                  <w:sz w:val="4"/>
                  <w:szCs w:val="8"/>
                  <w:u w:val="single"/>
                  <w:lang w:val="sq-AL"/>
                </w:rPr>
                <w:t>https://eur-lex.europa.eu/legal-content/EN/TXT/?uri=CELEX%3A32008D0477</w:t>
              </w:r>
            </w:hyperlink>
          </w:p>
        </w:tc>
        <w:tc>
          <w:tcPr>
            <w:tcW w:w="506" w:type="pct"/>
            <w:tcBorders>
              <w:top w:val="nil"/>
              <w:left w:val="nil"/>
              <w:bottom w:val="single" w:sz="4" w:space="0" w:color="auto"/>
              <w:right w:val="single" w:sz="4" w:space="0" w:color="auto"/>
            </w:tcBorders>
            <w:shd w:val="clear" w:color="auto" w:fill="auto"/>
            <w:vAlign w:val="center"/>
            <w:hideMark/>
          </w:tcPr>
          <w:p w14:paraId="4B9F44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81FAA1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31CE107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495AC8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3AB969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76077D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1866EC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3F89B3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20C91F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EC1FB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52CFB3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521DC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F178D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595A3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AEA3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ED250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A9D1317"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5D1E0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5F9DE6C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7ABA2E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1E94873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3148E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Vendimi Zbatues i Komisionit (BE) 2019/235 për ndryshimin e Vendimit 2008/411/EC në lidhje me një përditësim të kushteve teknike përkatëse të zbatueshme për brezin e frekuencave 3400-3800 MHz</w:t>
            </w:r>
          </w:p>
        </w:tc>
        <w:tc>
          <w:tcPr>
            <w:tcW w:w="668" w:type="pct"/>
            <w:tcBorders>
              <w:top w:val="nil"/>
              <w:left w:val="nil"/>
              <w:bottom w:val="single" w:sz="4" w:space="0" w:color="auto"/>
              <w:right w:val="single" w:sz="4" w:space="0" w:color="auto"/>
            </w:tcBorders>
            <w:shd w:val="clear" w:color="auto" w:fill="auto"/>
            <w:vAlign w:val="center"/>
            <w:hideMark/>
          </w:tcPr>
          <w:p w14:paraId="06B3E9BC" w14:textId="77777777" w:rsidR="00482167" w:rsidRPr="006D6BE5" w:rsidRDefault="00E63D69" w:rsidP="00A7241A">
            <w:pPr>
              <w:rPr>
                <w:rFonts w:ascii="Arial" w:hAnsi="Arial" w:cs="Arial"/>
                <w:color w:val="0563C1"/>
                <w:sz w:val="4"/>
                <w:szCs w:val="8"/>
                <w:u w:val="single"/>
                <w:lang w:val="sq-AL"/>
              </w:rPr>
            </w:pPr>
            <w:hyperlink r:id="rId95" w:history="1">
              <w:r w:rsidR="00482167" w:rsidRPr="006D6BE5">
                <w:rPr>
                  <w:rFonts w:ascii="Arial" w:hAnsi="Arial" w:cs="Arial"/>
                  <w:color w:val="0563C1"/>
                  <w:sz w:val="4"/>
                  <w:szCs w:val="8"/>
                  <w:u w:val="single"/>
                  <w:lang w:val="sq-AL"/>
                </w:rPr>
                <w:t>https://eur-lex.europa.eu/legal-content/EN/TXT/?qid=1549615962331&amp;uri=CELEX:32019D0235</w:t>
              </w:r>
            </w:hyperlink>
          </w:p>
        </w:tc>
        <w:tc>
          <w:tcPr>
            <w:tcW w:w="506" w:type="pct"/>
            <w:tcBorders>
              <w:top w:val="nil"/>
              <w:left w:val="nil"/>
              <w:bottom w:val="single" w:sz="4" w:space="0" w:color="auto"/>
              <w:right w:val="single" w:sz="4" w:space="0" w:color="auto"/>
            </w:tcBorders>
            <w:shd w:val="clear" w:color="auto" w:fill="auto"/>
            <w:vAlign w:val="center"/>
            <w:hideMark/>
          </w:tcPr>
          <w:p w14:paraId="3F1A90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91F1DA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39C2AD7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7C86C2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58EACD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2C8F1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1F687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59B1DC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177675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67829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3ADB6F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F5A26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0947C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673D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B36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7E080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0BEF30C"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6F245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754B7C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81BEEE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72A87C3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4B321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Vendimi i Komisionit 2008/411/KE për harmonizimin e brezit të frekuencës 3400 - 3800 MHz për sistemet tokësore të afta për të ofruar shërbime të komunikimeve elektronike në Komunitet</w:t>
            </w:r>
          </w:p>
        </w:tc>
        <w:tc>
          <w:tcPr>
            <w:tcW w:w="668" w:type="pct"/>
            <w:tcBorders>
              <w:top w:val="nil"/>
              <w:left w:val="nil"/>
              <w:bottom w:val="single" w:sz="4" w:space="0" w:color="auto"/>
              <w:right w:val="single" w:sz="4" w:space="0" w:color="auto"/>
            </w:tcBorders>
            <w:shd w:val="clear" w:color="auto" w:fill="auto"/>
            <w:vAlign w:val="center"/>
            <w:hideMark/>
          </w:tcPr>
          <w:p w14:paraId="2708CBEB" w14:textId="77777777" w:rsidR="00482167" w:rsidRPr="006D6BE5" w:rsidRDefault="00E63D69" w:rsidP="00A7241A">
            <w:pPr>
              <w:rPr>
                <w:rFonts w:ascii="Arial" w:hAnsi="Arial" w:cs="Arial"/>
                <w:color w:val="0563C1"/>
                <w:sz w:val="4"/>
                <w:szCs w:val="8"/>
                <w:u w:val="single"/>
                <w:lang w:val="sq-AL"/>
              </w:rPr>
            </w:pPr>
            <w:hyperlink r:id="rId96" w:history="1">
              <w:r w:rsidR="00482167" w:rsidRPr="006D6BE5">
                <w:rPr>
                  <w:rFonts w:ascii="Arial" w:hAnsi="Arial" w:cs="Arial"/>
                  <w:color w:val="0563C1"/>
                  <w:sz w:val="4"/>
                  <w:szCs w:val="8"/>
                  <w:u w:val="single"/>
                  <w:lang w:val="sq-AL"/>
                </w:rPr>
                <w:t>https://eur-lex.europa.eu/legal-content/EN/ALL/?uri=CELEX:32008D0411</w:t>
              </w:r>
            </w:hyperlink>
          </w:p>
        </w:tc>
        <w:tc>
          <w:tcPr>
            <w:tcW w:w="506" w:type="pct"/>
            <w:tcBorders>
              <w:top w:val="nil"/>
              <w:left w:val="nil"/>
              <w:bottom w:val="single" w:sz="4" w:space="0" w:color="auto"/>
              <w:right w:val="single" w:sz="4" w:space="0" w:color="auto"/>
            </w:tcBorders>
            <w:shd w:val="clear" w:color="auto" w:fill="auto"/>
            <w:vAlign w:val="center"/>
            <w:hideMark/>
          </w:tcPr>
          <w:p w14:paraId="1783AD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19355F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7C54E68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ne zbatim te miratimit te Planit Kombetar te Frekuencave</w:t>
            </w:r>
          </w:p>
        </w:tc>
        <w:tc>
          <w:tcPr>
            <w:tcW w:w="126" w:type="pct"/>
            <w:tcBorders>
              <w:top w:val="nil"/>
              <w:left w:val="nil"/>
              <w:bottom w:val="single" w:sz="4" w:space="0" w:color="auto"/>
              <w:right w:val="single" w:sz="4" w:space="0" w:color="auto"/>
            </w:tcBorders>
            <w:shd w:val="clear" w:color="auto" w:fill="auto"/>
            <w:vAlign w:val="center"/>
            <w:hideMark/>
          </w:tcPr>
          <w:p w14:paraId="601D8D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8CC74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06A9AB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62E9E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35956F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40D41E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4A5B6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0469A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63A900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57C93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3F5B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49C3A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884FB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EB2325B"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87F02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B836B0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2BAF222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78BED86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C8119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ype="page"/>
              <w:t>Vendimi zbatues i Komisionit (BE) 2020/1426 i datës 7 tetor 2020 për përdorimin e harmonizuar të spektrit të radios në brezin e frekuencave 5875 - 5905 MHz për aplikimet e lidhura me sigurinë të Sistemeve Inteligjente të Transportit (ITS) dhe shfuqizimin e Vendimit 2008/671/EC</w:t>
            </w:r>
          </w:p>
        </w:tc>
        <w:tc>
          <w:tcPr>
            <w:tcW w:w="668" w:type="pct"/>
            <w:tcBorders>
              <w:top w:val="nil"/>
              <w:left w:val="nil"/>
              <w:bottom w:val="single" w:sz="4" w:space="0" w:color="auto"/>
              <w:right w:val="single" w:sz="4" w:space="0" w:color="auto"/>
            </w:tcBorders>
            <w:shd w:val="clear" w:color="auto" w:fill="auto"/>
            <w:vAlign w:val="center"/>
            <w:hideMark/>
          </w:tcPr>
          <w:p w14:paraId="0FBFDA54" w14:textId="77777777" w:rsidR="00482167" w:rsidRPr="006D6BE5" w:rsidRDefault="00E63D69" w:rsidP="00A7241A">
            <w:pPr>
              <w:rPr>
                <w:rFonts w:ascii="Arial" w:hAnsi="Arial" w:cs="Arial"/>
                <w:color w:val="0563C1"/>
                <w:sz w:val="4"/>
                <w:szCs w:val="8"/>
                <w:u w:val="single"/>
                <w:lang w:val="sq-AL"/>
              </w:rPr>
            </w:pPr>
            <w:hyperlink r:id="rId97" w:history="1">
              <w:r w:rsidR="00482167" w:rsidRPr="006D6BE5">
                <w:rPr>
                  <w:rFonts w:ascii="Arial" w:hAnsi="Arial" w:cs="Arial"/>
                  <w:color w:val="0563C1"/>
                  <w:sz w:val="4"/>
                  <w:szCs w:val="8"/>
                  <w:u w:val="single"/>
                  <w:lang w:val="sq-AL"/>
                </w:rPr>
                <w:t>https://eur-lex.europa.eu/legal-content/EN/TXT/?uri=CELEX%3A32020D1426</w:t>
              </w:r>
            </w:hyperlink>
          </w:p>
        </w:tc>
        <w:tc>
          <w:tcPr>
            <w:tcW w:w="506" w:type="pct"/>
            <w:tcBorders>
              <w:top w:val="nil"/>
              <w:left w:val="nil"/>
              <w:bottom w:val="single" w:sz="4" w:space="0" w:color="auto"/>
              <w:right w:val="single" w:sz="4" w:space="0" w:color="auto"/>
            </w:tcBorders>
            <w:shd w:val="clear" w:color="auto" w:fill="auto"/>
            <w:vAlign w:val="center"/>
            <w:hideMark/>
          </w:tcPr>
          <w:p w14:paraId="4E2770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A14C4B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69CC240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578F28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2A1303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367E4A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25FBAC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31262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3346B8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B117A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28A70E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BD3DF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A32CB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9B12E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5DD5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3C243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ED38BA4"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54281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438076F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261795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6079BA2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38E659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2022/179 i datës 8 shkurt 2022 për përdorimin e harmonizuar të spektrit të radios në brezin e frekuencave 5 GHz për zbatimin e sistemeve të aksesit me valë duke përfshirë rrjetet lokale të radios dhe shfuqizimin e Vendimit 2005/513/EC</w:t>
            </w:r>
          </w:p>
        </w:tc>
        <w:tc>
          <w:tcPr>
            <w:tcW w:w="668" w:type="pct"/>
            <w:tcBorders>
              <w:top w:val="nil"/>
              <w:left w:val="nil"/>
              <w:bottom w:val="single" w:sz="4" w:space="0" w:color="auto"/>
              <w:right w:val="single" w:sz="4" w:space="0" w:color="auto"/>
            </w:tcBorders>
            <w:shd w:val="clear" w:color="auto" w:fill="auto"/>
            <w:vAlign w:val="center"/>
            <w:hideMark/>
          </w:tcPr>
          <w:p w14:paraId="7806870E" w14:textId="77777777" w:rsidR="00482167" w:rsidRPr="006D6BE5" w:rsidRDefault="00E63D69" w:rsidP="00A7241A">
            <w:pPr>
              <w:rPr>
                <w:rFonts w:ascii="Arial" w:hAnsi="Arial" w:cs="Arial"/>
                <w:color w:val="0563C1"/>
                <w:sz w:val="4"/>
                <w:szCs w:val="8"/>
                <w:u w:val="single"/>
                <w:lang w:val="sq-AL"/>
              </w:rPr>
            </w:pPr>
            <w:hyperlink r:id="rId98" w:history="1">
              <w:r w:rsidR="00482167" w:rsidRPr="006D6BE5">
                <w:rPr>
                  <w:rFonts w:ascii="Arial" w:hAnsi="Arial" w:cs="Arial"/>
                  <w:color w:val="0563C1"/>
                  <w:sz w:val="4"/>
                  <w:szCs w:val="8"/>
                  <w:u w:val="single"/>
                  <w:lang w:val="sq-AL"/>
                </w:rPr>
                <w:t>https://eur-lex.europa.eu/legal-content/EN/TXT/?uri=CELEX%3A32022D0179&amp;qid=1644477768617</w:t>
              </w:r>
            </w:hyperlink>
          </w:p>
        </w:tc>
        <w:tc>
          <w:tcPr>
            <w:tcW w:w="506" w:type="pct"/>
            <w:tcBorders>
              <w:top w:val="nil"/>
              <w:left w:val="nil"/>
              <w:bottom w:val="single" w:sz="4" w:space="0" w:color="auto"/>
              <w:right w:val="single" w:sz="4" w:space="0" w:color="auto"/>
            </w:tcBorders>
            <w:shd w:val="clear" w:color="auto" w:fill="auto"/>
            <w:vAlign w:val="center"/>
            <w:hideMark/>
          </w:tcPr>
          <w:p w14:paraId="2D7828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5B8D52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4ED740B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32DB9C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2E1968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1FD99E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7AB41C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ABD2C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766DB7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A1EE4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3E2100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31A26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D4A5C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CB16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2F01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048AA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43067A4"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4A0EF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5D0211E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375101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2CF778B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CDF7C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2021/1067 i datës 17 qershor 2021 për përdorimin e harmonizuar të spektrit të radios në brezin e frekuencave 5945-6425 MHz për zbatimin e sistemeve të aksesit pa tela duke përfshirë rrjetet lokale të radios (WAS/RLANs)</w:t>
            </w:r>
          </w:p>
        </w:tc>
        <w:tc>
          <w:tcPr>
            <w:tcW w:w="668" w:type="pct"/>
            <w:tcBorders>
              <w:top w:val="nil"/>
              <w:left w:val="nil"/>
              <w:bottom w:val="single" w:sz="4" w:space="0" w:color="auto"/>
              <w:right w:val="single" w:sz="4" w:space="0" w:color="auto"/>
            </w:tcBorders>
            <w:shd w:val="clear" w:color="auto" w:fill="auto"/>
            <w:vAlign w:val="center"/>
            <w:hideMark/>
          </w:tcPr>
          <w:p w14:paraId="14A9711B" w14:textId="77777777" w:rsidR="00482167" w:rsidRPr="006D6BE5" w:rsidRDefault="00E63D69" w:rsidP="00A7241A">
            <w:pPr>
              <w:rPr>
                <w:rFonts w:ascii="Arial" w:hAnsi="Arial" w:cs="Arial"/>
                <w:color w:val="0563C1"/>
                <w:sz w:val="4"/>
                <w:szCs w:val="8"/>
                <w:u w:val="single"/>
                <w:lang w:val="sq-AL"/>
              </w:rPr>
            </w:pPr>
            <w:hyperlink r:id="rId99" w:history="1">
              <w:r w:rsidR="00482167" w:rsidRPr="006D6BE5">
                <w:rPr>
                  <w:rFonts w:ascii="Arial" w:hAnsi="Arial" w:cs="Arial"/>
                  <w:color w:val="0563C1"/>
                  <w:sz w:val="4"/>
                  <w:szCs w:val="8"/>
                  <w:u w:val="single"/>
                  <w:lang w:val="sq-AL"/>
                </w:rPr>
                <w:t>https://eur-lex.europa.eu/legal-content/EN/TXT/?uri=CELEX%3A32021D1067</w:t>
              </w:r>
            </w:hyperlink>
          </w:p>
        </w:tc>
        <w:tc>
          <w:tcPr>
            <w:tcW w:w="506" w:type="pct"/>
            <w:tcBorders>
              <w:top w:val="nil"/>
              <w:left w:val="nil"/>
              <w:bottom w:val="single" w:sz="4" w:space="0" w:color="auto"/>
              <w:right w:val="single" w:sz="4" w:space="0" w:color="auto"/>
            </w:tcBorders>
            <w:shd w:val="clear" w:color="auto" w:fill="auto"/>
            <w:vAlign w:val="center"/>
            <w:hideMark/>
          </w:tcPr>
          <w:p w14:paraId="4364C2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B996E3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18268CC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19F267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038823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18C848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568638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7627B3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6C2E87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00D61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2C6022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F2A1B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D66FE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3D07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76124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D0AA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44C75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004F2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8DD654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20833D9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65DFB4A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52227E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2019/784 i datës 14 maj 2019 për harmonizimin e brezit të frekuencës 24,25-27,5 GHz për sistemet tokësore të afta të ofrojnë shërbime të komunikimeve elektronike me brez të gjerë pa tela në Bashkimin, i ndryshuar me vendimin zbatues të Komisionit (BE ) 2020/590 e datës 24 Prill 2020</w:t>
            </w:r>
          </w:p>
        </w:tc>
        <w:tc>
          <w:tcPr>
            <w:tcW w:w="668" w:type="pct"/>
            <w:tcBorders>
              <w:top w:val="nil"/>
              <w:left w:val="nil"/>
              <w:bottom w:val="single" w:sz="4" w:space="0" w:color="auto"/>
              <w:right w:val="single" w:sz="4" w:space="0" w:color="auto"/>
            </w:tcBorders>
            <w:shd w:val="clear" w:color="auto" w:fill="auto"/>
            <w:vAlign w:val="center"/>
            <w:hideMark/>
          </w:tcPr>
          <w:p w14:paraId="10505D52" w14:textId="77777777" w:rsidR="00482167" w:rsidRPr="006D6BE5" w:rsidRDefault="00E63D69" w:rsidP="00A7241A">
            <w:pPr>
              <w:rPr>
                <w:rFonts w:ascii="Arial" w:hAnsi="Arial" w:cs="Arial"/>
                <w:color w:val="0563C1"/>
                <w:sz w:val="4"/>
                <w:szCs w:val="8"/>
                <w:u w:val="single"/>
                <w:lang w:val="sq-AL"/>
              </w:rPr>
            </w:pPr>
            <w:hyperlink r:id="rId100" w:history="1">
              <w:r w:rsidR="00482167" w:rsidRPr="006D6BE5">
                <w:rPr>
                  <w:rFonts w:ascii="Arial" w:hAnsi="Arial" w:cs="Arial"/>
                  <w:color w:val="0563C1"/>
                  <w:sz w:val="4"/>
                  <w:szCs w:val="8"/>
                  <w:u w:val="single"/>
                  <w:lang w:val="sq-AL"/>
                </w:rPr>
                <w:t>https://eur-lex.europa.eu/legal-content/en/TXT/?uri=CELEX%3A32019D0784</w:t>
              </w:r>
            </w:hyperlink>
          </w:p>
        </w:tc>
        <w:tc>
          <w:tcPr>
            <w:tcW w:w="506" w:type="pct"/>
            <w:tcBorders>
              <w:top w:val="nil"/>
              <w:left w:val="nil"/>
              <w:bottom w:val="single" w:sz="4" w:space="0" w:color="auto"/>
              <w:right w:val="single" w:sz="4" w:space="0" w:color="auto"/>
            </w:tcBorders>
            <w:shd w:val="clear" w:color="auto" w:fill="auto"/>
            <w:vAlign w:val="center"/>
            <w:hideMark/>
          </w:tcPr>
          <w:p w14:paraId="7618D0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10D5E4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68E655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675BD7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95623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08A2A9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634469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528684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0D8401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1C2EB0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462DA1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5F8D58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C8ACF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547B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09CB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ADD3B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86B5F20"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D9FE4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1A1BDC1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9D6FDC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07D18CB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0D0FF3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2022/180 i datës 8 shkurt 2022 që ndryshon Vendimin 2006/771/EC në lidhje me përditësimin e kushteve teknike të harmonizuara në fushën e përdorimit të spektrit të radios për pajisjet me rreze të shkurtër veprimi.</w:t>
            </w:r>
          </w:p>
        </w:tc>
        <w:tc>
          <w:tcPr>
            <w:tcW w:w="668" w:type="pct"/>
            <w:tcBorders>
              <w:top w:val="nil"/>
              <w:left w:val="nil"/>
              <w:bottom w:val="single" w:sz="4" w:space="0" w:color="auto"/>
              <w:right w:val="single" w:sz="4" w:space="0" w:color="auto"/>
            </w:tcBorders>
            <w:shd w:val="clear" w:color="auto" w:fill="auto"/>
            <w:vAlign w:val="center"/>
            <w:hideMark/>
          </w:tcPr>
          <w:p w14:paraId="37FA066B" w14:textId="77777777" w:rsidR="00482167" w:rsidRPr="006D6BE5" w:rsidRDefault="00E63D69" w:rsidP="00A7241A">
            <w:pPr>
              <w:rPr>
                <w:rFonts w:ascii="Arial" w:hAnsi="Arial" w:cs="Arial"/>
                <w:color w:val="0563C1"/>
                <w:sz w:val="4"/>
                <w:szCs w:val="8"/>
                <w:u w:val="single"/>
                <w:lang w:val="sq-AL"/>
              </w:rPr>
            </w:pPr>
            <w:hyperlink r:id="rId101" w:history="1">
              <w:r w:rsidR="00482167" w:rsidRPr="006D6BE5">
                <w:rPr>
                  <w:rFonts w:ascii="Arial" w:hAnsi="Arial" w:cs="Arial"/>
                  <w:color w:val="0563C1"/>
                  <w:sz w:val="4"/>
                  <w:szCs w:val="8"/>
                  <w:u w:val="single"/>
                  <w:lang w:val="sq-AL"/>
                </w:rPr>
                <w:t>https://eur-lex.europa.eu/legal-content/EN/TXT/?uri=CELEX:32022D0180</w:t>
              </w:r>
            </w:hyperlink>
          </w:p>
        </w:tc>
        <w:tc>
          <w:tcPr>
            <w:tcW w:w="506" w:type="pct"/>
            <w:tcBorders>
              <w:top w:val="nil"/>
              <w:left w:val="nil"/>
              <w:bottom w:val="single" w:sz="4" w:space="0" w:color="auto"/>
              <w:right w:val="single" w:sz="4" w:space="0" w:color="auto"/>
            </w:tcBorders>
            <w:shd w:val="clear" w:color="auto" w:fill="auto"/>
            <w:vAlign w:val="center"/>
            <w:hideMark/>
          </w:tcPr>
          <w:p w14:paraId="0DD51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347D84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3640ACA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6A2C57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22521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258572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0B7D9C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CEBC5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2BF58E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066D66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2E0880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726E7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A907C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4052E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5C6F2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C5D0A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2E1368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A2D31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12D4DF2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0B80A3F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611F36A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0580DB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2019/1345 i datës 2 gusht 2019 që ndryshon Vendimin 2006/771/EC për përditësimin e kushteve teknike të harmonizuara në fushën e përdorimit të spektrit të radios për pajisjet me rreze të shkurtër, OJ L 212, datë 13.8.2019, f.53.</w:t>
            </w:r>
          </w:p>
        </w:tc>
        <w:tc>
          <w:tcPr>
            <w:tcW w:w="668" w:type="pct"/>
            <w:tcBorders>
              <w:top w:val="nil"/>
              <w:left w:val="nil"/>
              <w:bottom w:val="single" w:sz="4" w:space="0" w:color="auto"/>
              <w:right w:val="single" w:sz="4" w:space="0" w:color="auto"/>
            </w:tcBorders>
            <w:shd w:val="clear" w:color="auto" w:fill="auto"/>
            <w:vAlign w:val="center"/>
            <w:hideMark/>
          </w:tcPr>
          <w:p w14:paraId="3B7FB1C2" w14:textId="77777777" w:rsidR="00482167" w:rsidRPr="006D6BE5" w:rsidRDefault="00E63D69" w:rsidP="00A7241A">
            <w:pPr>
              <w:rPr>
                <w:rFonts w:ascii="Arial" w:hAnsi="Arial" w:cs="Arial"/>
                <w:color w:val="0563C1"/>
                <w:sz w:val="4"/>
                <w:szCs w:val="8"/>
                <w:u w:val="single"/>
                <w:lang w:val="sq-AL"/>
              </w:rPr>
            </w:pPr>
            <w:hyperlink r:id="rId102" w:history="1">
              <w:r w:rsidR="00482167" w:rsidRPr="006D6BE5">
                <w:rPr>
                  <w:rFonts w:ascii="Arial" w:hAnsi="Arial" w:cs="Arial"/>
                  <w:color w:val="0563C1"/>
                  <w:sz w:val="4"/>
                  <w:szCs w:val="8"/>
                  <w:u w:val="single"/>
                  <w:lang w:val="sq-AL"/>
                </w:rPr>
                <w:t>https://eur-lex.europa.eu/legal-content/EN/TXT/?qid=1567676305871&amp;uri=CELEX:32019D1345</w:t>
              </w:r>
            </w:hyperlink>
          </w:p>
        </w:tc>
        <w:tc>
          <w:tcPr>
            <w:tcW w:w="506" w:type="pct"/>
            <w:tcBorders>
              <w:top w:val="nil"/>
              <w:left w:val="nil"/>
              <w:bottom w:val="single" w:sz="4" w:space="0" w:color="auto"/>
              <w:right w:val="single" w:sz="4" w:space="0" w:color="auto"/>
            </w:tcBorders>
            <w:shd w:val="clear" w:color="auto" w:fill="auto"/>
            <w:vAlign w:val="center"/>
            <w:hideMark/>
          </w:tcPr>
          <w:p w14:paraId="2CD33E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F19A0C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553A229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324E30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7CB243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5DD052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1BF07C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73E242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4A149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13EE8B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417B4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163DD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F3954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66FB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ACF58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F8315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E972458"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4F685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005E2EE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839838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117762F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C1CFA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2022/172 i datës 7 shkurt 2022 që ndryshon Vendimin Zbatues (BE) 2018/1538 për harmonizimin e spektrit të radios për përdorim nga pajisjet me rreze të shkurtër brenda brezave të frekuencave 874-876 dhe 915-921 MHz.</w:t>
            </w:r>
          </w:p>
        </w:tc>
        <w:tc>
          <w:tcPr>
            <w:tcW w:w="668" w:type="pct"/>
            <w:tcBorders>
              <w:top w:val="nil"/>
              <w:left w:val="nil"/>
              <w:bottom w:val="single" w:sz="4" w:space="0" w:color="auto"/>
              <w:right w:val="single" w:sz="4" w:space="0" w:color="auto"/>
            </w:tcBorders>
            <w:shd w:val="clear" w:color="auto" w:fill="auto"/>
            <w:vAlign w:val="center"/>
            <w:hideMark/>
          </w:tcPr>
          <w:p w14:paraId="6ED5CADF" w14:textId="77777777" w:rsidR="00482167" w:rsidRPr="006D6BE5" w:rsidRDefault="00E63D69" w:rsidP="00A7241A">
            <w:pPr>
              <w:rPr>
                <w:rFonts w:ascii="Arial" w:hAnsi="Arial" w:cs="Arial"/>
                <w:color w:val="0563C1"/>
                <w:sz w:val="4"/>
                <w:szCs w:val="8"/>
                <w:u w:val="single"/>
                <w:lang w:val="sq-AL"/>
              </w:rPr>
            </w:pPr>
            <w:hyperlink r:id="rId103" w:history="1">
              <w:r w:rsidR="00482167" w:rsidRPr="006D6BE5">
                <w:rPr>
                  <w:rFonts w:ascii="Arial" w:hAnsi="Arial" w:cs="Arial"/>
                  <w:color w:val="0563C1"/>
                  <w:sz w:val="4"/>
                  <w:szCs w:val="8"/>
                  <w:u w:val="single"/>
                  <w:lang w:val="sq-AL"/>
                </w:rPr>
                <w:t>https://eur-lex.europa.eu/legal-content/EN/TXT/?uri=CELEX%3A32022D0172</w:t>
              </w:r>
            </w:hyperlink>
          </w:p>
        </w:tc>
        <w:tc>
          <w:tcPr>
            <w:tcW w:w="506" w:type="pct"/>
            <w:tcBorders>
              <w:top w:val="nil"/>
              <w:left w:val="nil"/>
              <w:bottom w:val="single" w:sz="4" w:space="0" w:color="auto"/>
              <w:right w:val="single" w:sz="4" w:space="0" w:color="auto"/>
            </w:tcBorders>
            <w:shd w:val="clear" w:color="auto" w:fill="auto"/>
            <w:vAlign w:val="center"/>
            <w:hideMark/>
          </w:tcPr>
          <w:p w14:paraId="1AD4BC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E59252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6CF427F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6DAEB3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219F4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18C360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1A5DCD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1BA989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52191A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825F8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53B457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488AD1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087B0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9368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2EE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BA25B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5BB3DB7"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75A3A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1B948D9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2D07AED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1ACC678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EAC30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2022/2324 i datës 23 nëntor 2022 që ndryshon Vendimin 2008/294/EC, për të përfshirë teknologjitë shtesë të aksesit dhe masat për funksionimin e shërbimeve të komunikimit celular në avion (shërbimet MCA) në Union.</w:t>
            </w:r>
          </w:p>
        </w:tc>
        <w:tc>
          <w:tcPr>
            <w:tcW w:w="668" w:type="pct"/>
            <w:tcBorders>
              <w:top w:val="nil"/>
              <w:left w:val="nil"/>
              <w:bottom w:val="single" w:sz="4" w:space="0" w:color="auto"/>
              <w:right w:val="single" w:sz="4" w:space="0" w:color="auto"/>
            </w:tcBorders>
            <w:shd w:val="clear" w:color="auto" w:fill="auto"/>
            <w:vAlign w:val="center"/>
            <w:hideMark/>
          </w:tcPr>
          <w:p w14:paraId="1EC33C40" w14:textId="77777777" w:rsidR="00482167" w:rsidRPr="006D6BE5" w:rsidRDefault="00E63D69" w:rsidP="00A7241A">
            <w:pPr>
              <w:rPr>
                <w:rFonts w:ascii="Arial" w:hAnsi="Arial" w:cs="Arial"/>
                <w:color w:val="0563C1"/>
                <w:sz w:val="4"/>
                <w:szCs w:val="8"/>
                <w:u w:val="single"/>
                <w:lang w:val="sq-AL"/>
              </w:rPr>
            </w:pPr>
            <w:hyperlink r:id="rId104" w:history="1">
              <w:r w:rsidR="00482167" w:rsidRPr="006D6BE5">
                <w:rPr>
                  <w:rFonts w:ascii="Arial" w:hAnsi="Arial" w:cs="Arial"/>
                  <w:color w:val="0563C1"/>
                  <w:sz w:val="4"/>
                  <w:szCs w:val="8"/>
                  <w:u w:val="single"/>
                  <w:lang w:val="sq-AL"/>
                </w:rPr>
                <w:t>https://eur-lex.europa.eu/legal-content/EN/TXT/?uri=CELEX%3A32022D2324&amp;qid=1674874227102</w:t>
              </w:r>
            </w:hyperlink>
          </w:p>
        </w:tc>
        <w:tc>
          <w:tcPr>
            <w:tcW w:w="506" w:type="pct"/>
            <w:tcBorders>
              <w:top w:val="nil"/>
              <w:left w:val="nil"/>
              <w:bottom w:val="single" w:sz="4" w:space="0" w:color="auto"/>
              <w:right w:val="single" w:sz="4" w:space="0" w:color="auto"/>
            </w:tcBorders>
            <w:shd w:val="clear" w:color="auto" w:fill="auto"/>
            <w:vAlign w:val="center"/>
            <w:hideMark/>
          </w:tcPr>
          <w:p w14:paraId="42EB1D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0D9437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39FE5AF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6DF47F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57D341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5E765F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7E476E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155BBC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7B594F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C4B1B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5865BE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5245C2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947FB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9841C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564B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59379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9E95A9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B3B83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53B2B2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69F36A6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3A45FF8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A69DA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2021/1730 i datës 28 shtator 2021 për përdorimin e harmonizuar të brezave të çiftuar të frekuencave 874,4-880,0 MHz dhe 919,4-925 MHz dhe të brezit të paçiftuar të frekuencave 1 900-1 MHz për 91 Radio celulare hekurudhore</w:t>
            </w:r>
          </w:p>
        </w:tc>
        <w:tc>
          <w:tcPr>
            <w:tcW w:w="668" w:type="pct"/>
            <w:tcBorders>
              <w:top w:val="nil"/>
              <w:left w:val="nil"/>
              <w:bottom w:val="single" w:sz="4" w:space="0" w:color="auto"/>
              <w:right w:val="single" w:sz="4" w:space="0" w:color="auto"/>
            </w:tcBorders>
            <w:shd w:val="clear" w:color="auto" w:fill="auto"/>
            <w:vAlign w:val="center"/>
            <w:hideMark/>
          </w:tcPr>
          <w:p w14:paraId="39EB9561" w14:textId="77777777" w:rsidR="00482167" w:rsidRPr="006D6BE5" w:rsidRDefault="00E63D69" w:rsidP="00A7241A">
            <w:pPr>
              <w:rPr>
                <w:rFonts w:ascii="Arial" w:hAnsi="Arial" w:cs="Arial"/>
                <w:color w:val="0563C1"/>
                <w:sz w:val="4"/>
                <w:szCs w:val="8"/>
                <w:u w:val="single"/>
                <w:lang w:val="sq-AL"/>
              </w:rPr>
            </w:pPr>
            <w:hyperlink r:id="rId105" w:history="1">
              <w:r w:rsidR="00482167" w:rsidRPr="006D6BE5">
                <w:rPr>
                  <w:rFonts w:ascii="Arial" w:hAnsi="Arial" w:cs="Arial"/>
                  <w:color w:val="0563C1"/>
                  <w:sz w:val="4"/>
                  <w:szCs w:val="8"/>
                  <w:u w:val="single"/>
                  <w:lang w:val="sq-AL"/>
                </w:rPr>
                <w:t>https://eur-lex.europa.eu/legal-content/EN/TXT/?uri=CELEX%3A32021D1730</w:t>
              </w:r>
            </w:hyperlink>
          </w:p>
        </w:tc>
        <w:tc>
          <w:tcPr>
            <w:tcW w:w="506" w:type="pct"/>
            <w:tcBorders>
              <w:top w:val="nil"/>
              <w:left w:val="nil"/>
              <w:bottom w:val="single" w:sz="4" w:space="0" w:color="auto"/>
              <w:right w:val="single" w:sz="4" w:space="0" w:color="auto"/>
            </w:tcBorders>
            <w:shd w:val="clear" w:color="auto" w:fill="auto"/>
            <w:vAlign w:val="center"/>
            <w:hideMark/>
          </w:tcPr>
          <w:p w14:paraId="1DCE71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3E2052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60EC05C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59A76D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0720B4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0CABD7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78347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263FD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10F531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972D0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34A4E0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445CE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505F3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0573F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E2B51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ED484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5C1EB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844F2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80B7F5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5C21020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79577CB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C585E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Zbatues i Komisionit (BE) 2019/785 i datës 14 maj 2019 për harmonizimin e spektrit të radios për pajisjet që përdorin teknologjinë ultra të gjerë në Bashkim dhe shfuqizimin e Vendimit 2007/131/EC</w:t>
            </w:r>
          </w:p>
        </w:tc>
        <w:tc>
          <w:tcPr>
            <w:tcW w:w="668" w:type="pct"/>
            <w:tcBorders>
              <w:top w:val="nil"/>
              <w:left w:val="nil"/>
              <w:bottom w:val="single" w:sz="4" w:space="0" w:color="auto"/>
              <w:right w:val="single" w:sz="4" w:space="0" w:color="auto"/>
            </w:tcBorders>
            <w:shd w:val="clear" w:color="auto" w:fill="auto"/>
            <w:vAlign w:val="center"/>
            <w:hideMark/>
          </w:tcPr>
          <w:p w14:paraId="553AF003" w14:textId="77777777" w:rsidR="00482167" w:rsidRPr="006D6BE5" w:rsidRDefault="00E63D69" w:rsidP="00A7241A">
            <w:pPr>
              <w:rPr>
                <w:rFonts w:ascii="Arial" w:hAnsi="Arial" w:cs="Arial"/>
                <w:color w:val="0563C1"/>
                <w:sz w:val="4"/>
                <w:szCs w:val="8"/>
                <w:u w:val="single"/>
                <w:lang w:val="sq-AL"/>
              </w:rPr>
            </w:pPr>
            <w:hyperlink r:id="rId106" w:history="1">
              <w:r w:rsidR="00482167" w:rsidRPr="006D6BE5">
                <w:rPr>
                  <w:rFonts w:ascii="Arial" w:hAnsi="Arial" w:cs="Arial"/>
                  <w:color w:val="0563C1"/>
                  <w:sz w:val="4"/>
                  <w:szCs w:val="8"/>
                  <w:u w:val="single"/>
                  <w:lang w:val="sq-AL"/>
                </w:rPr>
                <w:t>https://eur-lex.europa.eu/legal-content/EN/TXT/?uri=CELEX:32019D0785</w:t>
              </w:r>
            </w:hyperlink>
          </w:p>
        </w:tc>
        <w:tc>
          <w:tcPr>
            <w:tcW w:w="506" w:type="pct"/>
            <w:tcBorders>
              <w:top w:val="nil"/>
              <w:left w:val="nil"/>
              <w:bottom w:val="single" w:sz="4" w:space="0" w:color="auto"/>
              <w:right w:val="single" w:sz="4" w:space="0" w:color="auto"/>
            </w:tcBorders>
            <w:shd w:val="clear" w:color="auto" w:fill="auto"/>
            <w:vAlign w:val="center"/>
            <w:hideMark/>
          </w:tcPr>
          <w:p w14:paraId="51168C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9220CD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Planit Kombetar te Frekuencave"</w:t>
            </w:r>
          </w:p>
        </w:tc>
        <w:tc>
          <w:tcPr>
            <w:tcW w:w="330" w:type="pct"/>
            <w:tcBorders>
              <w:top w:val="nil"/>
              <w:left w:val="nil"/>
              <w:bottom w:val="single" w:sz="4" w:space="0" w:color="auto"/>
              <w:right w:val="single" w:sz="4" w:space="0" w:color="auto"/>
            </w:tcBorders>
            <w:shd w:val="clear" w:color="auto" w:fill="auto"/>
            <w:vAlign w:val="center"/>
            <w:hideMark/>
          </w:tcPr>
          <w:p w14:paraId="5A53A0A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miratimit të Planit Kombëtar të Frekuencave</w:t>
            </w:r>
          </w:p>
        </w:tc>
        <w:tc>
          <w:tcPr>
            <w:tcW w:w="126" w:type="pct"/>
            <w:tcBorders>
              <w:top w:val="nil"/>
              <w:left w:val="nil"/>
              <w:bottom w:val="single" w:sz="4" w:space="0" w:color="auto"/>
              <w:right w:val="single" w:sz="4" w:space="0" w:color="auto"/>
            </w:tcBorders>
            <w:shd w:val="clear" w:color="auto" w:fill="auto"/>
            <w:vAlign w:val="center"/>
            <w:hideMark/>
          </w:tcPr>
          <w:p w14:paraId="5547B7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3B4591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76F98A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5E46FC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44165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3BE78D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D2A2D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1614CE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74C71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AB27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C08D9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A7E35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6C450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A5991AB"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D140B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516B5A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7344C31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2FFDB60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333E09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KOMISIONIT (BE) 2019/534 i datës 26 mars 2019 Siguria kibernetike e rrjeteve 5G C/2019/2335</w:t>
            </w:r>
          </w:p>
        </w:tc>
        <w:tc>
          <w:tcPr>
            <w:tcW w:w="668" w:type="pct"/>
            <w:tcBorders>
              <w:top w:val="nil"/>
              <w:left w:val="nil"/>
              <w:bottom w:val="single" w:sz="4" w:space="0" w:color="auto"/>
              <w:right w:val="single" w:sz="4" w:space="0" w:color="auto"/>
            </w:tcBorders>
            <w:shd w:val="clear" w:color="auto" w:fill="auto"/>
            <w:vAlign w:val="center"/>
            <w:hideMark/>
          </w:tcPr>
          <w:p w14:paraId="6DFCB2B3" w14:textId="77777777" w:rsidR="00482167" w:rsidRPr="006D6BE5" w:rsidRDefault="00E63D69" w:rsidP="00A7241A">
            <w:pPr>
              <w:rPr>
                <w:rFonts w:ascii="Arial" w:hAnsi="Arial" w:cs="Arial"/>
                <w:color w:val="0563C1"/>
                <w:sz w:val="4"/>
                <w:szCs w:val="8"/>
                <w:u w:val="single"/>
                <w:lang w:val="sq-AL"/>
              </w:rPr>
            </w:pPr>
            <w:hyperlink r:id="rId107" w:history="1">
              <w:r w:rsidR="00482167" w:rsidRPr="006D6BE5">
                <w:rPr>
                  <w:rFonts w:ascii="Arial" w:hAnsi="Arial" w:cs="Arial"/>
                  <w:color w:val="0563C1"/>
                  <w:sz w:val="4"/>
                  <w:szCs w:val="8"/>
                  <w:u w:val="single"/>
                  <w:lang w:val="sq-AL"/>
                </w:rPr>
                <w:t>https://eur-lex.europa.eu/legal-content/EN/TXT/?uri=CELEX%3A32019H0534</w:t>
              </w:r>
            </w:hyperlink>
          </w:p>
        </w:tc>
        <w:tc>
          <w:tcPr>
            <w:tcW w:w="506" w:type="pct"/>
            <w:tcBorders>
              <w:top w:val="nil"/>
              <w:left w:val="nil"/>
              <w:bottom w:val="single" w:sz="4" w:space="0" w:color="auto"/>
              <w:right w:val="single" w:sz="4" w:space="0" w:color="auto"/>
            </w:tcBorders>
            <w:shd w:val="clear" w:color="auto" w:fill="auto"/>
            <w:vAlign w:val="center"/>
            <w:hideMark/>
          </w:tcPr>
          <w:p w14:paraId="126072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1924640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ministri</w:t>
            </w:r>
          </w:p>
        </w:tc>
        <w:tc>
          <w:tcPr>
            <w:tcW w:w="330" w:type="pct"/>
            <w:tcBorders>
              <w:top w:val="nil"/>
              <w:left w:val="nil"/>
              <w:bottom w:val="single" w:sz="4" w:space="0" w:color="auto"/>
              <w:right w:val="single" w:sz="4" w:space="0" w:color="auto"/>
            </w:tcBorders>
            <w:shd w:val="clear" w:color="auto" w:fill="auto"/>
            <w:vAlign w:val="center"/>
            <w:hideMark/>
          </w:tcPr>
          <w:p w14:paraId="241E3A2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Udhëzim në zbatim të masave për sigurinë kibernetike të 5G në lidhje me komunikimet elektronike.</w:t>
            </w:r>
          </w:p>
        </w:tc>
        <w:tc>
          <w:tcPr>
            <w:tcW w:w="126" w:type="pct"/>
            <w:tcBorders>
              <w:top w:val="nil"/>
              <w:left w:val="nil"/>
              <w:bottom w:val="single" w:sz="4" w:space="0" w:color="auto"/>
              <w:right w:val="single" w:sz="4" w:space="0" w:color="auto"/>
            </w:tcBorders>
            <w:shd w:val="clear" w:color="auto" w:fill="auto"/>
            <w:vAlign w:val="center"/>
            <w:hideMark/>
          </w:tcPr>
          <w:p w14:paraId="36A9F3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30F580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5541FE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5FDCE0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37A131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3DE21B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6402E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074B7A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5ADA1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10A38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013B5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F2EF3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73369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C85A56C"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93629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5DE8F86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D8DA61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4E2975B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279560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 Komisionit COM(2020)50 final - Vendosja e sigurt e 5G në BE - Zbatimi i kutisë së mjeteve të BE-së</w:t>
            </w:r>
          </w:p>
        </w:tc>
        <w:tc>
          <w:tcPr>
            <w:tcW w:w="668" w:type="pct"/>
            <w:tcBorders>
              <w:top w:val="nil"/>
              <w:left w:val="nil"/>
              <w:bottom w:val="single" w:sz="4" w:space="0" w:color="auto"/>
              <w:right w:val="single" w:sz="4" w:space="0" w:color="auto"/>
            </w:tcBorders>
            <w:shd w:val="clear" w:color="auto" w:fill="auto"/>
            <w:vAlign w:val="center"/>
            <w:hideMark/>
          </w:tcPr>
          <w:p w14:paraId="28B01761"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https://eur-lex.europa.eu/legal-content/en/TXT/?uri=CELEX%3A52020DC0050</w:t>
            </w:r>
          </w:p>
        </w:tc>
        <w:tc>
          <w:tcPr>
            <w:tcW w:w="506" w:type="pct"/>
            <w:tcBorders>
              <w:top w:val="nil"/>
              <w:left w:val="nil"/>
              <w:bottom w:val="single" w:sz="4" w:space="0" w:color="auto"/>
              <w:right w:val="single" w:sz="4" w:space="0" w:color="auto"/>
            </w:tcBorders>
            <w:shd w:val="clear" w:color="auto" w:fill="auto"/>
            <w:vAlign w:val="center"/>
            <w:hideMark/>
          </w:tcPr>
          <w:p w14:paraId="067DBB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209B9AD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ministri</w:t>
            </w:r>
          </w:p>
        </w:tc>
        <w:tc>
          <w:tcPr>
            <w:tcW w:w="330" w:type="pct"/>
            <w:tcBorders>
              <w:top w:val="nil"/>
              <w:left w:val="nil"/>
              <w:bottom w:val="single" w:sz="4" w:space="0" w:color="auto"/>
              <w:right w:val="single" w:sz="4" w:space="0" w:color="auto"/>
            </w:tcBorders>
            <w:shd w:val="clear" w:color="auto" w:fill="auto"/>
            <w:vAlign w:val="center"/>
            <w:hideMark/>
          </w:tcPr>
          <w:p w14:paraId="0C8F25D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Udhëzim në zbatim të masave për vendosjen e sigurt të 5G</w:t>
            </w:r>
          </w:p>
        </w:tc>
        <w:tc>
          <w:tcPr>
            <w:tcW w:w="126" w:type="pct"/>
            <w:tcBorders>
              <w:top w:val="nil"/>
              <w:left w:val="nil"/>
              <w:bottom w:val="single" w:sz="4" w:space="0" w:color="auto"/>
              <w:right w:val="single" w:sz="4" w:space="0" w:color="auto"/>
            </w:tcBorders>
            <w:shd w:val="clear" w:color="auto" w:fill="auto"/>
            <w:vAlign w:val="center"/>
            <w:hideMark/>
          </w:tcPr>
          <w:p w14:paraId="6AAC2B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6A1D4B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00F7C6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C8053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2212AD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41914C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E31DA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599418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16E6F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4C1D0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62B7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82B78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6B6C3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11454B7"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E27DE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A8CCC4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6864B2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58FD5B2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0A9EAE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Dokumenti i punës i stafit të Komisionit SWD(2020)357 përfundimtar - Raport mbi ndikimet e Rekomandimit të Komisionit të datës 26 mars 2019 mbi sigurinë kibernetike të rrjeteve 5G</w:t>
            </w:r>
          </w:p>
        </w:tc>
        <w:tc>
          <w:tcPr>
            <w:tcW w:w="668" w:type="pct"/>
            <w:tcBorders>
              <w:top w:val="nil"/>
              <w:left w:val="nil"/>
              <w:bottom w:val="single" w:sz="4" w:space="0" w:color="auto"/>
              <w:right w:val="single" w:sz="4" w:space="0" w:color="auto"/>
            </w:tcBorders>
            <w:shd w:val="clear" w:color="auto" w:fill="auto"/>
            <w:vAlign w:val="center"/>
            <w:hideMark/>
          </w:tcPr>
          <w:p w14:paraId="0487FC1F"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https://data.consilium.europa.eu/doc/document/ST-14354-2020-INIT/en/pdf</w:t>
            </w:r>
          </w:p>
        </w:tc>
        <w:tc>
          <w:tcPr>
            <w:tcW w:w="506" w:type="pct"/>
            <w:tcBorders>
              <w:top w:val="nil"/>
              <w:left w:val="nil"/>
              <w:bottom w:val="single" w:sz="4" w:space="0" w:color="auto"/>
              <w:right w:val="single" w:sz="4" w:space="0" w:color="auto"/>
            </w:tcBorders>
            <w:shd w:val="clear" w:color="auto" w:fill="auto"/>
            <w:vAlign w:val="center"/>
            <w:hideMark/>
          </w:tcPr>
          <w:p w14:paraId="6FDFEB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7C4B4D5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ministri</w:t>
            </w:r>
          </w:p>
        </w:tc>
        <w:tc>
          <w:tcPr>
            <w:tcW w:w="330" w:type="pct"/>
            <w:tcBorders>
              <w:top w:val="nil"/>
              <w:left w:val="nil"/>
              <w:bottom w:val="single" w:sz="4" w:space="0" w:color="auto"/>
              <w:right w:val="single" w:sz="4" w:space="0" w:color="auto"/>
            </w:tcBorders>
            <w:shd w:val="clear" w:color="auto" w:fill="auto"/>
            <w:vAlign w:val="center"/>
            <w:hideMark/>
          </w:tcPr>
          <w:p w14:paraId="6FE2D70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Udhëzim në zbatim të masave për sigurinë kibernetike të 5G</w:t>
            </w:r>
          </w:p>
        </w:tc>
        <w:tc>
          <w:tcPr>
            <w:tcW w:w="126" w:type="pct"/>
            <w:tcBorders>
              <w:top w:val="nil"/>
              <w:left w:val="nil"/>
              <w:bottom w:val="single" w:sz="4" w:space="0" w:color="auto"/>
              <w:right w:val="single" w:sz="4" w:space="0" w:color="auto"/>
            </w:tcBorders>
            <w:shd w:val="clear" w:color="auto" w:fill="auto"/>
            <w:vAlign w:val="center"/>
            <w:hideMark/>
          </w:tcPr>
          <w:p w14:paraId="6C60DC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5AF6E4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C9D5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4AD52D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F3282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7FCE8E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246A8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5BC3A6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BE058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8BDAC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F8582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FEDD4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0E7E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0AFBC0B"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402D0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B15721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70C657C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042290C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3D1956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Komisionit (BE) 2020/1307 i datës 18 shtator 2020 mbi një toolbox të përbashkët të Bashkimit për reduktimin e kostos së vendosjes së rrjeteve me kapacitet shumë të lartë dhe sigurimin e aksesit në kohë dhe miqësore me investimet në spektrin radio 5G, për të nxitur lidhjen në mbështetje të rimëkëmbjes ekonomike nga Kriza COVID-19 në Union</w:t>
            </w:r>
          </w:p>
        </w:tc>
        <w:tc>
          <w:tcPr>
            <w:tcW w:w="668" w:type="pct"/>
            <w:tcBorders>
              <w:top w:val="nil"/>
              <w:left w:val="nil"/>
              <w:bottom w:val="single" w:sz="4" w:space="0" w:color="auto"/>
              <w:right w:val="single" w:sz="4" w:space="0" w:color="auto"/>
            </w:tcBorders>
            <w:shd w:val="clear" w:color="auto" w:fill="auto"/>
            <w:vAlign w:val="center"/>
            <w:hideMark/>
          </w:tcPr>
          <w:p w14:paraId="1006DAD6" w14:textId="77777777" w:rsidR="00482167" w:rsidRPr="006D6BE5" w:rsidRDefault="00E63D69" w:rsidP="00A7241A">
            <w:pPr>
              <w:rPr>
                <w:rFonts w:ascii="Arial" w:hAnsi="Arial" w:cs="Arial"/>
                <w:color w:val="0563C1"/>
                <w:sz w:val="4"/>
                <w:szCs w:val="8"/>
                <w:u w:val="single"/>
                <w:lang w:val="sq-AL"/>
              </w:rPr>
            </w:pPr>
            <w:hyperlink r:id="rId108" w:history="1">
              <w:r w:rsidR="00482167" w:rsidRPr="006D6BE5">
                <w:rPr>
                  <w:rFonts w:ascii="Arial" w:hAnsi="Arial" w:cs="Arial"/>
                  <w:color w:val="0563C1"/>
                  <w:sz w:val="4"/>
                  <w:szCs w:val="8"/>
                  <w:u w:val="single"/>
                  <w:lang w:val="sq-AL"/>
                </w:rPr>
                <w:t>https://eur-lex.europa.eu/legal-content/EN/TXT/?uri=CELEX%3A32020H1307</w:t>
              </w:r>
            </w:hyperlink>
          </w:p>
        </w:tc>
        <w:tc>
          <w:tcPr>
            <w:tcW w:w="506" w:type="pct"/>
            <w:tcBorders>
              <w:top w:val="nil"/>
              <w:left w:val="nil"/>
              <w:bottom w:val="single" w:sz="4" w:space="0" w:color="auto"/>
              <w:right w:val="single" w:sz="4" w:space="0" w:color="auto"/>
            </w:tcBorders>
            <w:shd w:val="clear" w:color="auto" w:fill="auto"/>
            <w:vAlign w:val="center"/>
            <w:hideMark/>
          </w:tcPr>
          <w:p w14:paraId="7205FA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6A62AB9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ministri</w:t>
            </w:r>
          </w:p>
        </w:tc>
        <w:tc>
          <w:tcPr>
            <w:tcW w:w="330" w:type="pct"/>
            <w:tcBorders>
              <w:top w:val="nil"/>
              <w:left w:val="nil"/>
              <w:bottom w:val="single" w:sz="4" w:space="0" w:color="auto"/>
              <w:right w:val="single" w:sz="4" w:space="0" w:color="auto"/>
            </w:tcBorders>
            <w:shd w:val="clear" w:color="auto" w:fill="auto"/>
            <w:vAlign w:val="center"/>
            <w:hideMark/>
          </w:tcPr>
          <w:p w14:paraId="665D5F4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Udhëzim në zbatim të masave për reduktimin e kostos së vendosjes së rrjeteve me kapacitet shumë të lartë dhe sigurimin e aksesit në kohë dhe miqësore me investimet në spektrin radio 5G</w:t>
            </w:r>
          </w:p>
        </w:tc>
        <w:tc>
          <w:tcPr>
            <w:tcW w:w="126" w:type="pct"/>
            <w:tcBorders>
              <w:top w:val="nil"/>
              <w:left w:val="nil"/>
              <w:bottom w:val="single" w:sz="4" w:space="0" w:color="auto"/>
              <w:right w:val="single" w:sz="4" w:space="0" w:color="auto"/>
            </w:tcBorders>
            <w:shd w:val="clear" w:color="auto" w:fill="auto"/>
            <w:vAlign w:val="center"/>
            <w:hideMark/>
          </w:tcPr>
          <w:p w14:paraId="271BF8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770E00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6F45ED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68C533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704A1B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61B12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78F41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0DBE83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60B4B8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026FD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D2CB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D5CA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3D440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3CC0A0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0CDD1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2F7981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F91AD2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10.1.Komunikimet Elektronike</w:t>
            </w:r>
          </w:p>
        </w:tc>
        <w:tc>
          <w:tcPr>
            <w:tcW w:w="171" w:type="pct"/>
            <w:tcBorders>
              <w:top w:val="nil"/>
              <w:left w:val="nil"/>
              <w:bottom w:val="single" w:sz="4" w:space="0" w:color="auto"/>
              <w:right w:val="single" w:sz="4" w:space="0" w:color="auto"/>
            </w:tcBorders>
            <w:shd w:val="clear" w:color="auto" w:fill="auto"/>
            <w:vAlign w:val="center"/>
            <w:hideMark/>
          </w:tcPr>
          <w:p w14:paraId="22AC770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4D5E1F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2017/1953 e Parlamentit Evropian dhe e Këshillit e datës 25 tetor 2017 që ndryshon Rregulloret (BE) Nr. 1316/2013 dhe (BE) Nr. 283/2014 në lidhje me promovimin e lidhjes së internetit në komunitetet lokale OJ L 286, 1.11.2017, f. 1–8 32017R1953</w:t>
            </w:r>
          </w:p>
        </w:tc>
        <w:tc>
          <w:tcPr>
            <w:tcW w:w="668" w:type="pct"/>
            <w:tcBorders>
              <w:top w:val="nil"/>
              <w:left w:val="nil"/>
              <w:bottom w:val="single" w:sz="4" w:space="0" w:color="auto"/>
              <w:right w:val="single" w:sz="4" w:space="0" w:color="auto"/>
            </w:tcBorders>
            <w:shd w:val="clear" w:color="auto" w:fill="auto"/>
            <w:vAlign w:val="center"/>
            <w:hideMark/>
          </w:tcPr>
          <w:p w14:paraId="2EFBBAA3" w14:textId="77777777" w:rsidR="00482167" w:rsidRPr="006D6BE5" w:rsidRDefault="00E63D69" w:rsidP="00A7241A">
            <w:pPr>
              <w:rPr>
                <w:rFonts w:ascii="Arial" w:hAnsi="Arial" w:cs="Arial"/>
                <w:color w:val="0563C1"/>
                <w:sz w:val="4"/>
                <w:szCs w:val="8"/>
                <w:u w:val="single"/>
                <w:lang w:val="sq-AL"/>
              </w:rPr>
            </w:pPr>
            <w:hyperlink r:id="rId109" w:history="1">
              <w:r w:rsidR="00482167" w:rsidRPr="006D6BE5">
                <w:rPr>
                  <w:rFonts w:ascii="Arial" w:hAnsi="Arial" w:cs="Arial"/>
                  <w:color w:val="0563C1"/>
                  <w:sz w:val="4"/>
                  <w:szCs w:val="8"/>
                  <w:u w:val="single"/>
                  <w:lang w:val="sq-AL"/>
                </w:rPr>
                <w:t>https://eur-lex.europa.eu/eli/reg/2017/1953/oj</w:t>
              </w:r>
            </w:hyperlink>
          </w:p>
        </w:tc>
        <w:tc>
          <w:tcPr>
            <w:tcW w:w="506" w:type="pct"/>
            <w:tcBorders>
              <w:top w:val="nil"/>
              <w:left w:val="nil"/>
              <w:bottom w:val="single" w:sz="4" w:space="0" w:color="auto"/>
              <w:right w:val="single" w:sz="4" w:space="0" w:color="auto"/>
            </w:tcBorders>
            <w:shd w:val="clear" w:color="auto" w:fill="auto"/>
            <w:vAlign w:val="center"/>
            <w:hideMark/>
          </w:tcPr>
          <w:p w14:paraId="0A33DC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029EF9D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Projektudhezim ministri</w:t>
            </w:r>
          </w:p>
        </w:tc>
        <w:tc>
          <w:tcPr>
            <w:tcW w:w="330" w:type="pct"/>
            <w:tcBorders>
              <w:top w:val="nil"/>
              <w:left w:val="nil"/>
              <w:bottom w:val="single" w:sz="4" w:space="0" w:color="auto"/>
              <w:right w:val="single" w:sz="4" w:space="0" w:color="auto"/>
            </w:tcBorders>
            <w:shd w:val="clear" w:color="auto" w:fill="auto"/>
            <w:vAlign w:val="center"/>
            <w:hideMark/>
          </w:tcPr>
          <w:p w14:paraId="27E255D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Udhëzim në zbatim të promovimit të lidhjes së internetit në komunitetet lokale </w:t>
            </w:r>
          </w:p>
        </w:tc>
        <w:tc>
          <w:tcPr>
            <w:tcW w:w="126" w:type="pct"/>
            <w:tcBorders>
              <w:top w:val="nil"/>
              <w:left w:val="nil"/>
              <w:bottom w:val="single" w:sz="4" w:space="0" w:color="auto"/>
              <w:right w:val="single" w:sz="4" w:space="0" w:color="auto"/>
            </w:tcBorders>
            <w:shd w:val="clear" w:color="auto" w:fill="auto"/>
            <w:vAlign w:val="center"/>
            <w:hideMark/>
          </w:tcPr>
          <w:p w14:paraId="3103D2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7AA3EF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7E18AC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13B01E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66846E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0184F0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41D5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544930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6E3F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397FC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B6A2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8CF5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7ABC5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FE647CA"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5A918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0329C9D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7531149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76F0F79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15577F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2023/138 e datës 21 dhjetor 2022 që përcakton një listë të grupeve specifike të të dhënave me vlerë të lartë dhe masat për publikimin dhe ripërdorimin e tyre</w:t>
            </w:r>
          </w:p>
        </w:tc>
        <w:tc>
          <w:tcPr>
            <w:tcW w:w="668" w:type="pct"/>
            <w:tcBorders>
              <w:top w:val="nil"/>
              <w:left w:val="nil"/>
              <w:bottom w:val="single" w:sz="4" w:space="0" w:color="auto"/>
              <w:right w:val="single" w:sz="4" w:space="0" w:color="auto"/>
            </w:tcBorders>
            <w:shd w:val="clear" w:color="auto" w:fill="auto"/>
            <w:vAlign w:val="center"/>
            <w:hideMark/>
          </w:tcPr>
          <w:p w14:paraId="58BA8069" w14:textId="77777777" w:rsidR="00482167" w:rsidRPr="006D6BE5" w:rsidRDefault="00E63D69" w:rsidP="00A7241A">
            <w:pPr>
              <w:rPr>
                <w:rFonts w:ascii="Arial" w:hAnsi="Arial" w:cs="Arial"/>
                <w:color w:val="0563C1"/>
                <w:sz w:val="4"/>
                <w:szCs w:val="8"/>
                <w:u w:val="single"/>
                <w:lang w:val="sq-AL"/>
              </w:rPr>
            </w:pPr>
            <w:hyperlink r:id="rId110" w:history="1">
              <w:r w:rsidR="00482167" w:rsidRPr="006D6BE5">
                <w:rPr>
                  <w:rFonts w:ascii="Arial" w:hAnsi="Arial" w:cs="Arial"/>
                  <w:color w:val="0563C1"/>
                  <w:sz w:val="4"/>
                  <w:szCs w:val="8"/>
                  <w:u w:val="single"/>
                  <w:lang w:val="sq-AL"/>
                </w:rPr>
                <w:t>https://eur-lex.europa.eu/legal-content/EN/TXT/?uri=uriserv%3AOJ.L_.2023.019.01.0043.01.ENG&amp;toc=OJ%3AL%3A2023%3A019%3ATOC</w:t>
              </w:r>
            </w:hyperlink>
          </w:p>
        </w:tc>
        <w:tc>
          <w:tcPr>
            <w:tcW w:w="506" w:type="pct"/>
            <w:tcBorders>
              <w:top w:val="nil"/>
              <w:left w:val="nil"/>
              <w:bottom w:val="single" w:sz="4" w:space="0" w:color="auto"/>
              <w:right w:val="single" w:sz="4" w:space="0" w:color="auto"/>
            </w:tcBorders>
            <w:shd w:val="clear" w:color="auto" w:fill="auto"/>
            <w:vAlign w:val="center"/>
            <w:hideMark/>
          </w:tcPr>
          <w:p w14:paraId="05DD30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18C691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"Per miratimin e listës së grupeve specifike të të dhënave me vlerë të lartë dhe masat për publikimin dhe ripërdorimin e tyre"</w:t>
            </w:r>
          </w:p>
        </w:tc>
        <w:tc>
          <w:tcPr>
            <w:tcW w:w="330" w:type="pct"/>
            <w:tcBorders>
              <w:top w:val="nil"/>
              <w:left w:val="nil"/>
              <w:bottom w:val="single" w:sz="4" w:space="0" w:color="auto"/>
              <w:right w:val="single" w:sz="4" w:space="0" w:color="auto"/>
            </w:tcBorders>
            <w:shd w:val="clear" w:color="auto" w:fill="auto"/>
            <w:vAlign w:val="center"/>
            <w:hideMark/>
          </w:tcPr>
          <w:p w14:paraId="52A8379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në zbatim të ligjit për të dhënat e hapura dhe ripërdorimin e tyre</w:t>
            </w:r>
          </w:p>
        </w:tc>
        <w:tc>
          <w:tcPr>
            <w:tcW w:w="126" w:type="pct"/>
            <w:tcBorders>
              <w:top w:val="nil"/>
              <w:left w:val="nil"/>
              <w:bottom w:val="single" w:sz="4" w:space="0" w:color="auto"/>
              <w:right w:val="single" w:sz="4" w:space="0" w:color="auto"/>
            </w:tcBorders>
            <w:shd w:val="clear" w:color="auto" w:fill="auto"/>
            <w:vAlign w:val="center"/>
            <w:hideMark/>
          </w:tcPr>
          <w:p w14:paraId="1A68E0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47141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47DF95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677CE3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3D3A7D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07E37F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D9972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42CFDA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AF810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99DD0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65940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91009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74728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AA7E18"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05D16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4E26D2A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26CCC6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62EB576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7985C4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 i koordinuar mbi Inteligjencen Artificiale 2021 Review – COM(2021)205</w:t>
            </w:r>
          </w:p>
        </w:tc>
        <w:tc>
          <w:tcPr>
            <w:tcW w:w="668" w:type="pct"/>
            <w:tcBorders>
              <w:top w:val="nil"/>
              <w:left w:val="nil"/>
              <w:bottom w:val="single" w:sz="4" w:space="0" w:color="auto"/>
              <w:right w:val="single" w:sz="4" w:space="0" w:color="auto"/>
            </w:tcBorders>
            <w:shd w:val="clear" w:color="auto" w:fill="auto"/>
            <w:vAlign w:val="center"/>
            <w:hideMark/>
          </w:tcPr>
          <w:p w14:paraId="1BD6A652" w14:textId="77777777" w:rsidR="00482167" w:rsidRPr="006D6BE5" w:rsidRDefault="00E63D69" w:rsidP="00A7241A">
            <w:pPr>
              <w:rPr>
                <w:rFonts w:ascii="Arial" w:hAnsi="Arial" w:cs="Arial"/>
                <w:color w:val="2F75B5"/>
                <w:sz w:val="4"/>
                <w:szCs w:val="8"/>
                <w:u w:val="single"/>
                <w:lang w:val="sq-AL"/>
              </w:rPr>
            </w:pPr>
            <w:hyperlink r:id="rId111" w:history="1">
              <w:r w:rsidR="00482167" w:rsidRPr="006D6BE5">
                <w:rPr>
                  <w:rFonts w:ascii="Arial" w:hAnsi="Arial" w:cs="Arial"/>
                  <w:color w:val="2F75B5"/>
                  <w:sz w:val="4"/>
                  <w:szCs w:val="8"/>
                  <w:u w:val="single"/>
                  <w:lang w:val="sq-AL"/>
                </w:rPr>
                <w:t>https://eur-lex.europa.eu/legal-content/EN/ALL/?uri=COM%3A2021%3A205%3AFIN</w:t>
              </w:r>
            </w:hyperlink>
          </w:p>
        </w:tc>
        <w:tc>
          <w:tcPr>
            <w:tcW w:w="506" w:type="pct"/>
            <w:tcBorders>
              <w:top w:val="nil"/>
              <w:left w:val="nil"/>
              <w:bottom w:val="single" w:sz="4" w:space="0" w:color="auto"/>
              <w:right w:val="single" w:sz="4" w:space="0" w:color="auto"/>
            </w:tcBorders>
            <w:shd w:val="clear" w:color="auto" w:fill="auto"/>
            <w:vAlign w:val="center"/>
            <w:hideMark/>
          </w:tcPr>
          <w:p w14:paraId="14B7554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850700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mbi "Planin e koordinuar mbi Inteligjencën Artificiale"</w:t>
            </w:r>
          </w:p>
        </w:tc>
        <w:tc>
          <w:tcPr>
            <w:tcW w:w="330" w:type="pct"/>
            <w:tcBorders>
              <w:top w:val="nil"/>
              <w:left w:val="nil"/>
              <w:bottom w:val="single" w:sz="4" w:space="0" w:color="auto"/>
              <w:right w:val="single" w:sz="4" w:space="0" w:color="auto"/>
            </w:tcBorders>
            <w:shd w:val="clear" w:color="auto" w:fill="auto"/>
            <w:vAlign w:val="center"/>
            <w:hideMark/>
          </w:tcPr>
          <w:p w14:paraId="20E7469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Përafrimi dhe zbatimi i Planeve të Koordinuara të Inteligjencës Artificiale në përputhje me mënyrën se si Bashkimi Evropian po promovon dhe zhvillon fushën e AI, duke përfshirë hulumtimin, inovacionin teknologjik, standardet etike dhe politikat e përshtatshme për zhvillimin e inteligjencës artificiale në kontekstin e BE-së.</w:t>
            </w:r>
          </w:p>
        </w:tc>
        <w:tc>
          <w:tcPr>
            <w:tcW w:w="126" w:type="pct"/>
            <w:tcBorders>
              <w:top w:val="nil"/>
              <w:left w:val="nil"/>
              <w:bottom w:val="single" w:sz="4" w:space="0" w:color="auto"/>
              <w:right w:val="single" w:sz="4" w:space="0" w:color="auto"/>
            </w:tcBorders>
            <w:shd w:val="clear" w:color="auto" w:fill="auto"/>
            <w:vAlign w:val="center"/>
            <w:hideMark/>
          </w:tcPr>
          <w:p w14:paraId="638CCF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2BF1D8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781198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AKSHI</w:t>
            </w:r>
          </w:p>
        </w:tc>
        <w:tc>
          <w:tcPr>
            <w:tcW w:w="113" w:type="pct"/>
            <w:tcBorders>
              <w:top w:val="nil"/>
              <w:left w:val="nil"/>
              <w:bottom w:val="single" w:sz="4" w:space="0" w:color="auto"/>
              <w:right w:val="single" w:sz="4" w:space="0" w:color="auto"/>
            </w:tcBorders>
            <w:shd w:val="clear" w:color="auto" w:fill="auto"/>
            <w:vAlign w:val="center"/>
            <w:hideMark/>
          </w:tcPr>
          <w:p w14:paraId="561136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6D67D9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4419A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68DE6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auto" w:fill="auto"/>
            <w:vAlign w:val="center"/>
            <w:hideMark/>
          </w:tcPr>
          <w:p w14:paraId="2CD55C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04A3B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AE6A0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B33E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37640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A91F6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36E22C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3B420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047418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8A9839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5A298CB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Elektronike</w:t>
            </w:r>
          </w:p>
        </w:tc>
        <w:tc>
          <w:tcPr>
            <w:tcW w:w="661" w:type="pct"/>
            <w:tcBorders>
              <w:top w:val="nil"/>
              <w:left w:val="nil"/>
              <w:bottom w:val="single" w:sz="4" w:space="0" w:color="auto"/>
              <w:right w:val="single" w:sz="4" w:space="0" w:color="auto"/>
            </w:tcBorders>
            <w:shd w:val="clear" w:color="auto" w:fill="auto"/>
            <w:vAlign w:val="center"/>
            <w:hideMark/>
          </w:tcPr>
          <w:p w14:paraId="070770E5" w14:textId="3863B37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2021/1173 date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13 Korrik 2021 mbi ngritjen e Struktures se Perbashket te Ndermarrjes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Europiane per Kompjuterat me Performace te Larte e cila zevendeson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Rregulloren (BE) 2018/1488 , OJ L 256, 19.07.2021, p. 3–51</w:t>
            </w:r>
          </w:p>
        </w:tc>
        <w:tc>
          <w:tcPr>
            <w:tcW w:w="668" w:type="pct"/>
            <w:tcBorders>
              <w:top w:val="nil"/>
              <w:left w:val="nil"/>
              <w:bottom w:val="single" w:sz="4" w:space="0" w:color="auto"/>
              <w:right w:val="single" w:sz="4" w:space="0" w:color="auto"/>
            </w:tcBorders>
            <w:shd w:val="clear" w:color="auto" w:fill="auto"/>
            <w:vAlign w:val="center"/>
            <w:hideMark/>
          </w:tcPr>
          <w:p w14:paraId="4382A7B4" w14:textId="77777777" w:rsidR="00482167" w:rsidRPr="006D6BE5" w:rsidRDefault="00E63D69" w:rsidP="00A7241A">
            <w:pPr>
              <w:rPr>
                <w:rFonts w:ascii="Arial" w:hAnsi="Arial" w:cs="Arial"/>
                <w:color w:val="2F75B5"/>
                <w:sz w:val="4"/>
                <w:szCs w:val="8"/>
                <w:u w:val="single"/>
                <w:lang w:val="sq-AL"/>
              </w:rPr>
            </w:pPr>
            <w:hyperlink r:id="rId112" w:history="1">
              <w:r w:rsidR="00482167" w:rsidRPr="006D6BE5">
                <w:rPr>
                  <w:rFonts w:ascii="Arial" w:hAnsi="Arial" w:cs="Arial"/>
                  <w:color w:val="2F75B5"/>
                  <w:sz w:val="4"/>
                  <w:szCs w:val="8"/>
                  <w:u w:val="single"/>
                  <w:lang w:val="sq-AL"/>
                </w:rPr>
                <w:t>https://eur-lex.europa.eu/legal-content/EN/TXT/?uri=uriserv%3AOJ.L_.2021.256.01.0003.01.ENG&amp;toc=OJ%3AL%3A2021%3A256%3ATOC</w:t>
              </w:r>
            </w:hyperlink>
          </w:p>
        </w:tc>
        <w:tc>
          <w:tcPr>
            <w:tcW w:w="506" w:type="pct"/>
            <w:tcBorders>
              <w:top w:val="nil"/>
              <w:left w:val="nil"/>
              <w:bottom w:val="single" w:sz="4" w:space="0" w:color="auto"/>
              <w:right w:val="single" w:sz="4" w:space="0" w:color="auto"/>
            </w:tcBorders>
            <w:shd w:val="clear" w:color="auto" w:fill="auto"/>
            <w:vAlign w:val="center"/>
            <w:hideMark/>
          </w:tcPr>
          <w:p w14:paraId="06688C2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3D6170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"Rregullorja për ngritjen dhe funksionimin e Strukturës së HPC"</w:t>
            </w:r>
          </w:p>
        </w:tc>
        <w:tc>
          <w:tcPr>
            <w:tcW w:w="330" w:type="pct"/>
            <w:tcBorders>
              <w:top w:val="nil"/>
              <w:left w:val="nil"/>
              <w:bottom w:val="single" w:sz="4" w:space="0" w:color="auto"/>
              <w:right w:val="single" w:sz="4" w:space="0" w:color="auto"/>
            </w:tcBorders>
            <w:shd w:val="clear" w:color="auto" w:fill="auto"/>
            <w:vAlign w:val="center"/>
            <w:hideMark/>
          </w:tcPr>
          <w:p w14:paraId="773F27D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Nivel i lartë i përafrimit me strukturën Euro HPC, duke përdorur teknologjitë më moderne dhe burimet e larta të kompjuterizimit, për të zhvilluar dhe implementuar projekte të ndryshme shkencore dhe inovative, duke integruar potencialin e lartë të llogaritjes së lartë në hulumtimin shkencor dhe zhvillimin e aplikacioneve të avancuara në shumë fusha, përfshirë hulumtimin shkencor, zhvillimin e softuerit, modelimin numerik, analizën e të dhënave të mëdha, inteligjencën artificiale dhe sfidat e tjera komplekse kompjuterike.</w:t>
            </w:r>
          </w:p>
        </w:tc>
        <w:tc>
          <w:tcPr>
            <w:tcW w:w="126" w:type="pct"/>
            <w:tcBorders>
              <w:top w:val="nil"/>
              <w:left w:val="nil"/>
              <w:bottom w:val="single" w:sz="4" w:space="0" w:color="auto"/>
              <w:right w:val="single" w:sz="4" w:space="0" w:color="auto"/>
            </w:tcBorders>
            <w:shd w:val="clear" w:color="auto" w:fill="auto"/>
            <w:vAlign w:val="center"/>
            <w:hideMark/>
          </w:tcPr>
          <w:p w14:paraId="4CE910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242C7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auto" w:fill="auto"/>
            <w:vAlign w:val="center"/>
            <w:hideMark/>
          </w:tcPr>
          <w:p w14:paraId="587C0B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AKSHI</w:t>
            </w:r>
          </w:p>
        </w:tc>
        <w:tc>
          <w:tcPr>
            <w:tcW w:w="113" w:type="pct"/>
            <w:tcBorders>
              <w:top w:val="nil"/>
              <w:left w:val="nil"/>
              <w:bottom w:val="single" w:sz="4" w:space="0" w:color="auto"/>
              <w:right w:val="single" w:sz="4" w:space="0" w:color="auto"/>
            </w:tcBorders>
            <w:shd w:val="clear" w:color="auto" w:fill="auto"/>
            <w:vAlign w:val="center"/>
            <w:hideMark/>
          </w:tcPr>
          <w:p w14:paraId="29E4A2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3478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A4D00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70D9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0ECC2A42" w14:textId="32BBBCA0"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5,000 </w:t>
            </w:r>
          </w:p>
        </w:tc>
        <w:tc>
          <w:tcPr>
            <w:tcW w:w="117" w:type="pct"/>
            <w:tcBorders>
              <w:top w:val="nil"/>
              <w:left w:val="nil"/>
              <w:bottom w:val="single" w:sz="4" w:space="0" w:color="auto"/>
              <w:right w:val="single" w:sz="4" w:space="0" w:color="auto"/>
            </w:tcBorders>
            <w:shd w:val="clear" w:color="auto" w:fill="auto"/>
            <w:vAlign w:val="center"/>
            <w:hideMark/>
          </w:tcPr>
          <w:p w14:paraId="497DEA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E9E4B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B7A5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64D9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8F6E9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8C328F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33808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7A80DE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52AE5C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19BE1BB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2D39670A" w14:textId="21B27CEE"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Busulla Digjitale 2030: Mënyra Evropiane për Dekadën Digjitale . Komunikata COM/2021/118 e Parlamentit dhe Keshillit Evropian 22 Dhjetor 2022</w:t>
            </w:r>
          </w:p>
        </w:tc>
        <w:tc>
          <w:tcPr>
            <w:tcW w:w="668" w:type="pct"/>
            <w:tcBorders>
              <w:top w:val="nil"/>
              <w:left w:val="nil"/>
              <w:bottom w:val="single" w:sz="4" w:space="0" w:color="auto"/>
              <w:right w:val="single" w:sz="4" w:space="0" w:color="auto"/>
            </w:tcBorders>
            <w:shd w:val="clear" w:color="auto" w:fill="auto"/>
            <w:vAlign w:val="center"/>
            <w:hideMark/>
          </w:tcPr>
          <w:p w14:paraId="0E32A947" w14:textId="77777777" w:rsidR="00482167" w:rsidRPr="006D6BE5" w:rsidRDefault="00E63D69" w:rsidP="00A7241A">
            <w:pPr>
              <w:rPr>
                <w:rFonts w:ascii="Arial" w:hAnsi="Arial" w:cs="Arial"/>
                <w:color w:val="0563C1"/>
                <w:sz w:val="4"/>
                <w:szCs w:val="8"/>
                <w:u w:val="single"/>
                <w:lang w:val="sq-AL"/>
              </w:rPr>
            </w:pPr>
            <w:hyperlink r:id="rId113" w:history="1">
              <w:r w:rsidR="00482167" w:rsidRPr="006D6BE5">
                <w:rPr>
                  <w:rFonts w:ascii="Arial" w:hAnsi="Arial" w:cs="Arial"/>
                  <w:color w:val="0563C1"/>
                  <w:sz w:val="4"/>
                  <w:szCs w:val="8"/>
                  <w:u w:val="single"/>
                  <w:lang w:val="sq-AL"/>
                </w:rPr>
                <w:t>https://eur-lex.europa.eu/legal-content/EN/TXT/?uri=CELEX%3A32022D2481</w:t>
              </w:r>
            </w:hyperlink>
          </w:p>
        </w:tc>
        <w:tc>
          <w:tcPr>
            <w:tcW w:w="506" w:type="pct"/>
            <w:tcBorders>
              <w:top w:val="nil"/>
              <w:left w:val="nil"/>
              <w:bottom w:val="single" w:sz="4" w:space="0" w:color="auto"/>
              <w:right w:val="single" w:sz="4" w:space="0" w:color="auto"/>
            </w:tcBorders>
            <w:shd w:val="clear" w:color="auto" w:fill="auto"/>
            <w:vAlign w:val="center"/>
            <w:hideMark/>
          </w:tcPr>
          <w:p w14:paraId="4894B69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C2CFE9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Projektudhëzim mbi "Busullën Digjitale 2030: Mënyra Evropiane për Dekadën Digjitale"</w:t>
            </w:r>
          </w:p>
        </w:tc>
        <w:tc>
          <w:tcPr>
            <w:tcW w:w="330" w:type="pct"/>
            <w:tcBorders>
              <w:top w:val="nil"/>
              <w:left w:val="nil"/>
              <w:bottom w:val="single" w:sz="4" w:space="0" w:color="auto"/>
              <w:right w:val="single" w:sz="4" w:space="0" w:color="auto"/>
            </w:tcBorders>
            <w:shd w:val="clear" w:color="auto" w:fill="auto"/>
            <w:vAlign w:val="center"/>
            <w:hideMark/>
          </w:tcPr>
          <w:p w14:paraId="352EE05C" w14:textId="050B8E5E" w:rsidR="00482167" w:rsidRPr="006D6BE5" w:rsidRDefault="00482167" w:rsidP="00A7241A">
            <w:pPr>
              <w:rPr>
                <w:rFonts w:ascii="Arial" w:hAnsi="Arial" w:cs="Arial"/>
                <w:sz w:val="4"/>
                <w:szCs w:val="8"/>
                <w:lang w:val="sq-AL"/>
              </w:rPr>
            </w:pPr>
            <w:r w:rsidRPr="006D6BE5">
              <w:rPr>
                <w:rFonts w:ascii="Arial" w:hAnsi="Arial" w:cs="Arial"/>
                <w:sz w:val="4"/>
                <w:szCs w:val="8"/>
                <w:lang w:val="sq-AL"/>
              </w:rPr>
              <w:t>Nëpërmjet udhëzimit synohet përafrimi me Busullën Digjitale 2030: Mënyra Evropiane për Dekadën Digjitale . Komunikata COM/2021/118.</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626201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64E1D5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46DB0F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AKSHI</w:t>
            </w:r>
          </w:p>
        </w:tc>
        <w:tc>
          <w:tcPr>
            <w:tcW w:w="113" w:type="pct"/>
            <w:tcBorders>
              <w:top w:val="nil"/>
              <w:left w:val="nil"/>
              <w:bottom w:val="single" w:sz="4" w:space="0" w:color="auto"/>
              <w:right w:val="single" w:sz="4" w:space="0" w:color="auto"/>
            </w:tcBorders>
            <w:shd w:val="clear" w:color="auto" w:fill="auto"/>
            <w:vAlign w:val="center"/>
            <w:hideMark/>
          </w:tcPr>
          <w:p w14:paraId="5D016F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B1593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5D82B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0FD86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150</w:t>
            </w:r>
          </w:p>
        </w:tc>
        <w:tc>
          <w:tcPr>
            <w:tcW w:w="126" w:type="pct"/>
            <w:tcBorders>
              <w:top w:val="nil"/>
              <w:left w:val="nil"/>
              <w:bottom w:val="single" w:sz="4" w:space="0" w:color="auto"/>
              <w:right w:val="single" w:sz="4" w:space="0" w:color="auto"/>
            </w:tcBorders>
            <w:shd w:val="clear" w:color="auto" w:fill="auto"/>
            <w:vAlign w:val="center"/>
            <w:hideMark/>
          </w:tcPr>
          <w:p w14:paraId="491395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F61B4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24E35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D60A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FA956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E7926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39240A0" w14:textId="77777777" w:rsidTr="00A7241A">
        <w:trPr>
          <w:trHeight w:val="20"/>
        </w:trPr>
        <w:tc>
          <w:tcPr>
            <w:tcW w:w="165" w:type="pct"/>
            <w:tcBorders>
              <w:top w:val="nil"/>
              <w:left w:val="single" w:sz="4" w:space="0" w:color="auto"/>
              <w:bottom w:val="single" w:sz="4" w:space="0" w:color="auto"/>
              <w:right w:val="single" w:sz="4" w:space="0" w:color="auto"/>
            </w:tcBorders>
            <w:shd w:val="clear" w:color="000000" w:fill="FFFFFF"/>
            <w:vAlign w:val="center"/>
            <w:hideMark/>
          </w:tcPr>
          <w:p w14:paraId="620672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000000" w:fill="FFFFFF"/>
            <w:vAlign w:val="center"/>
            <w:hideMark/>
          </w:tcPr>
          <w:p w14:paraId="2C5527E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000000" w:fill="FFFFFF"/>
            <w:vAlign w:val="center"/>
            <w:hideMark/>
          </w:tcPr>
          <w:p w14:paraId="59E82FB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000000" w:fill="FFFFFF"/>
            <w:vAlign w:val="center"/>
            <w:hideMark/>
          </w:tcPr>
          <w:p w14:paraId="3B7C64A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000000" w:fill="FFFFFF"/>
            <w:vAlign w:val="center"/>
            <w:hideMark/>
          </w:tcPr>
          <w:p w14:paraId="2E2EA3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2016/2102 e Parlamentit dhe Këshillit Evropian, “Mbi aksesin e faqeve të internetit dhe aplikacioneve celulare të organeve të sektorit publik”</w:t>
            </w:r>
          </w:p>
        </w:tc>
        <w:tc>
          <w:tcPr>
            <w:tcW w:w="668" w:type="pct"/>
            <w:tcBorders>
              <w:top w:val="nil"/>
              <w:left w:val="nil"/>
              <w:bottom w:val="single" w:sz="4" w:space="0" w:color="auto"/>
              <w:right w:val="single" w:sz="4" w:space="0" w:color="auto"/>
            </w:tcBorders>
            <w:shd w:val="clear" w:color="auto" w:fill="auto"/>
            <w:vAlign w:val="center"/>
            <w:hideMark/>
          </w:tcPr>
          <w:p w14:paraId="4E311224" w14:textId="77777777" w:rsidR="00482167" w:rsidRPr="006D6BE5" w:rsidRDefault="00E63D69" w:rsidP="00A7241A">
            <w:pPr>
              <w:rPr>
                <w:rFonts w:ascii="Arial" w:hAnsi="Arial" w:cs="Arial"/>
                <w:color w:val="0563C1"/>
                <w:sz w:val="4"/>
                <w:szCs w:val="8"/>
                <w:u w:val="single"/>
                <w:lang w:val="sq-AL"/>
              </w:rPr>
            </w:pPr>
            <w:hyperlink r:id="rId114" w:history="1">
              <w:r w:rsidR="00482167" w:rsidRPr="006D6BE5">
                <w:rPr>
                  <w:rFonts w:ascii="Arial" w:hAnsi="Arial" w:cs="Arial"/>
                  <w:color w:val="0563C1"/>
                  <w:sz w:val="4"/>
                  <w:szCs w:val="8"/>
                  <w:u w:val="single"/>
                  <w:lang w:val="sq-AL"/>
                </w:rPr>
                <w:t>https://eur-lex.europa.eu/legal-content/EN/TXT/HTML/?uri=CELEX:52022IP0339</w:t>
              </w:r>
            </w:hyperlink>
          </w:p>
        </w:tc>
        <w:tc>
          <w:tcPr>
            <w:tcW w:w="506" w:type="pct"/>
            <w:tcBorders>
              <w:top w:val="nil"/>
              <w:left w:val="nil"/>
              <w:bottom w:val="single" w:sz="4" w:space="0" w:color="auto"/>
              <w:right w:val="single" w:sz="4" w:space="0" w:color="auto"/>
            </w:tcBorders>
            <w:shd w:val="clear" w:color="000000" w:fill="FFFFFF"/>
            <w:vAlign w:val="center"/>
            <w:hideMark/>
          </w:tcPr>
          <w:p w14:paraId="4B91DDA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000000" w:fill="FFFFFF"/>
            <w:vAlign w:val="center"/>
            <w:hideMark/>
          </w:tcPr>
          <w:p w14:paraId="35F1ED3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“Mbi aksesin e faqeve të internetit dhe aplikacioneve celulare të organeve të sektorit publik”</w:t>
            </w:r>
          </w:p>
        </w:tc>
        <w:tc>
          <w:tcPr>
            <w:tcW w:w="330" w:type="pct"/>
            <w:tcBorders>
              <w:top w:val="nil"/>
              <w:left w:val="nil"/>
              <w:bottom w:val="single" w:sz="4" w:space="0" w:color="auto"/>
              <w:right w:val="single" w:sz="4" w:space="0" w:color="auto"/>
            </w:tcBorders>
            <w:shd w:val="clear" w:color="000000" w:fill="FFFFFF"/>
            <w:vAlign w:val="center"/>
            <w:hideMark/>
          </w:tcPr>
          <w:p w14:paraId="1D26601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Nëpërmjet projektvendimiti do të lehtësohet aksesi në shërbimet digjitale për të gjithë qytetarët. Përveç kësaj, do të bëhen rregullime teknike për të siguruar që portali e-Albania të jetë në përputhje me Udhëzimet për Aksesueshmërinë e Përmbajtjes së Uebit (WCAG)</w:t>
            </w:r>
          </w:p>
        </w:tc>
        <w:tc>
          <w:tcPr>
            <w:tcW w:w="126" w:type="pct"/>
            <w:tcBorders>
              <w:top w:val="nil"/>
              <w:left w:val="nil"/>
              <w:bottom w:val="single" w:sz="4" w:space="0" w:color="auto"/>
              <w:right w:val="single" w:sz="4" w:space="0" w:color="auto"/>
            </w:tcBorders>
            <w:shd w:val="clear" w:color="000000" w:fill="FFFFFF"/>
            <w:vAlign w:val="center"/>
            <w:hideMark/>
          </w:tcPr>
          <w:p w14:paraId="644188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000000" w:fill="FFFFFF"/>
            <w:vAlign w:val="center"/>
            <w:hideMark/>
          </w:tcPr>
          <w:p w14:paraId="4118EC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000000" w:fill="FFFFFF"/>
            <w:vAlign w:val="center"/>
            <w:hideMark/>
          </w:tcPr>
          <w:p w14:paraId="743FEF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AKSHI</w:t>
            </w:r>
          </w:p>
        </w:tc>
        <w:tc>
          <w:tcPr>
            <w:tcW w:w="113" w:type="pct"/>
            <w:tcBorders>
              <w:top w:val="nil"/>
              <w:left w:val="nil"/>
              <w:bottom w:val="single" w:sz="4" w:space="0" w:color="auto"/>
              <w:right w:val="single" w:sz="4" w:space="0" w:color="auto"/>
            </w:tcBorders>
            <w:shd w:val="clear" w:color="000000" w:fill="FFFFFF"/>
            <w:vAlign w:val="center"/>
            <w:hideMark/>
          </w:tcPr>
          <w:p w14:paraId="53D981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000000" w:fill="FFFFFF"/>
            <w:vAlign w:val="center"/>
            <w:hideMark/>
          </w:tcPr>
          <w:p w14:paraId="5A5C49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17DCD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2530A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auto" w:fill="auto"/>
            <w:vAlign w:val="center"/>
            <w:hideMark/>
          </w:tcPr>
          <w:p w14:paraId="76D5B3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F4D89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CB18F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2E3E7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27A4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7DBBA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2AF620"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CC5E0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E4A94D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E3DA79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5E534CC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3CB66B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2018/1807 e Parlamentit Evropian dhe e Këshillit e datës 14 nëntor 2018 mbi një kornizë për levizjen e lirë të të dhënave jopersonale në Bashkimin Evropian.</w:t>
            </w:r>
          </w:p>
        </w:tc>
        <w:tc>
          <w:tcPr>
            <w:tcW w:w="668" w:type="pct"/>
            <w:tcBorders>
              <w:top w:val="nil"/>
              <w:left w:val="nil"/>
              <w:bottom w:val="single" w:sz="4" w:space="0" w:color="auto"/>
              <w:right w:val="single" w:sz="4" w:space="0" w:color="auto"/>
            </w:tcBorders>
            <w:shd w:val="clear" w:color="auto" w:fill="auto"/>
            <w:vAlign w:val="center"/>
            <w:hideMark/>
          </w:tcPr>
          <w:p w14:paraId="3D537A8F"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https://eur-lex.europa.eu/legal-content/EN/TXT/?uri=celex%3A32018R1807</w:t>
            </w:r>
          </w:p>
        </w:tc>
        <w:tc>
          <w:tcPr>
            <w:tcW w:w="506" w:type="pct"/>
            <w:tcBorders>
              <w:top w:val="nil"/>
              <w:left w:val="nil"/>
              <w:bottom w:val="single" w:sz="4" w:space="0" w:color="auto"/>
              <w:right w:val="single" w:sz="4" w:space="0" w:color="auto"/>
            </w:tcBorders>
            <w:shd w:val="clear" w:color="auto" w:fill="auto"/>
            <w:vAlign w:val="center"/>
            <w:hideMark/>
          </w:tcPr>
          <w:p w14:paraId="469191E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5997D9A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Projektligji "Për qarkullimin e lirë të të dhënave jopersonale"</w:t>
            </w:r>
          </w:p>
        </w:tc>
        <w:tc>
          <w:tcPr>
            <w:tcW w:w="330" w:type="pct"/>
            <w:tcBorders>
              <w:top w:val="nil"/>
              <w:left w:val="nil"/>
              <w:bottom w:val="single" w:sz="4" w:space="0" w:color="auto"/>
              <w:right w:val="single" w:sz="4" w:space="0" w:color="auto"/>
            </w:tcBorders>
            <w:shd w:val="clear" w:color="auto" w:fill="auto"/>
            <w:vAlign w:val="center"/>
            <w:hideMark/>
          </w:tcPr>
          <w:p w14:paraId="3184FFF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Ligj në zbatim të kornizës për levizjen e lirë të të dhënave jopersonale</w:t>
            </w:r>
          </w:p>
        </w:tc>
        <w:tc>
          <w:tcPr>
            <w:tcW w:w="126" w:type="pct"/>
            <w:tcBorders>
              <w:top w:val="nil"/>
              <w:left w:val="nil"/>
              <w:bottom w:val="single" w:sz="4" w:space="0" w:color="auto"/>
              <w:right w:val="single" w:sz="4" w:space="0" w:color="auto"/>
            </w:tcBorders>
            <w:shd w:val="clear" w:color="auto" w:fill="auto"/>
            <w:vAlign w:val="center"/>
            <w:hideMark/>
          </w:tcPr>
          <w:p w14:paraId="565C27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285ACC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3E723B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auto" w:fill="auto"/>
            <w:vAlign w:val="center"/>
            <w:hideMark/>
          </w:tcPr>
          <w:p w14:paraId="3F6E5C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07E934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187EAB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4E8D7E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26" w:type="pct"/>
            <w:tcBorders>
              <w:top w:val="nil"/>
              <w:left w:val="nil"/>
              <w:bottom w:val="single" w:sz="4" w:space="0" w:color="auto"/>
              <w:right w:val="single" w:sz="4" w:space="0" w:color="auto"/>
            </w:tcBorders>
            <w:shd w:val="clear" w:color="auto" w:fill="auto"/>
            <w:vAlign w:val="center"/>
            <w:hideMark/>
          </w:tcPr>
          <w:p w14:paraId="25369B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17" w:type="pct"/>
            <w:tcBorders>
              <w:top w:val="nil"/>
              <w:left w:val="nil"/>
              <w:bottom w:val="single" w:sz="4" w:space="0" w:color="auto"/>
              <w:right w:val="single" w:sz="4" w:space="0" w:color="auto"/>
            </w:tcBorders>
            <w:shd w:val="clear" w:color="auto" w:fill="auto"/>
            <w:vAlign w:val="center"/>
            <w:hideMark/>
          </w:tcPr>
          <w:p w14:paraId="3AE6D1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3F5B5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382D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327C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DD631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0224008"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43120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7BA8CC7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15BA228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20CBF27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4B2142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Parlamentit Evropian dhe Këshillit Evropian nr.910/2014, “Për identifikimin elektronik dhe shërbimet e besuara në lidhje me transaksionet elektronike në tregun e brendshëm dhe shfuqizimin e Direktivës 1993/93/KE” (eIDAS)</w:t>
            </w:r>
          </w:p>
        </w:tc>
        <w:tc>
          <w:tcPr>
            <w:tcW w:w="668" w:type="pct"/>
            <w:tcBorders>
              <w:top w:val="nil"/>
              <w:left w:val="nil"/>
              <w:bottom w:val="single" w:sz="4" w:space="0" w:color="auto"/>
              <w:right w:val="single" w:sz="4" w:space="0" w:color="auto"/>
            </w:tcBorders>
            <w:shd w:val="clear" w:color="auto" w:fill="auto"/>
            <w:vAlign w:val="center"/>
            <w:hideMark/>
          </w:tcPr>
          <w:p w14:paraId="5607CE53" w14:textId="77777777" w:rsidR="00482167" w:rsidRPr="006D6BE5" w:rsidRDefault="00E63D69" w:rsidP="00A7241A">
            <w:pPr>
              <w:rPr>
                <w:rFonts w:ascii="Arial" w:hAnsi="Arial" w:cs="Arial"/>
                <w:color w:val="0563C1"/>
                <w:sz w:val="4"/>
                <w:szCs w:val="8"/>
                <w:u w:val="single"/>
                <w:lang w:val="sq-AL"/>
              </w:rPr>
            </w:pPr>
            <w:hyperlink r:id="rId115" w:history="1">
              <w:r w:rsidR="00482167" w:rsidRPr="006D6BE5">
                <w:rPr>
                  <w:rFonts w:ascii="Arial" w:hAnsi="Arial" w:cs="Arial"/>
                  <w:color w:val="0563C1"/>
                  <w:sz w:val="4"/>
                  <w:szCs w:val="8"/>
                  <w:u w:val="single"/>
                  <w:lang w:val="sq-AL"/>
                </w:rPr>
                <w:t>https://eur-lex.europa.eu/legal-content/EN/TXT/PDF/?uri=CELEX:32014R0910</w:t>
              </w:r>
            </w:hyperlink>
          </w:p>
        </w:tc>
        <w:tc>
          <w:tcPr>
            <w:tcW w:w="506" w:type="pct"/>
            <w:tcBorders>
              <w:top w:val="nil"/>
              <w:left w:val="nil"/>
              <w:bottom w:val="single" w:sz="4" w:space="0" w:color="auto"/>
              <w:right w:val="single" w:sz="4" w:space="0" w:color="auto"/>
            </w:tcBorders>
            <w:shd w:val="clear" w:color="auto" w:fill="auto"/>
            <w:vAlign w:val="center"/>
            <w:hideMark/>
          </w:tcPr>
          <w:p w14:paraId="04831A1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48C0F2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Projektlgji "Për identifikimin elektronik dhe shërbimet e besuara" </w:t>
            </w:r>
          </w:p>
        </w:tc>
        <w:tc>
          <w:tcPr>
            <w:tcW w:w="330" w:type="pct"/>
            <w:tcBorders>
              <w:top w:val="nil"/>
              <w:left w:val="nil"/>
              <w:bottom w:val="single" w:sz="4" w:space="0" w:color="auto"/>
              <w:right w:val="single" w:sz="4" w:space="0" w:color="auto"/>
            </w:tcBorders>
            <w:shd w:val="clear" w:color="auto" w:fill="auto"/>
            <w:vAlign w:val="center"/>
            <w:hideMark/>
          </w:tcPr>
          <w:p w14:paraId="7C2E83F0" w14:textId="04DDBAA2" w:rsidR="00482167" w:rsidRPr="006D6BE5" w:rsidRDefault="00482167" w:rsidP="00A7241A">
            <w:pPr>
              <w:rPr>
                <w:rFonts w:ascii="Arial" w:hAnsi="Arial" w:cs="Arial"/>
                <w:sz w:val="4"/>
                <w:szCs w:val="8"/>
                <w:lang w:val="sq-AL"/>
              </w:rPr>
            </w:pPr>
            <w:r w:rsidRPr="006D6BE5">
              <w:rPr>
                <w:rFonts w:ascii="Arial" w:hAnsi="Arial" w:cs="Arial"/>
                <w:sz w:val="4"/>
                <w:szCs w:val="8"/>
                <w:lang w:val="sq-AL"/>
              </w:rPr>
              <w:t>Përcaktimi i metodave të reja të identifikimit elektronik në distancë (remote), njohja reciproke si dhe ndërveprimi/bashkëpunimi i skemave të identifikimit elektronik në nivel kombëtar dhe ndërkombëtar, rritja e transparencës në veprimtarinë e ofruesve të kualifikuar të shërbimeve të besuara nëpërmjet forcimit të kërkesave të sigurisë, kontrollit dhe mbikëqyrjes, rritja e</w:t>
            </w:r>
            <w:r w:rsidR="006D6BE5">
              <w:rPr>
                <w:rFonts w:ascii="Arial" w:hAnsi="Arial" w:cs="Arial"/>
                <w:sz w:val="4"/>
                <w:szCs w:val="8"/>
                <w:lang w:val="sq-AL"/>
              </w:rPr>
              <w:t xml:space="preserve"> </w:t>
            </w:r>
            <w:r w:rsidRPr="006D6BE5">
              <w:rPr>
                <w:rFonts w:ascii="Arial" w:hAnsi="Arial" w:cs="Arial"/>
                <w:sz w:val="4"/>
                <w:szCs w:val="8"/>
                <w:lang w:val="sq-AL"/>
              </w:rPr>
              <w:t>sigurisë, efektivitetit, integritetit</w:t>
            </w:r>
            <w:r w:rsidR="006D6BE5">
              <w:rPr>
                <w:rFonts w:ascii="Arial" w:hAnsi="Arial" w:cs="Arial"/>
                <w:sz w:val="4"/>
                <w:szCs w:val="8"/>
                <w:lang w:val="sq-AL"/>
              </w:rPr>
              <w:t xml:space="preserve"> </w:t>
            </w:r>
            <w:r w:rsidRPr="006D6BE5">
              <w:rPr>
                <w:rFonts w:ascii="Arial" w:hAnsi="Arial" w:cs="Arial"/>
                <w:sz w:val="4"/>
                <w:szCs w:val="8"/>
                <w:lang w:val="sq-AL"/>
              </w:rPr>
              <w:t>dhe</w:t>
            </w:r>
            <w:r w:rsidR="006D6BE5">
              <w:rPr>
                <w:rFonts w:ascii="Arial" w:hAnsi="Arial" w:cs="Arial"/>
                <w:sz w:val="4"/>
                <w:szCs w:val="8"/>
                <w:lang w:val="sq-AL"/>
              </w:rPr>
              <w:t xml:space="preserve"> </w:t>
            </w:r>
            <w:r w:rsidRPr="006D6BE5">
              <w:rPr>
                <w:rFonts w:ascii="Arial" w:hAnsi="Arial" w:cs="Arial"/>
                <w:sz w:val="4"/>
                <w:szCs w:val="8"/>
                <w:lang w:val="sq-AL"/>
              </w:rPr>
              <w:t>besueshmërisë në ofrimin dhe përdorimin e shërbimeve të besuara.</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1F888B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545E28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3B5755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KM/AKCESK</w:t>
            </w:r>
          </w:p>
        </w:tc>
        <w:tc>
          <w:tcPr>
            <w:tcW w:w="113" w:type="pct"/>
            <w:tcBorders>
              <w:top w:val="nil"/>
              <w:left w:val="nil"/>
              <w:bottom w:val="single" w:sz="4" w:space="0" w:color="auto"/>
              <w:right w:val="single" w:sz="4" w:space="0" w:color="auto"/>
            </w:tcBorders>
            <w:shd w:val="clear" w:color="auto" w:fill="auto"/>
            <w:vAlign w:val="center"/>
            <w:hideMark/>
          </w:tcPr>
          <w:p w14:paraId="2074A5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360722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4AC420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11FED0C" w14:textId="6B1DFCE5"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7,458.80 </w:t>
            </w:r>
          </w:p>
        </w:tc>
        <w:tc>
          <w:tcPr>
            <w:tcW w:w="126" w:type="pct"/>
            <w:tcBorders>
              <w:top w:val="nil"/>
              <w:left w:val="nil"/>
              <w:bottom w:val="single" w:sz="4" w:space="0" w:color="auto"/>
              <w:right w:val="single" w:sz="4" w:space="0" w:color="auto"/>
            </w:tcBorders>
            <w:shd w:val="clear" w:color="auto" w:fill="auto"/>
            <w:vAlign w:val="center"/>
            <w:hideMark/>
          </w:tcPr>
          <w:p w14:paraId="20D5CC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451A41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B5FC7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6B34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BA5A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B3876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4787CEA"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CFF2F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4D79F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EFFBE2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442EB4D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4EDD3B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Parlamentit Evropian dhe Këshillit Evropian nr.910/2014, “Për identifikimin elektronik dhe shërbimet e besuara në lidhje me transaksionet elektronike në tregun e brendshëm dhe shfuqizimin e Direktivës 1993/93/KE” (eIDAS)</w:t>
            </w:r>
          </w:p>
        </w:tc>
        <w:tc>
          <w:tcPr>
            <w:tcW w:w="668" w:type="pct"/>
            <w:tcBorders>
              <w:top w:val="nil"/>
              <w:left w:val="nil"/>
              <w:bottom w:val="single" w:sz="4" w:space="0" w:color="auto"/>
              <w:right w:val="single" w:sz="4" w:space="0" w:color="auto"/>
            </w:tcBorders>
            <w:shd w:val="clear" w:color="auto" w:fill="auto"/>
            <w:vAlign w:val="center"/>
            <w:hideMark/>
          </w:tcPr>
          <w:p w14:paraId="184D210A" w14:textId="77777777" w:rsidR="00482167" w:rsidRPr="006D6BE5" w:rsidRDefault="00E63D69" w:rsidP="00A7241A">
            <w:pPr>
              <w:rPr>
                <w:rFonts w:ascii="Arial" w:hAnsi="Arial" w:cs="Arial"/>
                <w:color w:val="0563C1"/>
                <w:sz w:val="4"/>
                <w:szCs w:val="8"/>
                <w:u w:val="single"/>
                <w:lang w:val="sq-AL"/>
              </w:rPr>
            </w:pPr>
            <w:hyperlink r:id="rId116" w:history="1">
              <w:r w:rsidR="00482167" w:rsidRPr="006D6BE5">
                <w:rPr>
                  <w:rFonts w:ascii="Arial" w:hAnsi="Arial" w:cs="Arial"/>
                  <w:color w:val="0563C1"/>
                  <w:sz w:val="4"/>
                  <w:szCs w:val="8"/>
                  <w:u w:val="single"/>
                  <w:lang w:val="sq-AL"/>
                </w:rPr>
                <w:t>https://eur-lex.europa.eu/legal-content/EN/TXT/PDF/?uri=CELEX:32014R0910</w:t>
              </w:r>
            </w:hyperlink>
          </w:p>
        </w:tc>
        <w:tc>
          <w:tcPr>
            <w:tcW w:w="506" w:type="pct"/>
            <w:tcBorders>
              <w:top w:val="nil"/>
              <w:left w:val="nil"/>
              <w:bottom w:val="single" w:sz="4" w:space="0" w:color="auto"/>
              <w:right w:val="single" w:sz="4" w:space="0" w:color="auto"/>
            </w:tcBorders>
            <w:shd w:val="clear" w:color="auto" w:fill="auto"/>
            <w:vAlign w:val="center"/>
            <w:hideMark/>
          </w:tcPr>
          <w:p w14:paraId="61F93B1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315E00D6" w14:textId="067917C9"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Trajnimi i personelit për rritjen e kapaciteteve ne fushen e identifikimit elektronik dhe sherbimeve te besuara.</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7E52CCC8" w14:textId="20D8635F" w:rsidR="00482167" w:rsidRPr="006D6BE5" w:rsidRDefault="00482167" w:rsidP="00A7241A">
            <w:pPr>
              <w:rPr>
                <w:rFonts w:ascii="Arial" w:hAnsi="Arial" w:cs="Arial"/>
                <w:sz w:val="4"/>
                <w:szCs w:val="8"/>
                <w:lang w:val="sq-AL"/>
              </w:rPr>
            </w:pPr>
            <w:r w:rsidRPr="006D6BE5">
              <w:rPr>
                <w:rFonts w:ascii="Arial" w:hAnsi="Arial" w:cs="Arial"/>
                <w:sz w:val="4"/>
                <w:szCs w:val="8"/>
                <w:lang w:val="sq-AL"/>
              </w:rPr>
              <w:t>Zhvillimii</w:t>
            </w:r>
            <w:r w:rsidR="006D6BE5">
              <w:rPr>
                <w:rFonts w:ascii="Arial" w:hAnsi="Arial" w:cs="Arial"/>
                <w:sz w:val="4"/>
                <w:szCs w:val="8"/>
                <w:lang w:val="sq-AL"/>
              </w:rPr>
              <w:t xml:space="preserve"> </w:t>
            </w:r>
            <w:r w:rsidRPr="006D6BE5">
              <w:rPr>
                <w:rFonts w:ascii="Arial" w:hAnsi="Arial" w:cs="Arial"/>
                <w:sz w:val="4"/>
                <w:szCs w:val="8"/>
                <w:lang w:val="sq-AL"/>
              </w:rPr>
              <w:t>një sërë trajnimesh në fushën e identifikimit elektronik dhe shërbimeve të besuara në kuadër të rritjes së sigurisë, efektivitetit, integritetit</w:t>
            </w:r>
            <w:r w:rsidR="006D6BE5">
              <w:rPr>
                <w:rFonts w:ascii="Arial" w:hAnsi="Arial" w:cs="Arial"/>
                <w:sz w:val="4"/>
                <w:szCs w:val="8"/>
                <w:lang w:val="sq-AL"/>
              </w:rPr>
              <w:t xml:space="preserve"> </w:t>
            </w:r>
            <w:r w:rsidRPr="006D6BE5">
              <w:rPr>
                <w:rFonts w:ascii="Arial" w:hAnsi="Arial" w:cs="Arial"/>
                <w:sz w:val="4"/>
                <w:szCs w:val="8"/>
                <w:lang w:val="sq-AL"/>
              </w:rPr>
              <w:t>dhe</w:t>
            </w:r>
            <w:r w:rsidR="006D6BE5">
              <w:rPr>
                <w:rFonts w:ascii="Arial" w:hAnsi="Arial" w:cs="Arial"/>
                <w:sz w:val="4"/>
                <w:szCs w:val="8"/>
                <w:lang w:val="sq-AL"/>
              </w:rPr>
              <w:t xml:space="preserve"> </w:t>
            </w:r>
            <w:r w:rsidRPr="006D6BE5">
              <w:rPr>
                <w:rFonts w:ascii="Arial" w:hAnsi="Arial" w:cs="Arial"/>
                <w:sz w:val="4"/>
                <w:szCs w:val="8"/>
                <w:lang w:val="sq-AL"/>
              </w:rPr>
              <w:t>besueshmërisë në ofrimin dhe përdorimin e shërbimeve të besuara.</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498719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5EFB84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72255A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AKCESK</w:t>
            </w:r>
          </w:p>
        </w:tc>
        <w:tc>
          <w:tcPr>
            <w:tcW w:w="113" w:type="pct"/>
            <w:tcBorders>
              <w:top w:val="nil"/>
              <w:left w:val="nil"/>
              <w:bottom w:val="single" w:sz="4" w:space="0" w:color="auto"/>
              <w:right w:val="single" w:sz="4" w:space="0" w:color="auto"/>
            </w:tcBorders>
            <w:shd w:val="clear" w:color="auto" w:fill="auto"/>
            <w:vAlign w:val="center"/>
            <w:hideMark/>
          </w:tcPr>
          <w:p w14:paraId="1DFC3B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70865F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E1151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9728908" w14:textId="186FBD37"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7,458.80 </w:t>
            </w:r>
          </w:p>
        </w:tc>
        <w:tc>
          <w:tcPr>
            <w:tcW w:w="126" w:type="pct"/>
            <w:tcBorders>
              <w:top w:val="nil"/>
              <w:left w:val="nil"/>
              <w:bottom w:val="single" w:sz="4" w:space="0" w:color="auto"/>
              <w:right w:val="single" w:sz="4" w:space="0" w:color="auto"/>
            </w:tcBorders>
            <w:shd w:val="clear" w:color="auto" w:fill="auto"/>
            <w:vAlign w:val="center"/>
            <w:hideMark/>
          </w:tcPr>
          <w:p w14:paraId="29FFC6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5474F1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55607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0582E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1F5E2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0ECB8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F9F545E"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D5CDB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E57C3F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7805C46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104B9B6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3F9664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2022/2555 e Parlamentit Evropian dhe e Këshillit</w:t>
            </w:r>
            <w:r w:rsidRPr="006D6BE5">
              <w:rPr>
                <w:rFonts w:ascii="Arial" w:hAnsi="Arial" w:cs="Arial"/>
                <w:color w:val="000000"/>
                <w:sz w:val="4"/>
                <w:szCs w:val="8"/>
                <w:lang w:val="sq-AL"/>
              </w:rPr>
              <w:br/>
              <w:t>e 14 dhjetorit 2022 mbi masat për një nivel të lartë të përbashkët të sigurisë kibernetike në të gjithë Bashkimin, duke amenduar Rregulloren (BE)</w:t>
            </w:r>
            <w:r w:rsidRPr="006D6BE5">
              <w:rPr>
                <w:rFonts w:ascii="Arial" w:hAnsi="Arial" w:cs="Arial"/>
                <w:color w:val="000000"/>
                <w:sz w:val="4"/>
                <w:szCs w:val="8"/>
                <w:lang w:val="sq-AL"/>
              </w:rPr>
              <w:br/>
              <w:t>Nr 910/2014 dhe Direktiva (BE) 2018/1972, dhe shfuqizimi i Direktivës (BE) 2016/1148 (Direktiva NIS 2)</w:t>
            </w:r>
          </w:p>
        </w:tc>
        <w:tc>
          <w:tcPr>
            <w:tcW w:w="668" w:type="pct"/>
            <w:tcBorders>
              <w:top w:val="nil"/>
              <w:left w:val="nil"/>
              <w:bottom w:val="single" w:sz="4" w:space="0" w:color="auto"/>
              <w:right w:val="single" w:sz="4" w:space="0" w:color="auto"/>
            </w:tcBorders>
            <w:shd w:val="clear" w:color="auto" w:fill="auto"/>
            <w:vAlign w:val="center"/>
            <w:hideMark/>
          </w:tcPr>
          <w:p w14:paraId="079ACD1C" w14:textId="77777777" w:rsidR="00482167" w:rsidRPr="006D6BE5" w:rsidRDefault="00E63D69" w:rsidP="00A7241A">
            <w:pPr>
              <w:rPr>
                <w:rFonts w:ascii="Arial" w:hAnsi="Arial" w:cs="Arial"/>
                <w:color w:val="0563C1"/>
                <w:sz w:val="4"/>
                <w:szCs w:val="8"/>
                <w:u w:val="single"/>
                <w:lang w:val="sq-AL"/>
              </w:rPr>
            </w:pPr>
            <w:hyperlink r:id="rId117" w:history="1">
              <w:r w:rsidR="00482167" w:rsidRPr="006D6BE5">
                <w:rPr>
                  <w:rFonts w:ascii="Arial" w:hAnsi="Arial" w:cs="Arial"/>
                  <w:color w:val="0563C1"/>
                  <w:sz w:val="4"/>
                  <w:szCs w:val="8"/>
                  <w:u w:val="single"/>
                  <w:lang w:val="sq-AL"/>
                </w:rPr>
                <w:t>https://eur-lex.europa.eu/legal-content/EN/TXT/PDF/?uri=CELEX:32022L2555&amp;qid=1698320025912</w:t>
              </w:r>
            </w:hyperlink>
          </w:p>
        </w:tc>
        <w:tc>
          <w:tcPr>
            <w:tcW w:w="506" w:type="pct"/>
            <w:tcBorders>
              <w:top w:val="nil"/>
              <w:left w:val="nil"/>
              <w:bottom w:val="single" w:sz="4" w:space="0" w:color="auto"/>
              <w:right w:val="single" w:sz="4" w:space="0" w:color="auto"/>
            </w:tcBorders>
            <w:shd w:val="clear" w:color="auto" w:fill="auto"/>
            <w:vAlign w:val="center"/>
            <w:hideMark/>
          </w:tcPr>
          <w:p w14:paraId="58BB64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810CD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Projektligji "Per sigurine kibernetike" </w:t>
            </w:r>
          </w:p>
        </w:tc>
        <w:tc>
          <w:tcPr>
            <w:tcW w:w="330" w:type="pct"/>
            <w:tcBorders>
              <w:top w:val="nil"/>
              <w:left w:val="nil"/>
              <w:bottom w:val="single" w:sz="4" w:space="0" w:color="auto"/>
              <w:right w:val="single" w:sz="4" w:space="0" w:color="auto"/>
            </w:tcBorders>
            <w:shd w:val="clear" w:color="auto" w:fill="auto"/>
            <w:vAlign w:val="center"/>
            <w:hideMark/>
          </w:tcPr>
          <w:p w14:paraId="27AD8277" w14:textId="6B0BF7F8" w:rsidR="00482167" w:rsidRPr="006D6BE5" w:rsidRDefault="00482167" w:rsidP="00A7241A">
            <w:pPr>
              <w:rPr>
                <w:rFonts w:ascii="Arial" w:hAnsi="Arial" w:cs="Arial"/>
                <w:sz w:val="4"/>
                <w:szCs w:val="8"/>
                <w:lang w:val="sq-AL"/>
              </w:rPr>
            </w:pPr>
            <w:r w:rsidRPr="006D6BE5">
              <w:rPr>
                <w:rFonts w:ascii="Arial" w:hAnsi="Arial" w:cs="Arial"/>
                <w:sz w:val="4"/>
                <w:szCs w:val="8"/>
                <w:lang w:val="sq-AL"/>
              </w:rPr>
              <w:t>Zgjerimi I kompetencave të Autoritetit përgjegjës për sigurinë kibernetike,</w:t>
            </w:r>
            <w:r w:rsidR="006D6BE5">
              <w:rPr>
                <w:rFonts w:ascii="Arial" w:hAnsi="Arial" w:cs="Arial"/>
                <w:sz w:val="4"/>
                <w:szCs w:val="8"/>
                <w:lang w:val="sq-AL"/>
              </w:rPr>
              <w:t xml:space="preserve"> </w:t>
            </w:r>
            <w:r w:rsidRPr="006D6BE5">
              <w:rPr>
                <w:rFonts w:ascii="Arial" w:hAnsi="Arial" w:cs="Arial"/>
                <w:sz w:val="4"/>
                <w:szCs w:val="8"/>
                <w:lang w:val="sq-AL"/>
              </w:rPr>
              <w:t>përcaktim i qartë i strukturave përgjegjëse për sigurinë kibernetike si dhe rolet dhe kompetencat e tyre, forcimi i detyrimeve të operatorëve të infrastrukturave të informacionit si dhe të masave të sigurisë kibernetike, trajtimi i gjendjes së situatave emergjente, krizës kibernetike si dhe përcaktimi i strukturave përkatëse për menaxhimin e tyre,</w:t>
            </w:r>
            <w:r w:rsidR="006D6BE5">
              <w:rPr>
                <w:rFonts w:ascii="Arial" w:hAnsi="Arial" w:cs="Arial"/>
                <w:sz w:val="4"/>
                <w:szCs w:val="8"/>
                <w:lang w:val="sq-AL"/>
              </w:rPr>
              <w:t xml:space="preserve"> </w:t>
            </w:r>
            <w:r w:rsidRPr="006D6BE5">
              <w:rPr>
                <w:rFonts w:ascii="Arial" w:hAnsi="Arial" w:cs="Arial"/>
                <w:sz w:val="4"/>
                <w:szCs w:val="8"/>
                <w:lang w:val="sq-AL"/>
              </w:rPr>
              <w:t>rregullimi i certifikimit të sigurisë kibernetike.</w:t>
            </w:r>
            <w:r w:rsid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4672D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3E64AB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371D65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KM/AKCESK</w:t>
            </w:r>
          </w:p>
        </w:tc>
        <w:tc>
          <w:tcPr>
            <w:tcW w:w="113" w:type="pct"/>
            <w:tcBorders>
              <w:top w:val="nil"/>
              <w:left w:val="nil"/>
              <w:bottom w:val="single" w:sz="4" w:space="0" w:color="auto"/>
              <w:right w:val="single" w:sz="4" w:space="0" w:color="auto"/>
            </w:tcBorders>
            <w:shd w:val="clear" w:color="auto" w:fill="auto"/>
            <w:vAlign w:val="center"/>
            <w:hideMark/>
          </w:tcPr>
          <w:p w14:paraId="7DC03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516A34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727B2A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auto" w:fill="auto"/>
            <w:vAlign w:val="center"/>
            <w:hideMark/>
          </w:tcPr>
          <w:p w14:paraId="7A2001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1,243 </w:t>
            </w:r>
          </w:p>
        </w:tc>
        <w:tc>
          <w:tcPr>
            <w:tcW w:w="126" w:type="pct"/>
            <w:tcBorders>
              <w:top w:val="nil"/>
              <w:left w:val="nil"/>
              <w:bottom w:val="single" w:sz="4" w:space="0" w:color="auto"/>
              <w:right w:val="single" w:sz="4" w:space="0" w:color="auto"/>
            </w:tcBorders>
            <w:shd w:val="clear" w:color="auto" w:fill="auto"/>
            <w:vAlign w:val="center"/>
            <w:hideMark/>
          </w:tcPr>
          <w:p w14:paraId="38F07F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D5A9C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83443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022F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6D2E7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41834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1CBA4D0"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E748B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780ABA9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4EA637B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59B4F65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0E5B80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2022/2555 e Parlamentit Evropian dhe e Këshillit</w:t>
            </w:r>
            <w:r w:rsidRPr="006D6BE5">
              <w:rPr>
                <w:rFonts w:ascii="Arial" w:hAnsi="Arial" w:cs="Arial"/>
                <w:color w:val="000000"/>
                <w:sz w:val="4"/>
                <w:szCs w:val="8"/>
                <w:lang w:val="sq-AL"/>
              </w:rPr>
              <w:br/>
              <w:t>e 14 dhjetorit 2022 mbi masat për një nivel të lartë të përbashkët të sigurisë kibernetike në të gjithë Bashkimin, duke amenduar Rregulloren (BE)</w:t>
            </w:r>
            <w:r w:rsidRPr="006D6BE5">
              <w:rPr>
                <w:rFonts w:ascii="Arial" w:hAnsi="Arial" w:cs="Arial"/>
                <w:color w:val="000000"/>
                <w:sz w:val="4"/>
                <w:szCs w:val="8"/>
                <w:lang w:val="sq-AL"/>
              </w:rPr>
              <w:br/>
              <w:t>Nr 910/2014 dhe Direktiva (BE) 2018/1972, dhe shfuqizimi i Direktivës (BE) 2016/1148 (Direktiva NIS 2)</w:t>
            </w:r>
          </w:p>
        </w:tc>
        <w:tc>
          <w:tcPr>
            <w:tcW w:w="668" w:type="pct"/>
            <w:tcBorders>
              <w:top w:val="nil"/>
              <w:left w:val="nil"/>
              <w:bottom w:val="single" w:sz="4" w:space="0" w:color="auto"/>
              <w:right w:val="single" w:sz="4" w:space="0" w:color="auto"/>
            </w:tcBorders>
            <w:shd w:val="clear" w:color="auto" w:fill="auto"/>
            <w:vAlign w:val="center"/>
            <w:hideMark/>
          </w:tcPr>
          <w:p w14:paraId="674AB819" w14:textId="77777777" w:rsidR="00482167" w:rsidRPr="006D6BE5" w:rsidRDefault="00E63D69" w:rsidP="00A7241A">
            <w:pPr>
              <w:rPr>
                <w:rFonts w:ascii="Arial" w:hAnsi="Arial" w:cs="Arial"/>
                <w:color w:val="0563C1"/>
                <w:sz w:val="4"/>
                <w:szCs w:val="8"/>
                <w:u w:val="single"/>
                <w:lang w:val="sq-AL"/>
              </w:rPr>
            </w:pPr>
            <w:hyperlink r:id="rId118" w:history="1">
              <w:r w:rsidR="00482167" w:rsidRPr="006D6BE5">
                <w:rPr>
                  <w:rFonts w:ascii="Arial" w:hAnsi="Arial" w:cs="Arial"/>
                  <w:color w:val="0563C1"/>
                  <w:sz w:val="4"/>
                  <w:szCs w:val="8"/>
                  <w:u w:val="single"/>
                  <w:lang w:val="sq-AL"/>
                </w:rPr>
                <w:t>https://eur-lex.europa.eu/legal-content/EN/TXT/PDF/?uri=CELEX:32022L2555&amp;qid=1698320025912</w:t>
              </w:r>
            </w:hyperlink>
          </w:p>
        </w:tc>
        <w:tc>
          <w:tcPr>
            <w:tcW w:w="506" w:type="pct"/>
            <w:tcBorders>
              <w:top w:val="nil"/>
              <w:left w:val="nil"/>
              <w:bottom w:val="single" w:sz="4" w:space="0" w:color="auto"/>
              <w:right w:val="single" w:sz="4" w:space="0" w:color="auto"/>
            </w:tcBorders>
            <w:shd w:val="clear" w:color="auto" w:fill="auto"/>
            <w:vAlign w:val="center"/>
            <w:hideMark/>
          </w:tcPr>
          <w:p w14:paraId="38857C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73F62C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Investime në kuadër të ligjit "Për Sigurinë Kibernetike"</w:t>
            </w:r>
          </w:p>
        </w:tc>
        <w:tc>
          <w:tcPr>
            <w:tcW w:w="330" w:type="pct"/>
            <w:tcBorders>
              <w:top w:val="nil"/>
              <w:left w:val="nil"/>
              <w:bottom w:val="single" w:sz="4" w:space="0" w:color="auto"/>
              <w:right w:val="single" w:sz="4" w:space="0" w:color="auto"/>
            </w:tcBorders>
            <w:shd w:val="clear" w:color="auto" w:fill="auto"/>
            <w:vAlign w:val="center"/>
            <w:hideMark/>
          </w:tcPr>
          <w:p w14:paraId="460813E1" w14:textId="4293E3DD" w:rsidR="00482167" w:rsidRPr="006D6BE5" w:rsidRDefault="00482167" w:rsidP="00A7241A">
            <w:pPr>
              <w:rPr>
                <w:rFonts w:ascii="Arial" w:hAnsi="Arial" w:cs="Arial"/>
                <w:sz w:val="4"/>
                <w:szCs w:val="8"/>
                <w:lang w:val="sq-AL"/>
              </w:rPr>
            </w:pPr>
            <w:r w:rsidRPr="006D6BE5">
              <w:rPr>
                <w:rFonts w:ascii="Arial" w:hAnsi="Arial" w:cs="Arial"/>
                <w:sz w:val="4"/>
                <w:szCs w:val="8"/>
                <w:lang w:val="sq-AL"/>
              </w:rPr>
              <w:t>Në kuadër të forcimit të sigurise kibernetike do te realizohen një sërë investimesh te tila si</w:t>
            </w:r>
            <w:r w:rsidR="006D6BE5">
              <w:rPr>
                <w:rFonts w:ascii="Arial" w:hAnsi="Arial" w:cs="Arial"/>
                <w:sz w:val="4"/>
                <w:szCs w:val="8"/>
                <w:lang w:val="sq-AL"/>
              </w:rPr>
              <w:t xml:space="preserve"> </w:t>
            </w:r>
            <w:r w:rsidRPr="006D6BE5">
              <w:rPr>
                <w:rFonts w:ascii="Arial" w:hAnsi="Arial" w:cs="Arial"/>
                <w:sz w:val="4"/>
                <w:szCs w:val="8"/>
                <w:lang w:val="sq-AL"/>
              </w:rPr>
              <w:t>: Ngritja e platformës së emulimit, e-learning dhe stërvitjes kibernetike. Ngritja e sistemit te investigimit të aktiviteteve dhe aktorëve keqdashës në Darkweb. Servera fizik. Plaftorma e Menaxhimit të riskut të sigurisë kibernetike. Sistemi i raportimit</w:t>
            </w:r>
            <w:r w:rsidR="006D6BE5">
              <w:rPr>
                <w:rFonts w:ascii="Arial" w:hAnsi="Arial" w:cs="Arial"/>
                <w:sz w:val="4"/>
                <w:szCs w:val="8"/>
                <w:lang w:val="sq-AL"/>
              </w:rPr>
              <w:t xml:space="preserve"> </w:t>
            </w:r>
            <w:r w:rsidRPr="006D6BE5">
              <w:rPr>
                <w:rFonts w:ascii="Arial" w:hAnsi="Arial" w:cs="Arial"/>
                <w:sz w:val="4"/>
                <w:szCs w:val="8"/>
                <w:lang w:val="sq-AL"/>
              </w:rPr>
              <w:t>të përmbajtjeve të paligjshme në funksion të mbrojtjes së fëmijeve në hapësirën kibernetike.</w:t>
            </w:r>
            <w:r w:rsid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3EEF7E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04D78D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5C4C94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AKCESK</w:t>
            </w:r>
          </w:p>
        </w:tc>
        <w:tc>
          <w:tcPr>
            <w:tcW w:w="113" w:type="pct"/>
            <w:tcBorders>
              <w:top w:val="nil"/>
              <w:left w:val="nil"/>
              <w:bottom w:val="single" w:sz="4" w:space="0" w:color="auto"/>
              <w:right w:val="single" w:sz="4" w:space="0" w:color="auto"/>
            </w:tcBorders>
            <w:shd w:val="clear" w:color="auto" w:fill="auto"/>
            <w:vAlign w:val="center"/>
            <w:hideMark/>
          </w:tcPr>
          <w:p w14:paraId="00E346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2A1C99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6282E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E8E268E" w14:textId="04E867FC"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324 </w:t>
            </w:r>
          </w:p>
        </w:tc>
        <w:tc>
          <w:tcPr>
            <w:tcW w:w="126" w:type="pct"/>
            <w:tcBorders>
              <w:top w:val="nil"/>
              <w:left w:val="nil"/>
              <w:bottom w:val="single" w:sz="4" w:space="0" w:color="auto"/>
              <w:right w:val="single" w:sz="4" w:space="0" w:color="auto"/>
            </w:tcBorders>
            <w:shd w:val="clear" w:color="auto" w:fill="auto"/>
            <w:vAlign w:val="center"/>
            <w:hideMark/>
          </w:tcPr>
          <w:p w14:paraId="5E6A03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416C7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8F38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0D064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59DAC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CEA40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6F2931E"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C7EB2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138A2B3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auto" w:fill="auto"/>
            <w:vAlign w:val="center"/>
            <w:hideMark/>
          </w:tcPr>
          <w:p w14:paraId="36A93D5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10.2. Shërbimet e Shoqërisë së Informacionit</w:t>
            </w:r>
          </w:p>
        </w:tc>
        <w:tc>
          <w:tcPr>
            <w:tcW w:w="171" w:type="pct"/>
            <w:tcBorders>
              <w:top w:val="nil"/>
              <w:left w:val="nil"/>
              <w:bottom w:val="single" w:sz="4" w:space="0" w:color="auto"/>
              <w:right w:val="single" w:sz="4" w:space="0" w:color="auto"/>
            </w:tcBorders>
            <w:shd w:val="clear" w:color="auto" w:fill="auto"/>
            <w:vAlign w:val="center"/>
            <w:hideMark/>
          </w:tcPr>
          <w:p w14:paraId="15A21FD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e Shoqërisë së Informacionit</w:t>
            </w:r>
          </w:p>
        </w:tc>
        <w:tc>
          <w:tcPr>
            <w:tcW w:w="661" w:type="pct"/>
            <w:tcBorders>
              <w:top w:val="nil"/>
              <w:left w:val="nil"/>
              <w:bottom w:val="single" w:sz="4" w:space="0" w:color="auto"/>
              <w:right w:val="single" w:sz="4" w:space="0" w:color="auto"/>
            </w:tcBorders>
            <w:shd w:val="clear" w:color="auto" w:fill="auto"/>
            <w:vAlign w:val="center"/>
            <w:hideMark/>
          </w:tcPr>
          <w:p w14:paraId="07AB9B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2022/2555 e Parlamentit Evropian dhe e Këshillit</w:t>
            </w:r>
            <w:r w:rsidRPr="006D6BE5">
              <w:rPr>
                <w:rFonts w:ascii="Arial" w:hAnsi="Arial" w:cs="Arial"/>
                <w:color w:val="000000"/>
                <w:sz w:val="4"/>
                <w:szCs w:val="8"/>
                <w:lang w:val="sq-AL"/>
              </w:rPr>
              <w:br/>
              <w:t>e 14 dhjetorit 2022 mbi masat për një nivel të lartë të përbashkët të sigurisë kibernetike në të gjithë Bashkimin, duke amenduar Rregulloren (BE)</w:t>
            </w:r>
            <w:r w:rsidRPr="006D6BE5">
              <w:rPr>
                <w:rFonts w:ascii="Arial" w:hAnsi="Arial" w:cs="Arial"/>
                <w:color w:val="000000"/>
                <w:sz w:val="4"/>
                <w:szCs w:val="8"/>
                <w:lang w:val="sq-AL"/>
              </w:rPr>
              <w:br/>
              <w:t>Nr 910/2014 dhe Direktiva (BE) 2018/1972, dhe shfuqizimi i Direktivës (BE) 2016/1148 (Direktiva NIS 2)</w:t>
            </w:r>
          </w:p>
        </w:tc>
        <w:tc>
          <w:tcPr>
            <w:tcW w:w="668" w:type="pct"/>
            <w:tcBorders>
              <w:top w:val="nil"/>
              <w:left w:val="nil"/>
              <w:bottom w:val="single" w:sz="4" w:space="0" w:color="auto"/>
              <w:right w:val="single" w:sz="4" w:space="0" w:color="auto"/>
            </w:tcBorders>
            <w:shd w:val="clear" w:color="auto" w:fill="auto"/>
            <w:vAlign w:val="center"/>
            <w:hideMark/>
          </w:tcPr>
          <w:p w14:paraId="5D7939AA" w14:textId="77777777" w:rsidR="00482167" w:rsidRPr="006D6BE5" w:rsidRDefault="00E63D69" w:rsidP="00A7241A">
            <w:pPr>
              <w:rPr>
                <w:rFonts w:ascii="Arial" w:hAnsi="Arial" w:cs="Arial"/>
                <w:color w:val="0563C1"/>
                <w:sz w:val="4"/>
                <w:szCs w:val="8"/>
                <w:u w:val="single"/>
                <w:lang w:val="sq-AL"/>
              </w:rPr>
            </w:pPr>
            <w:hyperlink r:id="rId119" w:history="1">
              <w:r w:rsidR="00482167" w:rsidRPr="006D6BE5">
                <w:rPr>
                  <w:rFonts w:ascii="Arial" w:hAnsi="Arial" w:cs="Arial"/>
                  <w:color w:val="0563C1"/>
                  <w:sz w:val="4"/>
                  <w:szCs w:val="8"/>
                  <w:u w:val="single"/>
                  <w:lang w:val="sq-AL"/>
                </w:rPr>
                <w:t>https://eur-lex.europa.eu/legal-content/EN/TXT/PDF/?uri=CELEX:32022L2555&amp;qid=1698320025912</w:t>
              </w:r>
            </w:hyperlink>
          </w:p>
        </w:tc>
        <w:tc>
          <w:tcPr>
            <w:tcW w:w="506" w:type="pct"/>
            <w:tcBorders>
              <w:top w:val="nil"/>
              <w:left w:val="nil"/>
              <w:bottom w:val="single" w:sz="4" w:space="0" w:color="auto"/>
              <w:right w:val="single" w:sz="4" w:space="0" w:color="auto"/>
            </w:tcBorders>
            <w:shd w:val="clear" w:color="auto" w:fill="auto"/>
            <w:vAlign w:val="center"/>
            <w:hideMark/>
          </w:tcPr>
          <w:p w14:paraId="0EA629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17928E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Trajnimi i personelit per rritjen e kapaciteteve ne fushen e sigurise kibernetike</w:t>
            </w:r>
          </w:p>
        </w:tc>
        <w:tc>
          <w:tcPr>
            <w:tcW w:w="330" w:type="pct"/>
            <w:tcBorders>
              <w:top w:val="nil"/>
              <w:left w:val="nil"/>
              <w:bottom w:val="single" w:sz="4" w:space="0" w:color="auto"/>
              <w:right w:val="single" w:sz="4" w:space="0" w:color="auto"/>
            </w:tcBorders>
            <w:shd w:val="clear" w:color="auto" w:fill="auto"/>
            <w:vAlign w:val="center"/>
            <w:hideMark/>
          </w:tcPr>
          <w:p w14:paraId="6C70D800" w14:textId="41B3504D" w:rsidR="00482167" w:rsidRPr="006D6BE5" w:rsidRDefault="00482167" w:rsidP="00A7241A">
            <w:pPr>
              <w:rPr>
                <w:rFonts w:ascii="Arial" w:hAnsi="Arial" w:cs="Arial"/>
                <w:sz w:val="4"/>
                <w:szCs w:val="8"/>
                <w:lang w:val="sq-AL"/>
              </w:rPr>
            </w:pPr>
            <w:r w:rsidRPr="006D6BE5">
              <w:rPr>
                <w:rFonts w:ascii="Arial" w:hAnsi="Arial" w:cs="Arial"/>
                <w:sz w:val="4"/>
                <w:szCs w:val="8"/>
                <w:lang w:val="sq-AL"/>
              </w:rPr>
              <w:t>Zhvillimi i një sërë trajnimesh në fushën e sigurisë kibernetike psh trajtimin e incidenteve kibernetike, cyber threat intelligence, IoT penetration testing, Security Strategic Planning,</w:t>
            </w:r>
            <w:r w:rsidR="006D6BE5">
              <w:rPr>
                <w:rFonts w:ascii="Arial" w:hAnsi="Arial" w:cs="Arial"/>
                <w:sz w:val="4"/>
                <w:szCs w:val="8"/>
                <w:lang w:val="sq-AL"/>
              </w:rPr>
              <w:t xml:space="preserve"> </w:t>
            </w:r>
            <w:r w:rsidRPr="006D6BE5">
              <w:rPr>
                <w:rFonts w:ascii="Arial" w:hAnsi="Arial" w:cs="Arial"/>
                <w:sz w:val="4"/>
                <w:szCs w:val="8"/>
                <w:lang w:val="sq-AL"/>
              </w:rPr>
              <w:t xml:space="preserve">Security Leadership Essentials for Managers – SANS , Certified Network Defender etj. </w:t>
            </w:r>
          </w:p>
        </w:tc>
        <w:tc>
          <w:tcPr>
            <w:tcW w:w="126" w:type="pct"/>
            <w:tcBorders>
              <w:top w:val="nil"/>
              <w:left w:val="nil"/>
              <w:bottom w:val="single" w:sz="4" w:space="0" w:color="auto"/>
              <w:right w:val="single" w:sz="4" w:space="0" w:color="auto"/>
            </w:tcBorders>
            <w:shd w:val="clear" w:color="auto" w:fill="auto"/>
            <w:vAlign w:val="center"/>
            <w:hideMark/>
          </w:tcPr>
          <w:p w14:paraId="401B77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78C835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33BFE2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AKCESK</w:t>
            </w:r>
          </w:p>
        </w:tc>
        <w:tc>
          <w:tcPr>
            <w:tcW w:w="113" w:type="pct"/>
            <w:tcBorders>
              <w:top w:val="nil"/>
              <w:left w:val="nil"/>
              <w:bottom w:val="single" w:sz="4" w:space="0" w:color="auto"/>
              <w:right w:val="single" w:sz="4" w:space="0" w:color="auto"/>
            </w:tcBorders>
            <w:shd w:val="clear" w:color="auto" w:fill="auto"/>
            <w:vAlign w:val="center"/>
            <w:hideMark/>
          </w:tcPr>
          <w:p w14:paraId="635F1D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52E9B2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A6401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1988E767" w14:textId="3CBDBF70"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919 </w:t>
            </w:r>
          </w:p>
        </w:tc>
        <w:tc>
          <w:tcPr>
            <w:tcW w:w="126" w:type="pct"/>
            <w:tcBorders>
              <w:top w:val="nil"/>
              <w:left w:val="nil"/>
              <w:bottom w:val="single" w:sz="4" w:space="0" w:color="auto"/>
              <w:right w:val="single" w:sz="4" w:space="0" w:color="auto"/>
            </w:tcBorders>
            <w:shd w:val="clear" w:color="auto" w:fill="auto"/>
            <w:vAlign w:val="center"/>
            <w:hideMark/>
          </w:tcPr>
          <w:p w14:paraId="34221D2E" w14:textId="5A06DF33"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1,654,861 </w:t>
            </w:r>
          </w:p>
        </w:tc>
        <w:tc>
          <w:tcPr>
            <w:tcW w:w="117" w:type="pct"/>
            <w:tcBorders>
              <w:top w:val="nil"/>
              <w:left w:val="nil"/>
              <w:bottom w:val="single" w:sz="4" w:space="0" w:color="auto"/>
              <w:right w:val="single" w:sz="4" w:space="0" w:color="auto"/>
            </w:tcBorders>
            <w:shd w:val="clear" w:color="auto" w:fill="auto"/>
            <w:vAlign w:val="center"/>
            <w:hideMark/>
          </w:tcPr>
          <w:p w14:paraId="1BC641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CAE8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64152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0468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B3A4E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52D9BAC"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302C8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CD5B81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5E0370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44FA9A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DEEBF7" w:fill="FFFFFF"/>
            <w:vAlign w:val="center"/>
            <w:hideMark/>
          </w:tcPr>
          <w:p w14:paraId="5CFE08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Komunikatë prej Udhëzimeve të Komisionit për zbatimin praktik të kriterit thelbësor të funksionalitetit të përkufizimit të një "shërbimi të platformës së shpërndarjes së videove" sipas Direktivës për Shërbimet e Medias Audiovizive 2020/C 223/02, C/2020/4322 OJ C 223, 7.7.2020, fq. 3–9</w:t>
            </w:r>
          </w:p>
        </w:tc>
        <w:tc>
          <w:tcPr>
            <w:tcW w:w="668" w:type="pct"/>
            <w:tcBorders>
              <w:top w:val="nil"/>
              <w:left w:val="nil"/>
              <w:bottom w:val="single" w:sz="4" w:space="0" w:color="auto"/>
              <w:right w:val="single" w:sz="4" w:space="0" w:color="auto"/>
            </w:tcBorders>
            <w:shd w:val="clear" w:color="DEEBF7" w:fill="FFFFFF"/>
            <w:vAlign w:val="center"/>
            <w:hideMark/>
          </w:tcPr>
          <w:p w14:paraId="189583D5" w14:textId="77777777" w:rsidR="00482167" w:rsidRPr="006D6BE5" w:rsidRDefault="00E63D69" w:rsidP="00A7241A">
            <w:pPr>
              <w:rPr>
                <w:rFonts w:ascii="Arial" w:hAnsi="Arial" w:cs="Arial"/>
                <w:color w:val="0563C1"/>
                <w:sz w:val="4"/>
                <w:szCs w:val="8"/>
                <w:u w:val="single"/>
                <w:lang w:val="sq-AL"/>
              </w:rPr>
            </w:pPr>
            <w:hyperlink r:id="rId120" w:history="1">
              <w:r w:rsidR="00482167" w:rsidRPr="006D6BE5">
                <w:rPr>
                  <w:rFonts w:ascii="Arial" w:hAnsi="Arial" w:cs="Arial"/>
                  <w:color w:val="0563C1"/>
                  <w:sz w:val="4"/>
                  <w:szCs w:val="8"/>
                  <w:u w:val="single"/>
                  <w:lang w:val="sq-AL"/>
                </w:rPr>
                <w:t xml:space="preserve">https://eur-lex.europa.eu/legal-content/EN/TXT/?uri=uriserv:OJ.C_.2020.223.01.0003.01.ENG&amp;toc=OJ:C:2020:223:TOC </w:t>
              </w:r>
            </w:hyperlink>
          </w:p>
        </w:tc>
        <w:tc>
          <w:tcPr>
            <w:tcW w:w="506" w:type="pct"/>
            <w:tcBorders>
              <w:top w:val="nil"/>
              <w:left w:val="nil"/>
              <w:bottom w:val="single" w:sz="4" w:space="0" w:color="auto"/>
              <w:right w:val="single" w:sz="4" w:space="0" w:color="auto"/>
            </w:tcBorders>
            <w:shd w:val="clear" w:color="auto" w:fill="auto"/>
            <w:vAlign w:val="center"/>
            <w:hideMark/>
          </w:tcPr>
          <w:p w14:paraId="3AEF34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5AFC73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AMA-s (Rregullore): “Për kriteret dhe procedurat e funksionalitetit të shërbimeve të platformës së shpërndarjes së videove</w:t>
            </w:r>
            <w:r w:rsidRPr="006D6BE5">
              <w:rPr>
                <w:rFonts w:ascii="Arial" w:hAnsi="Arial" w:cs="Arial"/>
                <w:color w:val="000000"/>
                <w:sz w:val="4"/>
                <w:szCs w:val="8"/>
                <w:lang w:val="sq-AL"/>
              </w:rPr>
              <w:t xml:space="preserve">" </w:t>
            </w:r>
          </w:p>
        </w:tc>
        <w:tc>
          <w:tcPr>
            <w:tcW w:w="330" w:type="pct"/>
            <w:tcBorders>
              <w:top w:val="nil"/>
              <w:left w:val="nil"/>
              <w:bottom w:val="single" w:sz="4" w:space="0" w:color="auto"/>
              <w:right w:val="single" w:sz="4" w:space="0" w:color="auto"/>
            </w:tcBorders>
            <w:shd w:val="clear" w:color="DEEBF7" w:fill="FFFFFF"/>
            <w:vAlign w:val="center"/>
            <w:hideMark/>
          </w:tcPr>
          <w:p w14:paraId="437A015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audiovizuale të platformave të shpërndarjes së videove</w:t>
            </w:r>
          </w:p>
        </w:tc>
        <w:tc>
          <w:tcPr>
            <w:tcW w:w="126" w:type="pct"/>
            <w:tcBorders>
              <w:top w:val="nil"/>
              <w:left w:val="nil"/>
              <w:bottom w:val="single" w:sz="4" w:space="0" w:color="auto"/>
              <w:right w:val="single" w:sz="4" w:space="0" w:color="auto"/>
            </w:tcBorders>
            <w:shd w:val="clear" w:color="auto" w:fill="auto"/>
            <w:vAlign w:val="center"/>
            <w:hideMark/>
          </w:tcPr>
          <w:p w14:paraId="3A922C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14B70A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auto" w:fill="auto"/>
            <w:vAlign w:val="center"/>
            <w:hideMark/>
          </w:tcPr>
          <w:p w14:paraId="4D07A1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38DAF7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345A4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61B6C5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3BCF49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1A4A43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100</w:t>
            </w:r>
          </w:p>
        </w:tc>
        <w:tc>
          <w:tcPr>
            <w:tcW w:w="117" w:type="pct"/>
            <w:tcBorders>
              <w:top w:val="nil"/>
              <w:left w:val="nil"/>
              <w:bottom w:val="single" w:sz="4" w:space="0" w:color="auto"/>
              <w:right w:val="single" w:sz="4" w:space="0" w:color="auto"/>
            </w:tcBorders>
            <w:shd w:val="clear" w:color="auto" w:fill="auto"/>
            <w:vAlign w:val="center"/>
            <w:hideMark/>
          </w:tcPr>
          <w:p w14:paraId="2E0D1E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85FD3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540F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6F436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1CECA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533A25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1B9F2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5589700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149C0A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41386E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DEEBF7" w:fill="FFFFFF"/>
            <w:vAlign w:val="center"/>
            <w:hideMark/>
          </w:tcPr>
          <w:p w14:paraId="2CFCAF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Komunikatë prej Udhëzimeve të Komisionit në përputhje me nenin 13(7) të Direktivës së Shërbimeve të Mediave Audiovizive mbi llogaritjen e pjesës së veprave evropiane në katalogët sipas kërkesës dhe mbi përcaktimin e audiencës së ulët dhe qarkullimit të ulët 2020/C 223/03</w:t>
            </w:r>
            <w:r w:rsidRPr="006D6BE5">
              <w:rPr>
                <w:rFonts w:ascii="Arial" w:hAnsi="Arial" w:cs="Arial"/>
                <w:color w:val="000000"/>
                <w:sz w:val="4"/>
                <w:szCs w:val="8"/>
                <w:lang w:val="sq-AL"/>
              </w:rPr>
              <w:br/>
              <w:t>C/2020/4291 OJ C 223, 7.7.2020, fq. 10–16</w:t>
            </w:r>
          </w:p>
        </w:tc>
        <w:tc>
          <w:tcPr>
            <w:tcW w:w="668" w:type="pct"/>
            <w:tcBorders>
              <w:top w:val="nil"/>
              <w:left w:val="nil"/>
              <w:bottom w:val="single" w:sz="4" w:space="0" w:color="auto"/>
              <w:right w:val="single" w:sz="4" w:space="0" w:color="auto"/>
            </w:tcBorders>
            <w:shd w:val="clear" w:color="DEEBF7" w:fill="FFFFFF"/>
            <w:vAlign w:val="center"/>
            <w:hideMark/>
          </w:tcPr>
          <w:p w14:paraId="74E220D0" w14:textId="77777777" w:rsidR="00482167" w:rsidRPr="006D6BE5" w:rsidRDefault="00E63D69" w:rsidP="00A7241A">
            <w:pPr>
              <w:rPr>
                <w:rFonts w:ascii="Arial" w:hAnsi="Arial" w:cs="Arial"/>
                <w:color w:val="0563C1"/>
                <w:sz w:val="4"/>
                <w:szCs w:val="8"/>
                <w:u w:val="single"/>
                <w:lang w:val="sq-AL"/>
              </w:rPr>
            </w:pPr>
            <w:hyperlink r:id="rId121" w:history="1">
              <w:r w:rsidR="00482167" w:rsidRPr="006D6BE5">
                <w:rPr>
                  <w:rFonts w:ascii="Arial" w:hAnsi="Arial" w:cs="Arial"/>
                  <w:color w:val="0563C1"/>
                  <w:sz w:val="4"/>
                  <w:szCs w:val="8"/>
                  <w:u w:val="single"/>
                  <w:lang w:val="sq-AL"/>
                </w:rPr>
                <w:t xml:space="preserve">https://eur-lex.europa.eu/legal-content/EN/TXT/?uri=uriserv:OJ.C_.2020.223.01.0010.01.ENG&amp;toc=OJ:C:2020:223:TOC </w:t>
              </w:r>
            </w:hyperlink>
          </w:p>
        </w:tc>
        <w:tc>
          <w:tcPr>
            <w:tcW w:w="506" w:type="pct"/>
            <w:tcBorders>
              <w:top w:val="nil"/>
              <w:left w:val="nil"/>
              <w:bottom w:val="single" w:sz="4" w:space="0" w:color="auto"/>
              <w:right w:val="single" w:sz="4" w:space="0" w:color="auto"/>
            </w:tcBorders>
            <w:shd w:val="clear" w:color="auto" w:fill="auto"/>
            <w:vAlign w:val="center"/>
            <w:hideMark/>
          </w:tcPr>
          <w:p w14:paraId="2211CB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FB1B0B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AMA-s (Rregullore): '</w:t>
            </w:r>
            <w:r w:rsidRPr="006D6BE5">
              <w:rPr>
                <w:rFonts w:ascii="Arial" w:hAnsi="Arial" w:cs="Arial"/>
                <w:color w:val="000000"/>
                <w:sz w:val="4"/>
                <w:szCs w:val="8"/>
                <w:lang w:val="sq-AL"/>
              </w:rPr>
              <w:t xml:space="preserve">"’Për disa shtesa dhe ndryshime në rregulloren mbi procedurat dhe kriteret për ofrimin e shërbimeve mediatike audio dhe/ose audiovizive sipas kërkesës së përdoruesit’, miratuar me vendimin nr. 152, datë 11.10.2019 të AMA-s” </w:t>
            </w:r>
          </w:p>
        </w:tc>
        <w:tc>
          <w:tcPr>
            <w:tcW w:w="330" w:type="pct"/>
            <w:tcBorders>
              <w:top w:val="nil"/>
              <w:left w:val="nil"/>
              <w:bottom w:val="single" w:sz="4" w:space="0" w:color="auto"/>
              <w:right w:val="single" w:sz="4" w:space="0" w:color="auto"/>
            </w:tcBorders>
            <w:shd w:val="clear" w:color="DEEBF7" w:fill="FFFFFF"/>
            <w:vAlign w:val="center"/>
            <w:hideMark/>
          </w:tcPr>
          <w:p w14:paraId="7ED5A24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Shërbimet mediatike audio dhe/ose audiovizive sipas kërkesës së përdoruesit</w:t>
            </w:r>
          </w:p>
        </w:tc>
        <w:tc>
          <w:tcPr>
            <w:tcW w:w="126" w:type="pct"/>
            <w:tcBorders>
              <w:top w:val="nil"/>
              <w:left w:val="nil"/>
              <w:bottom w:val="single" w:sz="4" w:space="0" w:color="auto"/>
              <w:right w:val="single" w:sz="4" w:space="0" w:color="auto"/>
            </w:tcBorders>
            <w:shd w:val="clear" w:color="auto" w:fill="auto"/>
            <w:vAlign w:val="center"/>
            <w:hideMark/>
          </w:tcPr>
          <w:p w14:paraId="64BFDF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2FDEC9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auto" w:fill="auto"/>
            <w:vAlign w:val="center"/>
            <w:hideMark/>
          </w:tcPr>
          <w:p w14:paraId="10EFAF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56235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254A63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31D06C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23D391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067760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100</w:t>
            </w:r>
          </w:p>
        </w:tc>
        <w:tc>
          <w:tcPr>
            <w:tcW w:w="117" w:type="pct"/>
            <w:tcBorders>
              <w:top w:val="nil"/>
              <w:left w:val="nil"/>
              <w:bottom w:val="single" w:sz="4" w:space="0" w:color="auto"/>
              <w:right w:val="single" w:sz="4" w:space="0" w:color="auto"/>
            </w:tcBorders>
            <w:shd w:val="clear" w:color="auto" w:fill="auto"/>
            <w:vAlign w:val="center"/>
            <w:hideMark/>
          </w:tcPr>
          <w:p w14:paraId="2CCA30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3BB50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3FD6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D30A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A4286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AFE4B20"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8E77A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3357837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3F5A7E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0DC389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auto" w:fill="auto"/>
            <w:vAlign w:val="center"/>
            <w:hideMark/>
          </w:tcPr>
          <w:p w14:paraId="219069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interpretativ i Komisionit mbi disa aspekte të dispozitave për reklamat televizive sipas Direktivës "Televizioni pa Kufij". C (2004) 1450 - 23.04.2004, (OJ C 102 e 28.4.2004) 52004XC0428(01)</w:t>
            </w:r>
          </w:p>
        </w:tc>
        <w:tc>
          <w:tcPr>
            <w:tcW w:w="668" w:type="pct"/>
            <w:tcBorders>
              <w:top w:val="nil"/>
              <w:left w:val="nil"/>
              <w:bottom w:val="single" w:sz="4" w:space="0" w:color="auto"/>
              <w:right w:val="single" w:sz="4" w:space="0" w:color="auto"/>
            </w:tcBorders>
            <w:shd w:val="clear" w:color="auto" w:fill="auto"/>
            <w:vAlign w:val="center"/>
            <w:hideMark/>
          </w:tcPr>
          <w:p w14:paraId="3C30EF00" w14:textId="77777777" w:rsidR="00482167" w:rsidRPr="006D6BE5" w:rsidRDefault="00E63D69" w:rsidP="00A7241A">
            <w:pPr>
              <w:rPr>
                <w:rFonts w:ascii="Arial" w:hAnsi="Arial" w:cs="Arial"/>
                <w:color w:val="0563C1"/>
                <w:sz w:val="4"/>
                <w:szCs w:val="8"/>
                <w:u w:val="single"/>
                <w:lang w:val="sq-AL"/>
              </w:rPr>
            </w:pPr>
            <w:hyperlink r:id="rId122" w:history="1">
              <w:r w:rsidR="00482167" w:rsidRPr="006D6BE5">
                <w:rPr>
                  <w:rFonts w:ascii="Arial" w:hAnsi="Arial" w:cs="Arial"/>
                  <w:color w:val="0563C1"/>
                  <w:sz w:val="4"/>
                  <w:szCs w:val="8"/>
                  <w:u w:val="single"/>
                  <w:lang w:val="sq-AL"/>
                </w:rPr>
                <w:t xml:space="preserve">http://eur-lex.europa.eu/LexUriServ/LexUriServ.do?uri=CELEX:52004XC0428(01):EN:HTML </w:t>
              </w:r>
            </w:hyperlink>
          </w:p>
        </w:tc>
        <w:tc>
          <w:tcPr>
            <w:tcW w:w="506" w:type="pct"/>
            <w:tcBorders>
              <w:top w:val="nil"/>
              <w:left w:val="nil"/>
              <w:bottom w:val="single" w:sz="4" w:space="0" w:color="auto"/>
              <w:right w:val="single" w:sz="4" w:space="0" w:color="auto"/>
            </w:tcBorders>
            <w:shd w:val="clear" w:color="auto" w:fill="auto"/>
            <w:vAlign w:val="center"/>
            <w:hideMark/>
          </w:tcPr>
          <w:p w14:paraId="3C4D9E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8CA5E5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Projektvendim i AMA-s (Rregullore): </w:t>
            </w:r>
            <w:r w:rsidRPr="006D6BE5">
              <w:rPr>
                <w:rFonts w:ascii="Arial" w:hAnsi="Arial" w:cs="Arial"/>
                <w:color w:val="000000"/>
                <w:sz w:val="4"/>
                <w:szCs w:val="8"/>
                <w:lang w:val="sq-AL"/>
              </w:rPr>
              <w:t>"Për disa shtesa dhe ndryshime në rregulloren për komunikimet audio dhe/ose audiovizive me natyrë tregtare, format, kushtet dhe koha ditore e lejuar për transmetimin e reklamave’, miratuar me vendimin nr. 42, datë 19.03.2018 të AMA-s”</w:t>
            </w:r>
          </w:p>
        </w:tc>
        <w:tc>
          <w:tcPr>
            <w:tcW w:w="330" w:type="pct"/>
            <w:tcBorders>
              <w:top w:val="nil"/>
              <w:left w:val="nil"/>
              <w:bottom w:val="single" w:sz="4" w:space="0" w:color="auto"/>
              <w:right w:val="single" w:sz="4" w:space="0" w:color="auto"/>
            </w:tcBorders>
            <w:shd w:val="clear" w:color="auto" w:fill="auto"/>
            <w:vAlign w:val="center"/>
            <w:hideMark/>
          </w:tcPr>
          <w:p w14:paraId="5692657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Komunikimet audio dhe/ose audiovizive me natyrë tregtare dhe reklamat</w:t>
            </w:r>
          </w:p>
        </w:tc>
        <w:tc>
          <w:tcPr>
            <w:tcW w:w="126" w:type="pct"/>
            <w:tcBorders>
              <w:top w:val="nil"/>
              <w:left w:val="nil"/>
              <w:bottom w:val="single" w:sz="4" w:space="0" w:color="auto"/>
              <w:right w:val="single" w:sz="4" w:space="0" w:color="auto"/>
            </w:tcBorders>
            <w:shd w:val="clear" w:color="auto" w:fill="auto"/>
            <w:vAlign w:val="center"/>
            <w:hideMark/>
          </w:tcPr>
          <w:p w14:paraId="494B0D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5F4913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auto" w:fill="auto"/>
            <w:vAlign w:val="center"/>
            <w:hideMark/>
          </w:tcPr>
          <w:p w14:paraId="116F33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7223FB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69835C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6F8652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0F0C5F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68A808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165D9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100</w:t>
            </w:r>
          </w:p>
        </w:tc>
        <w:tc>
          <w:tcPr>
            <w:tcW w:w="129" w:type="pct"/>
            <w:tcBorders>
              <w:top w:val="nil"/>
              <w:left w:val="nil"/>
              <w:bottom w:val="single" w:sz="4" w:space="0" w:color="auto"/>
              <w:right w:val="single" w:sz="4" w:space="0" w:color="auto"/>
            </w:tcBorders>
            <w:shd w:val="clear" w:color="FFFFFF" w:fill="FFFFFF"/>
            <w:vAlign w:val="center"/>
            <w:hideMark/>
          </w:tcPr>
          <w:p w14:paraId="0B4DD6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30BE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0EDB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E046E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3E6E0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894EE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44804A3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08AC25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4F1C14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auto" w:fill="auto"/>
            <w:vAlign w:val="center"/>
            <w:hideMark/>
          </w:tcPr>
          <w:p w14:paraId="033B3B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 për mbrojtjen e gazetarëve</w:t>
            </w:r>
            <w:r w:rsidRPr="006D6BE5">
              <w:rPr>
                <w:rFonts w:ascii="Arial" w:hAnsi="Arial" w:cs="Arial"/>
                <w:color w:val="000000"/>
                <w:sz w:val="4"/>
                <w:szCs w:val="8"/>
                <w:lang w:val="sq-AL"/>
              </w:rPr>
              <w:br/>
              <w:t>REKOMANDIMI I KOMISIONIT i datës 16.9.2021 për garantimin e mbrojtjes, sigurisë dhe fuqizimit të gazetarëve dhe profesionistëve të tjerë të medias në Bashkimin Evropian</w:t>
            </w:r>
          </w:p>
        </w:tc>
        <w:tc>
          <w:tcPr>
            <w:tcW w:w="668" w:type="pct"/>
            <w:tcBorders>
              <w:top w:val="nil"/>
              <w:left w:val="nil"/>
              <w:bottom w:val="single" w:sz="4" w:space="0" w:color="auto"/>
              <w:right w:val="single" w:sz="4" w:space="0" w:color="auto"/>
            </w:tcBorders>
            <w:shd w:val="clear" w:color="auto" w:fill="auto"/>
            <w:vAlign w:val="center"/>
            <w:hideMark/>
          </w:tcPr>
          <w:p w14:paraId="1264921B" w14:textId="77777777" w:rsidR="00482167" w:rsidRPr="006D6BE5" w:rsidRDefault="00E63D69" w:rsidP="00A7241A">
            <w:pPr>
              <w:rPr>
                <w:rFonts w:ascii="Arial" w:hAnsi="Arial" w:cs="Arial"/>
                <w:color w:val="0563C1"/>
                <w:sz w:val="4"/>
                <w:szCs w:val="8"/>
                <w:u w:val="single"/>
                <w:lang w:val="sq-AL"/>
              </w:rPr>
            </w:pPr>
            <w:hyperlink r:id="rId123" w:history="1">
              <w:r w:rsidR="00482167" w:rsidRPr="006D6BE5">
                <w:rPr>
                  <w:rFonts w:ascii="Arial" w:hAnsi="Arial" w:cs="Arial"/>
                  <w:color w:val="0563C1"/>
                  <w:sz w:val="4"/>
                  <w:szCs w:val="8"/>
                  <w:u w:val="single"/>
                  <w:lang w:val="sq-AL"/>
                </w:rPr>
                <w:t xml:space="preserve">https://eur-lex.europa.eu/legal-content/EN/TXT/?uri=CELEX:32021H1534 </w:t>
              </w:r>
            </w:hyperlink>
          </w:p>
        </w:tc>
        <w:tc>
          <w:tcPr>
            <w:tcW w:w="506" w:type="pct"/>
            <w:tcBorders>
              <w:top w:val="nil"/>
              <w:left w:val="nil"/>
              <w:bottom w:val="single" w:sz="4" w:space="0" w:color="auto"/>
              <w:right w:val="single" w:sz="4" w:space="0" w:color="auto"/>
            </w:tcBorders>
            <w:shd w:val="clear" w:color="auto" w:fill="auto"/>
            <w:vAlign w:val="center"/>
            <w:hideMark/>
          </w:tcPr>
          <w:p w14:paraId="3745DB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0E0DDE41" w14:textId="1ECA4A83"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Projektplan veprimi / Strategji:</w:t>
            </w:r>
            <w:r w:rsidR="006D6BE5">
              <w:rPr>
                <w:rFonts w:ascii="Arial" w:hAnsi="Arial" w:cs="Arial"/>
                <w:sz w:val="4"/>
                <w:szCs w:val="8"/>
                <w:lang w:val="sq-AL"/>
              </w:rPr>
              <w:t xml:space="preserve"> </w:t>
            </w:r>
            <w:r w:rsidRPr="006D6BE5">
              <w:rPr>
                <w:rFonts w:ascii="Arial" w:hAnsi="Arial" w:cs="Arial"/>
                <w:color w:val="000000"/>
                <w:sz w:val="4"/>
                <w:szCs w:val="8"/>
                <w:lang w:val="sq-AL"/>
              </w:rPr>
              <w:t>"Plan i Veprimit për Sigurinë e Profesionistëve të Medias në Shqipëri"</w:t>
            </w:r>
          </w:p>
        </w:tc>
        <w:tc>
          <w:tcPr>
            <w:tcW w:w="330" w:type="pct"/>
            <w:tcBorders>
              <w:top w:val="nil"/>
              <w:left w:val="nil"/>
              <w:bottom w:val="single" w:sz="4" w:space="0" w:color="auto"/>
              <w:right w:val="single" w:sz="4" w:space="0" w:color="auto"/>
            </w:tcBorders>
            <w:shd w:val="clear" w:color="auto" w:fill="auto"/>
            <w:vAlign w:val="center"/>
            <w:hideMark/>
          </w:tcPr>
          <w:p w14:paraId="45141F7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Forcimi i të drejtave të gazetarëve</w:t>
            </w:r>
          </w:p>
        </w:tc>
        <w:tc>
          <w:tcPr>
            <w:tcW w:w="126" w:type="pct"/>
            <w:tcBorders>
              <w:top w:val="nil"/>
              <w:left w:val="nil"/>
              <w:bottom w:val="single" w:sz="4" w:space="0" w:color="auto"/>
              <w:right w:val="single" w:sz="4" w:space="0" w:color="auto"/>
            </w:tcBorders>
            <w:shd w:val="clear" w:color="auto" w:fill="auto"/>
            <w:vAlign w:val="center"/>
            <w:hideMark/>
          </w:tcPr>
          <w:p w14:paraId="300890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539DFC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6EF3BD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17C3A2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7497E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995EA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37583C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4F188B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200</w:t>
            </w:r>
          </w:p>
        </w:tc>
        <w:tc>
          <w:tcPr>
            <w:tcW w:w="117" w:type="pct"/>
            <w:tcBorders>
              <w:top w:val="nil"/>
              <w:left w:val="nil"/>
              <w:bottom w:val="single" w:sz="4" w:space="0" w:color="auto"/>
              <w:right w:val="single" w:sz="4" w:space="0" w:color="auto"/>
            </w:tcBorders>
            <w:shd w:val="clear" w:color="auto" w:fill="auto"/>
            <w:vAlign w:val="center"/>
            <w:hideMark/>
          </w:tcPr>
          <w:p w14:paraId="7BAA8F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950CB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A9C2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9804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F6D4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122CD4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2108F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606DB76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6C2201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6FADBF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auto" w:fill="auto"/>
            <w:vAlign w:val="center"/>
            <w:hideMark/>
          </w:tcPr>
          <w:p w14:paraId="779260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Raporti mbi shtetin e së drejtës 2022</w:t>
            </w:r>
            <w:r w:rsidRPr="006D6BE5">
              <w:rPr>
                <w:rFonts w:ascii="Arial" w:hAnsi="Arial" w:cs="Arial"/>
                <w:color w:val="000000"/>
                <w:sz w:val="4"/>
                <w:szCs w:val="8"/>
                <w:lang w:val="sq-AL"/>
              </w:rPr>
              <w:br/>
              <w:t>Pasqyrë e Kapitullit të Mediave të Raportit të 3-të të Komisionit mbi Shtetin e së Drejtës, i publikuar më 13 korrik 2022</w:t>
            </w:r>
          </w:p>
        </w:tc>
        <w:tc>
          <w:tcPr>
            <w:tcW w:w="668" w:type="pct"/>
            <w:tcBorders>
              <w:top w:val="nil"/>
              <w:left w:val="nil"/>
              <w:bottom w:val="single" w:sz="4" w:space="0" w:color="auto"/>
              <w:right w:val="single" w:sz="4" w:space="0" w:color="auto"/>
            </w:tcBorders>
            <w:shd w:val="clear" w:color="auto" w:fill="auto"/>
            <w:vAlign w:val="center"/>
            <w:hideMark/>
          </w:tcPr>
          <w:p w14:paraId="459927A3" w14:textId="77777777" w:rsidR="00482167" w:rsidRPr="006D6BE5" w:rsidRDefault="00E63D69" w:rsidP="00A7241A">
            <w:pPr>
              <w:rPr>
                <w:rFonts w:ascii="Arial" w:hAnsi="Arial" w:cs="Arial"/>
                <w:color w:val="0563C1"/>
                <w:sz w:val="4"/>
                <w:szCs w:val="8"/>
                <w:u w:val="single"/>
                <w:lang w:val="sq-AL"/>
              </w:rPr>
            </w:pPr>
            <w:hyperlink r:id="rId124" w:history="1">
              <w:r w:rsidR="00482167" w:rsidRPr="006D6BE5">
                <w:rPr>
                  <w:rFonts w:ascii="Arial" w:hAnsi="Arial" w:cs="Arial"/>
                  <w:color w:val="0563C1"/>
                  <w:sz w:val="4"/>
                  <w:szCs w:val="8"/>
                  <w:u w:val="single"/>
                  <w:lang w:val="sq-AL"/>
                </w:rPr>
                <w:t xml:space="preserve">https://ec.europa.eu/info/publications/2022-rule-law-report-communication-and-country-chapters_en </w:t>
              </w:r>
            </w:hyperlink>
          </w:p>
        </w:tc>
        <w:tc>
          <w:tcPr>
            <w:tcW w:w="506" w:type="pct"/>
            <w:tcBorders>
              <w:top w:val="nil"/>
              <w:left w:val="nil"/>
              <w:bottom w:val="single" w:sz="4" w:space="0" w:color="auto"/>
              <w:right w:val="single" w:sz="4" w:space="0" w:color="auto"/>
            </w:tcBorders>
            <w:shd w:val="clear" w:color="auto" w:fill="auto"/>
            <w:vAlign w:val="center"/>
            <w:hideMark/>
          </w:tcPr>
          <w:p w14:paraId="1F927F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523F3CF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Trajnim i stafit të AMA</w:t>
            </w:r>
          </w:p>
        </w:tc>
        <w:tc>
          <w:tcPr>
            <w:tcW w:w="330" w:type="pct"/>
            <w:tcBorders>
              <w:top w:val="nil"/>
              <w:left w:val="nil"/>
              <w:bottom w:val="single" w:sz="4" w:space="0" w:color="auto"/>
              <w:right w:val="single" w:sz="4" w:space="0" w:color="auto"/>
            </w:tcBorders>
            <w:shd w:val="clear" w:color="auto" w:fill="auto"/>
            <w:vAlign w:val="center"/>
            <w:hideMark/>
          </w:tcPr>
          <w:p w14:paraId="5F128BB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Transparenca e pronësisë së medias, pavarësia e rregullatorit, pluralizmi mediatik</w:t>
            </w:r>
          </w:p>
        </w:tc>
        <w:tc>
          <w:tcPr>
            <w:tcW w:w="126" w:type="pct"/>
            <w:tcBorders>
              <w:top w:val="nil"/>
              <w:left w:val="nil"/>
              <w:bottom w:val="single" w:sz="4" w:space="0" w:color="auto"/>
              <w:right w:val="single" w:sz="4" w:space="0" w:color="auto"/>
            </w:tcBorders>
            <w:shd w:val="clear" w:color="auto" w:fill="auto"/>
            <w:vAlign w:val="center"/>
            <w:hideMark/>
          </w:tcPr>
          <w:p w14:paraId="65880B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auto" w:fill="auto"/>
            <w:vAlign w:val="center"/>
            <w:hideMark/>
          </w:tcPr>
          <w:p w14:paraId="2F21DA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40B5EA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1DFBA8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5A6A24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35037A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616D4C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392F55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250</w:t>
            </w:r>
          </w:p>
        </w:tc>
        <w:tc>
          <w:tcPr>
            <w:tcW w:w="117" w:type="pct"/>
            <w:tcBorders>
              <w:top w:val="nil"/>
              <w:left w:val="nil"/>
              <w:bottom w:val="single" w:sz="4" w:space="0" w:color="auto"/>
              <w:right w:val="single" w:sz="4" w:space="0" w:color="auto"/>
            </w:tcBorders>
            <w:shd w:val="clear" w:color="auto" w:fill="auto"/>
            <w:vAlign w:val="center"/>
            <w:hideMark/>
          </w:tcPr>
          <w:p w14:paraId="67F7EB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D1C0D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361F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56FF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78194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3BC110A"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F2AC4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w:t>
            </w:r>
          </w:p>
        </w:tc>
        <w:tc>
          <w:tcPr>
            <w:tcW w:w="144" w:type="pct"/>
            <w:tcBorders>
              <w:top w:val="nil"/>
              <w:left w:val="nil"/>
              <w:bottom w:val="single" w:sz="4" w:space="0" w:color="auto"/>
              <w:right w:val="single" w:sz="4" w:space="0" w:color="auto"/>
            </w:tcBorders>
            <w:shd w:val="clear" w:color="auto" w:fill="auto"/>
            <w:vAlign w:val="center"/>
            <w:hideMark/>
          </w:tcPr>
          <w:p w14:paraId="26BFB34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MIE/AKSHI</w:t>
            </w:r>
          </w:p>
        </w:tc>
        <w:tc>
          <w:tcPr>
            <w:tcW w:w="165" w:type="pct"/>
            <w:tcBorders>
              <w:top w:val="nil"/>
              <w:left w:val="nil"/>
              <w:bottom w:val="single" w:sz="4" w:space="0" w:color="auto"/>
              <w:right w:val="single" w:sz="4" w:space="0" w:color="auto"/>
            </w:tcBorders>
            <w:shd w:val="clear" w:color="DEEBF7" w:fill="FFFFFF"/>
            <w:vAlign w:val="center"/>
            <w:hideMark/>
          </w:tcPr>
          <w:p w14:paraId="234D0D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10.3. Politika / media audiovizive </w:t>
            </w:r>
          </w:p>
        </w:tc>
        <w:tc>
          <w:tcPr>
            <w:tcW w:w="171" w:type="pct"/>
            <w:tcBorders>
              <w:top w:val="nil"/>
              <w:left w:val="nil"/>
              <w:bottom w:val="single" w:sz="4" w:space="0" w:color="auto"/>
              <w:right w:val="single" w:sz="4" w:space="0" w:color="auto"/>
            </w:tcBorders>
            <w:shd w:val="clear" w:color="DEEBF7" w:fill="FFFFFF"/>
            <w:vAlign w:val="center"/>
            <w:hideMark/>
          </w:tcPr>
          <w:p w14:paraId="5E1719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Politika / media audiovizive </w:t>
            </w:r>
          </w:p>
        </w:tc>
        <w:tc>
          <w:tcPr>
            <w:tcW w:w="661" w:type="pct"/>
            <w:tcBorders>
              <w:top w:val="nil"/>
              <w:left w:val="nil"/>
              <w:bottom w:val="single" w:sz="4" w:space="0" w:color="auto"/>
              <w:right w:val="single" w:sz="4" w:space="0" w:color="auto"/>
            </w:tcBorders>
            <w:shd w:val="clear" w:color="auto" w:fill="auto"/>
            <w:vAlign w:val="center"/>
            <w:hideMark/>
          </w:tcPr>
          <w:p w14:paraId="373F43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Propozim për një RREGULLORE TË PARLAMENTIT DHE TË KËSHILLIT EVROPIAN për krijimin e një kuadri të përbashkët për shërbimet e medias në tregun e brendshëm (Akti Evropian për Lirinë e Medias) dhe ndryshimin e Direktivës 2010/13/BE</w:t>
            </w:r>
            <w:r w:rsidRPr="006D6BE5">
              <w:rPr>
                <w:rFonts w:ascii="Arial" w:hAnsi="Arial" w:cs="Arial"/>
                <w:color w:val="000000"/>
                <w:sz w:val="4"/>
                <w:szCs w:val="8"/>
                <w:lang w:val="sq-AL"/>
              </w:rPr>
              <w:br/>
              <w:t>COM/2022/457, versioni përfundimtar</w:t>
            </w:r>
          </w:p>
        </w:tc>
        <w:tc>
          <w:tcPr>
            <w:tcW w:w="668" w:type="pct"/>
            <w:tcBorders>
              <w:top w:val="nil"/>
              <w:left w:val="nil"/>
              <w:bottom w:val="single" w:sz="4" w:space="0" w:color="auto"/>
              <w:right w:val="single" w:sz="4" w:space="0" w:color="auto"/>
            </w:tcBorders>
            <w:shd w:val="clear" w:color="auto" w:fill="auto"/>
            <w:vAlign w:val="center"/>
            <w:hideMark/>
          </w:tcPr>
          <w:p w14:paraId="110C812E" w14:textId="77777777" w:rsidR="00482167" w:rsidRPr="006D6BE5" w:rsidRDefault="00E63D69" w:rsidP="00A7241A">
            <w:pPr>
              <w:rPr>
                <w:rFonts w:ascii="Arial" w:hAnsi="Arial" w:cs="Arial"/>
                <w:color w:val="0563C1"/>
                <w:sz w:val="4"/>
                <w:szCs w:val="8"/>
                <w:u w:val="single"/>
                <w:lang w:val="sq-AL"/>
              </w:rPr>
            </w:pPr>
            <w:hyperlink r:id="rId125" w:history="1">
              <w:r w:rsidR="00482167" w:rsidRPr="006D6BE5">
                <w:rPr>
                  <w:rFonts w:ascii="Arial" w:hAnsi="Arial" w:cs="Arial"/>
                  <w:color w:val="0563C1"/>
                  <w:sz w:val="4"/>
                  <w:szCs w:val="8"/>
                  <w:u w:val="single"/>
                  <w:lang w:val="sq-AL"/>
                </w:rPr>
                <w:t xml:space="preserve">https://eur-lex.europa.eu/legal-content/EN/TXT/?uri=CELEX%3A52022PC0457 </w:t>
              </w:r>
            </w:hyperlink>
          </w:p>
        </w:tc>
        <w:tc>
          <w:tcPr>
            <w:tcW w:w="506" w:type="pct"/>
            <w:tcBorders>
              <w:top w:val="nil"/>
              <w:left w:val="nil"/>
              <w:bottom w:val="single" w:sz="4" w:space="0" w:color="auto"/>
              <w:right w:val="single" w:sz="4" w:space="0" w:color="auto"/>
            </w:tcBorders>
            <w:shd w:val="clear" w:color="auto" w:fill="auto"/>
            <w:vAlign w:val="center"/>
            <w:hideMark/>
          </w:tcPr>
          <w:p w14:paraId="27C47D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818355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AMA-s (Rregullore): “</w:t>
            </w:r>
            <w:r w:rsidRPr="006D6BE5">
              <w:rPr>
                <w:rFonts w:ascii="Arial" w:hAnsi="Arial" w:cs="Arial"/>
                <w:color w:val="000000"/>
                <w:sz w:val="4"/>
                <w:szCs w:val="8"/>
                <w:lang w:val="sq-AL"/>
              </w:rPr>
              <w:t xml:space="preserve">Për kriteret dhe procedurat e shqyrtimit të ndryshimeve në strukturën e pronësisë dhe transparencen e të dhënave prej ofruesve të shërbimeve mediatike audiovizive private” </w:t>
            </w:r>
          </w:p>
        </w:tc>
        <w:tc>
          <w:tcPr>
            <w:tcW w:w="330" w:type="pct"/>
            <w:tcBorders>
              <w:top w:val="nil"/>
              <w:left w:val="nil"/>
              <w:bottom w:val="single" w:sz="4" w:space="0" w:color="auto"/>
              <w:right w:val="single" w:sz="4" w:space="0" w:color="auto"/>
            </w:tcBorders>
            <w:shd w:val="clear" w:color="auto" w:fill="auto"/>
            <w:vAlign w:val="center"/>
            <w:hideMark/>
          </w:tcPr>
          <w:p w14:paraId="13C4271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Transparenca e pronësisë së medias, deklarim informacioni mbi pronësinë, pluralizmi mediatik</w:t>
            </w:r>
          </w:p>
        </w:tc>
        <w:tc>
          <w:tcPr>
            <w:tcW w:w="126" w:type="pct"/>
            <w:tcBorders>
              <w:top w:val="nil"/>
              <w:left w:val="nil"/>
              <w:bottom w:val="single" w:sz="4" w:space="0" w:color="auto"/>
              <w:right w:val="single" w:sz="4" w:space="0" w:color="auto"/>
            </w:tcBorders>
            <w:shd w:val="clear" w:color="auto" w:fill="auto"/>
            <w:vAlign w:val="center"/>
            <w:hideMark/>
          </w:tcPr>
          <w:p w14:paraId="671CBC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w:t>
            </w:r>
          </w:p>
        </w:tc>
        <w:tc>
          <w:tcPr>
            <w:tcW w:w="146" w:type="pct"/>
            <w:tcBorders>
              <w:top w:val="nil"/>
              <w:left w:val="nil"/>
              <w:bottom w:val="single" w:sz="4" w:space="0" w:color="auto"/>
              <w:right w:val="single" w:sz="4" w:space="0" w:color="auto"/>
            </w:tcBorders>
            <w:shd w:val="clear" w:color="auto" w:fill="auto"/>
            <w:vAlign w:val="center"/>
            <w:hideMark/>
          </w:tcPr>
          <w:p w14:paraId="547E32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auto" w:fill="auto"/>
            <w:vAlign w:val="center"/>
            <w:hideMark/>
          </w:tcPr>
          <w:p w14:paraId="08757D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AMA</w:t>
            </w:r>
          </w:p>
        </w:tc>
        <w:tc>
          <w:tcPr>
            <w:tcW w:w="113" w:type="pct"/>
            <w:tcBorders>
              <w:top w:val="nil"/>
              <w:left w:val="nil"/>
              <w:bottom w:val="single" w:sz="4" w:space="0" w:color="auto"/>
              <w:right w:val="single" w:sz="4" w:space="0" w:color="auto"/>
            </w:tcBorders>
            <w:shd w:val="clear" w:color="auto" w:fill="auto"/>
            <w:vAlign w:val="center"/>
            <w:hideMark/>
          </w:tcPr>
          <w:p w14:paraId="1E670B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72329B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1A874C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53911B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100</w:t>
            </w:r>
          </w:p>
        </w:tc>
        <w:tc>
          <w:tcPr>
            <w:tcW w:w="126" w:type="pct"/>
            <w:tcBorders>
              <w:top w:val="nil"/>
              <w:left w:val="nil"/>
              <w:bottom w:val="single" w:sz="4" w:space="0" w:color="auto"/>
              <w:right w:val="single" w:sz="4" w:space="0" w:color="auto"/>
            </w:tcBorders>
            <w:shd w:val="clear" w:color="auto" w:fill="auto"/>
            <w:vAlign w:val="center"/>
            <w:hideMark/>
          </w:tcPr>
          <w:p w14:paraId="00D46E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709073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0A5F4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B4D3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33C7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82EC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C3A3303"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0E663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21861D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3135B5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Ligji I Punës</w:t>
            </w:r>
          </w:p>
        </w:tc>
        <w:tc>
          <w:tcPr>
            <w:tcW w:w="171" w:type="pct"/>
            <w:tcBorders>
              <w:top w:val="nil"/>
              <w:left w:val="nil"/>
              <w:bottom w:val="single" w:sz="4" w:space="0" w:color="auto"/>
              <w:right w:val="single" w:sz="4" w:space="0" w:color="auto"/>
            </w:tcBorders>
            <w:shd w:val="clear" w:color="auto" w:fill="auto"/>
            <w:vAlign w:val="center"/>
            <w:hideMark/>
          </w:tcPr>
          <w:p w14:paraId="748D70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Kushtet e Punes</w:t>
            </w:r>
          </w:p>
        </w:tc>
        <w:tc>
          <w:tcPr>
            <w:tcW w:w="661" w:type="pct"/>
            <w:tcBorders>
              <w:top w:val="nil"/>
              <w:left w:val="nil"/>
              <w:bottom w:val="single" w:sz="4" w:space="0" w:color="auto"/>
              <w:right w:val="single" w:sz="4" w:space="0" w:color="auto"/>
            </w:tcBorders>
            <w:shd w:val="clear" w:color="auto" w:fill="auto"/>
            <w:vAlign w:val="center"/>
            <w:hideMark/>
          </w:tcPr>
          <w:p w14:paraId="7133F8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2008/94/KE e Parlamentit Evropian dhe e Këshillit e 22 tetorit 2008 për mbrojtjen e punonjësve në rast të falimentimit të punëdhënësit të tyre (Versioni i kodifikuar) (Tekst me rëndësi për ZEE)</w:t>
            </w:r>
            <w:r w:rsidRPr="006D6BE5">
              <w:rPr>
                <w:rFonts w:ascii="Arial" w:hAnsi="Arial" w:cs="Arial"/>
                <w:color w:val="000000"/>
                <w:sz w:val="4"/>
                <w:szCs w:val="8"/>
                <w:lang w:val="sq-AL"/>
              </w:rPr>
              <w:br/>
            </w:r>
            <w:r w:rsidRPr="006D6BE5">
              <w:rPr>
                <w:rFonts w:ascii="Arial" w:hAnsi="Arial" w:cs="Arial"/>
                <w:i/>
                <w:iCs/>
                <w:color w:val="000000"/>
                <w:sz w:val="4"/>
                <w:szCs w:val="8"/>
                <w:lang w:val="sq-AL"/>
              </w:rPr>
              <w:t>OJ L 283, 28.10.2008, f. 36–42</w:t>
            </w:r>
            <w:r w:rsidRPr="006D6BE5">
              <w:rPr>
                <w:rFonts w:ascii="Arial" w:hAnsi="Arial" w:cs="Arial"/>
                <w:i/>
                <w:iCs/>
                <w:color w:val="000000"/>
                <w:sz w:val="4"/>
                <w:szCs w:val="8"/>
                <w:lang w:val="sq-AL"/>
              </w:rPr>
              <w:br/>
              <w:t>Kjo direktivë konsolidon Direktivat 80/987/EEC dhe 2002/74/EC</w:t>
            </w:r>
            <w:r w:rsidRPr="006D6BE5">
              <w:rPr>
                <w:rFonts w:ascii="Arial" w:hAnsi="Arial" w:cs="Arial"/>
                <w:i/>
                <w:iCs/>
                <w:color w:val="000000"/>
                <w:sz w:val="4"/>
                <w:szCs w:val="8"/>
                <w:lang w:val="sq-AL"/>
              </w:rPr>
              <w:br/>
              <w:t>Shih gjithashtu modifikimin nga Direktiva 2015/1794</w:t>
            </w:r>
          </w:p>
        </w:tc>
        <w:tc>
          <w:tcPr>
            <w:tcW w:w="668" w:type="pct"/>
            <w:tcBorders>
              <w:top w:val="nil"/>
              <w:left w:val="nil"/>
              <w:bottom w:val="single" w:sz="4" w:space="0" w:color="auto"/>
              <w:right w:val="single" w:sz="4" w:space="0" w:color="auto"/>
            </w:tcBorders>
            <w:shd w:val="clear" w:color="auto" w:fill="auto"/>
            <w:vAlign w:val="center"/>
            <w:hideMark/>
          </w:tcPr>
          <w:p w14:paraId="71D802F3" w14:textId="77777777" w:rsidR="00482167" w:rsidRPr="006D6BE5" w:rsidRDefault="00E63D69" w:rsidP="00A7241A">
            <w:pPr>
              <w:rPr>
                <w:rFonts w:ascii="Arial" w:hAnsi="Arial" w:cs="Arial"/>
                <w:color w:val="0563C1"/>
                <w:sz w:val="4"/>
                <w:szCs w:val="8"/>
                <w:u w:val="single"/>
                <w:lang w:val="sq-AL"/>
              </w:rPr>
            </w:pPr>
            <w:hyperlink r:id="rId126" w:history="1">
              <w:r w:rsidR="00482167" w:rsidRPr="006D6BE5">
                <w:rPr>
                  <w:rFonts w:ascii="Arial" w:hAnsi="Arial" w:cs="Arial"/>
                  <w:color w:val="0563C1"/>
                  <w:sz w:val="4"/>
                  <w:szCs w:val="8"/>
                  <w:u w:val="single"/>
                  <w:lang w:val="sq-AL"/>
                </w:rPr>
                <w:t>https://eur-lex.europa.eu/legal-content/EN/TXT/?qid=15</w:t>
              </w:r>
              <w:r w:rsidR="00482167" w:rsidRPr="006D6BE5">
                <w:rPr>
                  <w:rFonts w:ascii="Arial" w:hAnsi="Arial" w:cs="Arial"/>
                  <w:color w:val="0563C1"/>
                  <w:sz w:val="4"/>
                  <w:szCs w:val="8"/>
                  <w:u w:val="single"/>
                  <w:lang w:val="sq-AL"/>
                </w:rPr>
                <w:br/>
                <w:t>53622837438&amp;uri=CELEX:02008L0094-20151009</w:t>
              </w:r>
              <w:r w:rsidR="00482167" w:rsidRPr="006D6BE5">
                <w:rPr>
                  <w:rFonts w:ascii="Arial" w:hAnsi="Arial" w:cs="Arial"/>
                  <w:color w:val="0563C1"/>
                  <w:sz w:val="4"/>
                  <w:szCs w:val="8"/>
                  <w:u w:val="single"/>
                  <w:lang w:val="sq-AL"/>
                </w:rPr>
                <w:br/>
              </w:r>
            </w:hyperlink>
          </w:p>
        </w:tc>
        <w:tc>
          <w:tcPr>
            <w:tcW w:w="506" w:type="pct"/>
            <w:tcBorders>
              <w:top w:val="nil"/>
              <w:left w:val="nil"/>
              <w:bottom w:val="single" w:sz="4" w:space="0" w:color="auto"/>
              <w:right w:val="single" w:sz="4" w:space="0" w:color="auto"/>
            </w:tcBorders>
            <w:shd w:val="clear" w:color="auto" w:fill="auto"/>
            <w:vAlign w:val="center"/>
            <w:hideMark/>
          </w:tcPr>
          <w:p w14:paraId="06F619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A2D68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Projektligji "Për krijimin e një fondi garancie për punëmarrësit në rast falimentimi të punëdhënësit të tyre"</w:t>
            </w:r>
          </w:p>
        </w:tc>
        <w:tc>
          <w:tcPr>
            <w:tcW w:w="330" w:type="pct"/>
            <w:tcBorders>
              <w:top w:val="nil"/>
              <w:left w:val="nil"/>
              <w:bottom w:val="single" w:sz="4" w:space="0" w:color="auto"/>
              <w:right w:val="single" w:sz="4" w:space="0" w:color="auto"/>
            </w:tcBorders>
            <w:shd w:val="clear" w:color="auto" w:fill="auto"/>
            <w:vAlign w:val="center"/>
            <w:hideMark/>
          </w:tcPr>
          <w:p w14:paraId="2AFF00F1" w14:textId="01FE6985" w:rsidR="00482167" w:rsidRPr="006D6BE5" w:rsidRDefault="00482167" w:rsidP="00A7241A">
            <w:pPr>
              <w:rPr>
                <w:rFonts w:ascii="Arial" w:hAnsi="Arial" w:cs="Arial"/>
                <w:sz w:val="4"/>
                <w:szCs w:val="8"/>
                <w:lang w:val="sq-AL"/>
              </w:rPr>
            </w:pPr>
            <w:r w:rsidRPr="006D6BE5">
              <w:rPr>
                <w:rFonts w:ascii="Arial" w:hAnsi="Arial" w:cs="Arial"/>
                <w:sz w:val="4"/>
                <w:szCs w:val="8"/>
                <w:lang w:val="sq-AL"/>
              </w:rPr>
              <w:t>Krijimi i një institucioni garancie</w:t>
            </w:r>
            <w:r w:rsidR="006D6BE5">
              <w:rPr>
                <w:rFonts w:ascii="Arial" w:hAnsi="Arial" w:cs="Arial"/>
                <w:sz w:val="4"/>
                <w:szCs w:val="8"/>
                <w:lang w:val="sq-AL"/>
              </w:rPr>
              <w:t xml:space="preserve"> </w:t>
            </w:r>
            <w:r w:rsidRPr="006D6BE5">
              <w:rPr>
                <w:rFonts w:ascii="Arial" w:hAnsi="Arial" w:cs="Arial"/>
                <w:sz w:val="4"/>
                <w:szCs w:val="8"/>
                <w:lang w:val="sq-AL"/>
              </w:rPr>
              <w:t>që merret me kërkesat e punëmarrësve që rrjedhin nga kontratat e punës ose marrëdhëniet e punës në rast falimentimi të punëdhënësit të tyre.</w:t>
            </w:r>
          </w:p>
        </w:tc>
        <w:tc>
          <w:tcPr>
            <w:tcW w:w="126" w:type="pct"/>
            <w:tcBorders>
              <w:top w:val="nil"/>
              <w:left w:val="nil"/>
              <w:bottom w:val="single" w:sz="4" w:space="0" w:color="auto"/>
              <w:right w:val="single" w:sz="4" w:space="0" w:color="auto"/>
            </w:tcBorders>
            <w:shd w:val="clear" w:color="auto" w:fill="auto"/>
            <w:vAlign w:val="center"/>
            <w:hideMark/>
          </w:tcPr>
          <w:p w14:paraId="13D3D5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40A204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22892C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MFE/MD</w:t>
            </w:r>
          </w:p>
        </w:tc>
        <w:tc>
          <w:tcPr>
            <w:tcW w:w="113" w:type="pct"/>
            <w:tcBorders>
              <w:top w:val="nil"/>
              <w:left w:val="nil"/>
              <w:bottom w:val="single" w:sz="4" w:space="0" w:color="auto"/>
              <w:right w:val="single" w:sz="4" w:space="0" w:color="auto"/>
            </w:tcBorders>
            <w:shd w:val="clear" w:color="auto" w:fill="auto"/>
            <w:vAlign w:val="center"/>
            <w:hideMark/>
          </w:tcPr>
          <w:p w14:paraId="037BB3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3BA934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549B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85BAA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273</w:t>
            </w:r>
          </w:p>
        </w:tc>
        <w:tc>
          <w:tcPr>
            <w:tcW w:w="126" w:type="pct"/>
            <w:tcBorders>
              <w:top w:val="nil"/>
              <w:left w:val="nil"/>
              <w:bottom w:val="single" w:sz="4" w:space="0" w:color="auto"/>
              <w:right w:val="single" w:sz="4" w:space="0" w:color="auto"/>
            </w:tcBorders>
            <w:shd w:val="clear" w:color="auto" w:fill="auto"/>
            <w:vAlign w:val="center"/>
            <w:hideMark/>
          </w:tcPr>
          <w:p w14:paraId="4F9FF5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273</w:t>
            </w:r>
          </w:p>
        </w:tc>
        <w:tc>
          <w:tcPr>
            <w:tcW w:w="117" w:type="pct"/>
            <w:tcBorders>
              <w:top w:val="nil"/>
              <w:left w:val="nil"/>
              <w:bottom w:val="single" w:sz="4" w:space="0" w:color="auto"/>
              <w:right w:val="single" w:sz="4" w:space="0" w:color="auto"/>
            </w:tcBorders>
            <w:shd w:val="clear" w:color="auto" w:fill="auto"/>
            <w:vAlign w:val="center"/>
            <w:hideMark/>
          </w:tcPr>
          <w:p w14:paraId="46A69A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273</w:t>
            </w:r>
          </w:p>
        </w:tc>
        <w:tc>
          <w:tcPr>
            <w:tcW w:w="129" w:type="pct"/>
            <w:tcBorders>
              <w:top w:val="nil"/>
              <w:left w:val="nil"/>
              <w:bottom w:val="single" w:sz="4" w:space="0" w:color="auto"/>
              <w:right w:val="single" w:sz="4" w:space="0" w:color="auto"/>
            </w:tcBorders>
            <w:shd w:val="clear" w:color="FFFFFF" w:fill="FFFFFF"/>
            <w:vAlign w:val="center"/>
            <w:hideMark/>
          </w:tcPr>
          <w:p w14:paraId="0091AE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EA7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025C5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41672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DB9B8C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FC3BD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334D89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40A765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Shëndeti dhe Siguria në Punë</w:t>
            </w:r>
          </w:p>
        </w:tc>
        <w:tc>
          <w:tcPr>
            <w:tcW w:w="171" w:type="pct"/>
            <w:tcBorders>
              <w:top w:val="nil"/>
              <w:left w:val="nil"/>
              <w:bottom w:val="single" w:sz="4" w:space="0" w:color="auto"/>
              <w:right w:val="single" w:sz="4" w:space="0" w:color="auto"/>
            </w:tcBorders>
            <w:shd w:val="clear" w:color="auto" w:fill="auto"/>
            <w:vAlign w:val="center"/>
            <w:hideMark/>
          </w:tcPr>
          <w:p w14:paraId="70E6F2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Rreziqet Specifike (agjentët fizike dhe biologjikë)</w:t>
            </w:r>
          </w:p>
        </w:tc>
        <w:tc>
          <w:tcPr>
            <w:tcW w:w="661" w:type="pct"/>
            <w:tcBorders>
              <w:top w:val="nil"/>
              <w:left w:val="nil"/>
              <w:bottom w:val="single" w:sz="4" w:space="0" w:color="auto"/>
              <w:right w:val="single" w:sz="4" w:space="0" w:color="auto"/>
            </w:tcBorders>
            <w:shd w:val="clear" w:color="auto" w:fill="auto"/>
            <w:vAlign w:val="center"/>
            <w:hideMark/>
          </w:tcPr>
          <w:p w14:paraId="66FE62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2010/32/BE e datës 10 maj 2010 për zbatimin e Marrëveshjes Kornizë për parandalimin nga dëmtimet e mprehta në sektorin spitalor dhe shëndetësor të lidhur nga HOSPEEM dhe EPSU</w:t>
            </w:r>
            <w:r w:rsidRPr="006D6BE5">
              <w:rPr>
                <w:rFonts w:ascii="Arial" w:hAnsi="Arial" w:cs="Arial"/>
                <w:color w:val="000000"/>
                <w:sz w:val="4"/>
                <w:szCs w:val="8"/>
                <w:lang w:val="sq-AL"/>
              </w:rPr>
              <w:br/>
              <w:t>OJ L 134, 1.6.2010, f. 66</w:t>
            </w:r>
          </w:p>
        </w:tc>
        <w:tc>
          <w:tcPr>
            <w:tcW w:w="668" w:type="pct"/>
            <w:tcBorders>
              <w:top w:val="nil"/>
              <w:left w:val="nil"/>
              <w:bottom w:val="single" w:sz="4" w:space="0" w:color="auto"/>
              <w:right w:val="single" w:sz="4" w:space="0" w:color="auto"/>
            </w:tcBorders>
            <w:shd w:val="clear" w:color="auto" w:fill="auto"/>
            <w:vAlign w:val="center"/>
            <w:hideMark/>
          </w:tcPr>
          <w:p w14:paraId="48040E4C" w14:textId="77777777" w:rsidR="00482167" w:rsidRPr="006D6BE5" w:rsidRDefault="00E63D69" w:rsidP="00A7241A">
            <w:pPr>
              <w:rPr>
                <w:rFonts w:ascii="Arial" w:hAnsi="Arial" w:cs="Arial"/>
                <w:color w:val="0563C1"/>
                <w:sz w:val="4"/>
                <w:szCs w:val="8"/>
                <w:u w:val="single"/>
                <w:lang w:val="sq-AL"/>
              </w:rPr>
            </w:pPr>
            <w:hyperlink r:id="rId127" w:history="1">
              <w:r w:rsidR="00482167" w:rsidRPr="006D6BE5">
                <w:rPr>
                  <w:rFonts w:ascii="Arial" w:hAnsi="Arial" w:cs="Arial"/>
                  <w:color w:val="0563C1"/>
                  <w:sz w:val="4"/>
                  <w:szCs w:val="8"/>
                  <w:u w:val="single"/>
                  <w:lang w:val="sq-AL"/>
                </w:rPr>
                <w:t>https://eur-lex.europa.eu/legal-content/EN/TXT/?qid=1552055759891&amp;uri=CELEX:32010L0032</w:t>
              </w:r>
            </w:hyperlink>
          </w:p>
        </w:tc>
        <w:tc>
          <w:tcPr>
            <w:tcW w:w="506" w:type="pct"/>
            <w:tcBorders>
              <w:top w:val="nil"/>
              <w:left w:val="nil"/>
              <w:bottom w:val="single" w:sz="4" w:space="0" w:color="auto"/>
              <w:right w:val="single" w:sz="4" w:space="0" w:color="auto"/>
            </w:tcBorders>
            <w:shd w:val="clear" w:color="auto" w:fill="auto"/>
            <w:vAlign w:val="center"/>
            <w:hideMark/>
          </w:tcPr>
          <w:p w14:paraId="5EA54C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066E20BD" w14:textId="074E412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sigurinë dhe shëndetin në punë, për parandalimin nga dëmtimet e mprehta në sektorin spitalor dhe shëndetësor"</w:t>
            </w:r>
            <w:r w:rsidR="006D6BE5">
              <w:rPr>
                <w:rFonts w:ascii="Arial" w:hAnsi="Arial" w:cs="Arial"/>
                <w:color w:val="000000"/>
                <w:sz w:val="4"/>
                <w:szCs w:val="8"/>
                <w:lang w:val="sq-AL"/>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49EAAD8E" w14:textId="30D88BCC" w:rsidR="00482167" w:rsidRPr="006D6BE5" w:rsidRDefault="00482167" w:rsidP="00A7241A">
            <w:pPr>
              <w:rPr>
                <w:rFonts w:ascii="Arial" w:hAnsi="Arial" w:cs="Arial"/>
                <w:sz w:val="4"/>
                <w:szCs w:val="8"/>
                <w:lang w:val="sq-AL"/>
              </w:rPr>
            </w:pPr>
            <w:r w:rsidRPr="006D6BE5">
              <w:rPr>
                <w:rFonts w:ascii="Arial" w:hAnsi="Arial" w:cs="Arial"/>
                <w:sz w:val="4"/>
                <w:szCs w:val="8"/>
                <w:lang w:val="sq-AL"/>
              </w:rPr>
              <w:t>Ky Projektvendim përfshin punonjësit në sektorin shëndetësor, si dhe për të gjithë ata që janë nën autoritetin menaxherial dhe mbikëqyrjen e punëdhënësve në këtë sektor dhe ka për qëllim arritjen e një mjedisi pune sa më të sigurt, duke parandaluar lëndimet e punonjësve</w:t>
            </w:r>
            <w:r w:rsidR="006D6BE5">
              <w:rPr>
                <w:rFonts w:ascii="Arial" w:hAnsi="Arial" w:cs="Arial"/>
                <w:sz w:val="4"/>
                <w:szCs w:val="8"/>
                <w:lang w:val="sq-AL"/>
              </w:rPr>
              <w:t xml:space="preserve"> </w:t>
            </w:r>
            <w:r w:rsidRPr="006D6BE5">
              <w:rPr>
                <w:rFonts w:ascii="Arial" w:hAnsi="Arial" w:cs="Arial"/>
                <w:sz w:val="4"/>
                <w:szCs w:val="8"/>
                <w:lang w:val="sq-AL"/>
              </w:rPr>
              <w:t>të shkaktuara nga të gjitha mjetet e mprehta mjekësore (përfshirë gjilpërat),dhe për të krijuar një qasje të integruar duke vendosur politika në vlerësimin dhe parandalimin e riskut, trajnimin, informacionin, rritjen e ndërgjegjësimit dhe monitorimin.</w:t>
            </w:r>
          </w:p>
        </w:tc>
        <w:tc>
          <w:tcPr>
            <w:tcW w:w="126" w:type="pct"/>
            <w:tcBorders>
              <w:top w:val="nil"/>
              <w:left w:val="nil"/>
              <w:bottom w:val="single" w:sz="4" w:space="0" w:color="auto"/>
              <w:right w:val="single" w:sz="4" w:space="0" w:color="auto"/>
            </w:tcBorders>
            <w:shd w:val="clear" w:color="auto" w:fill="auto"/>
            <w:vAlign w:val="center"/>
            <w:hideMark/>
          </w:tcPr>
          <w:p w14:paraId="4B10F1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410C8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72E9D6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0FD14F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6BEF57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57F4C0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3914E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1,365 </w:t>
            </w:r>
          </w:p>
        </w:tc>
        <w:tc>
          <w:tcPr>
            <w:tcW w:w="126" w:type="pct"/>
            <w:tcBorders>
              <w:top w:val="nil"/>
              <w:left w:val="nil"/>
              <w:bottom w:val="single" w:sz="4" w:space="0" w:color="auto"/>
              <w:right w:val="single" w:sz="4" w:space="0" w:color="auto"/>
            </w:tcBorders>
            <w:shd w:val="clear" w:color="auto" w:fill="auto"/>
            <w:vAlign w:val="center"/>
            <w:hideMark/>
          </w:tcPr>
          <w:p w14:paraId="588106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36.40</w:t>
            </w:r>
          </w:p>
        </w:tc>
        <w:tc>
          <w:tcPr>
            <w:tcW w:w="117" w:type="pct"/>
            <w:tcBorders>
              <w:top w:val="nil"/>
              <w:left w:val="nil"/>
              <w:bottom w:val="single" w:sz="4" w:space="0" w:color="auto"/>
              <w:right w:val="single" w:sz="4" w:space="0" w:color="auto"/>
            </w:tcBorders>
            <w:shd w:val="clear" w:color="auto" w:fill="auto"/>
            <w:vAlign w:val="center"/>
            <w:hideMark/>
          </w:tcPr>
          <w:p w14:paraId="68E5D1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39D3A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C7A0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7330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811CB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F0C5C3E"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8F1C5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3E3606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39B385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Politikat e Punësimit</w:t>
            </w:r>
          </w:p>
        </w:tc>
        <w:tc>
          <w:tcPr>
            <w:tcW w:w="171" w:type="pct"/>
            <w:tcBorders>
              <w:top w:val="nil"/>
              <w:left w:val="nil"/>
              <w:bottom w:val="single" w:sz="4" w:space="0" w:color="auto"/>
              <w:right w:val="single" w:sz="4" w:space="0" w:color="auto"/>
            </w:tcBorders>
            <w:shd w:val="clear" w:color="auto" w:fill="auto"/>
            <w:vAlign w:val="center"/>
            <w:hideMark/>
          </w:tcPr>
          <w:p w14:paraId="3719AC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Mbështetja në punësim</w:t>
            </w:r>
          </w:p>
        </w:tc>
        <w:tc>
          <w:tcPr>
            <w:tcW w:w="661" w:type="pct"/>
            <w:tcBorders>
              <w:top w:val="nil"/>
              <w:left w:val="nil"/>
              <w:bottom w:val="single" w:sz="4" w:space="0" w:color="auto"/>
              <w:right w:val="single" w:sz="4" w:space="0" w:color="auto"/>
            </w:tcBorders>
            <w:shd w:val="clear" w:color="auto" w:fill="auto"/>
            <w:vAlign w:val="center"/>
            <w:hideMark/>
          </w:tcPr>
          <w:p w14:paraId="6F0079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Këshillit i datës 15 shkurt 2016 për integrimin e të papunëve afatgjatë në tregun e punës</w:t>
            </w:r>
            <w:r w:rsidRPr="006D6BE5">
              <w:rPr>
                <w:rFonts w:ascii="Arial" w:hAnsi="Arial" w:cs="Arial"/>
                <w:color w:val="000000"/>
                <w:sz w:val="4"/>
                <w:szCs w:val="8"/>
                <w:lang w:val="sq-AL"/>
              </w:rPr>
              <w:br/>
              <w:t>OJ C 67, 20.2.2016, f. 1–5</w:t>
            </w:r>
          </w:p>
        </w:tc>
        <w:tc>
          <w:tcPr>
            <w:tcW w:w="668" w:type="pct"/>
            <w:tcBorders>
              <w:top w:val="nil"/>
              <w:left w:val="nil"/>
              <w:bottom w:val="single" w:sz="4" w:space="0" w:color="auto"/>
              <w:right w:val="single" w:sz="4" w:space="0" w:color="auto"/>
            </w:tcBorders>
            <w:shd w:val="clear" w:color="auto" w:fill="auto"/>
            <w:vAlign w:val="center"/>
            <w:hideMark/>
          </w:tcPr>
          <w:p w14:paraId="0032A168" w14:textId="77777777" w:rsidR="00482167" w:rsidRPr="006D6BE5" w:rsidRDefault="00E63D69" w:rsidP="00A7241A">
            <w:pPr>
              <w:rPr>
                <w:rFonts w:ascii="Arial" w:hAnsi="Arial" w:cs="Arial"/>
                <w:color w:val="0563C1"/>
                <w:sz w:val="4"/>
                <w:szCs w:val="8"/>
                <w:u w:val="single"/>
                <w:lang w:val="sq-AL"/>
              </w:rPr>
            </w:pPr>
            <w:hyperlink r:id="rId128" w:history="1">
              <w:r w:rsidR="00482167" w:rsidRPr="006D6BE5">
                <w:rPr>
                  <w:rFonts w:ascii="Arial" w:hAnsi="Arial" w:cs="Arial"/>
                  <w:color w:val="0563C1"/>
                  <w:sz w:val="4"/>
                  <w:szCs w:val="8"/>
                  <w:u w:val="single"/>
                  <w:lang w:val="sq-AL"/>
                </w:rPr>
                <w:t>https://eur-lex.europa.eu/legal-content/EN/TXT/?uri=CELEX%3A32016H0220%2801%29</w:t>
              </w:r>
            </w:hyperlink>
          </w:p>
        </w:tc>
        <w:tc>
          <w:tcPr>
            <w:tcW w:w="506" w:type="pct"/>
            <w:tcBorders>
              <w:top w:val="nil"/>
              <w:left w:val="nil"/>
              <w:bottom w:val="single" w:sz="4" w:space="0" w:color="auto"/>
              <w:right w:val="single" w:sz="4" w:space="0" w:color="auto"/>
            </w:tcBorders>
            <w:shd w:val="clear" w:color="auto" w:fill="auto"/>
            <w:vAlign w:val="center"/>
            <w:hideMark/>
          </w:tcPr>
          <w:p w14:paraId="3166C6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EE7A2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Projektvenim i Këshillit të Ministrave "Për procedurat, kriteret dhe rregullat për zbatimin e programeve të nxitjes së punësimit përmes riintegrimit social"</w:t>
            </w:r>
          </w:p>
        </w:tc>
        <w:tc>
          <w:tcPr>
            <w:tcW w:w="330" w:type="pct"/>
            <w:tcBorders>
              <w:top w:val="nil"/>
              <w:left w:val="nil"/>
              <w:bottom w:val="single" w:sz="4" w:space="0" w:color="auto"/>
              <w:right w:val="single" w:sz="4" w:space="0" w:color="auto"/>
            </w:tcBorders>
            <w:shd w:val="clear" w:color="auto" w:fill="auto"/>
            <w:vAlign w:val="center"/>
            <w:hideMark/>
          </w:tcPr>
          <w:p w14:paraId="27564E3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Kjo masë synon zgjerimin e gamës së programve të nxitjes së punësimit me synimin adresimin e nevojave specifikie të një kategorie punëkerkuesish të papunë si kategoria e punëkerkuesve të papunë afatgjatë.</w:t>
            </w:r>
          </w:p>
        </w:tc>
        <w:tc>
          <w:tcPr>
            <w:tcW w:w="126" w:type="pct"/>
            <w:tcBorders>
              <w:top w:val="nil"/>
              <w:left w:val="nil"/>
              <w:bottom w:val="single" w:sz="4" w:space="0" w:color="auto"/>
              <w:right w:val="single" w:sz="4" w:space="0" w:color="auto"/>
            </w:tcBorders>
            <w:shd w:val="clear" w:color="auto" w:fill="auto"/>
            <w:vAlign w:val="center"/>
            <w:hideMark/>
          </w:tcPr>
          <w:p w14:paraId="350313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5216DE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526436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69838C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76BC64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auto" w:fill="auto"/>
            <w:vAlign w:val="center"/>
            <w:hideMark/>
          </w:tcPr>
          <w:p w14:paraId="345E6F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25FA68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127543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79890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2F014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F4F40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E7B8B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90B8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2748432"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83B7C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7D2CF3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40802F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10ACA0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Sociale (soft law)</w:t>
            </w:r>
          </w:p>
        </w:tc>
        <w:tc>
          <w:tcPr>
            <w:tcW w:w="661" w:type="pct"/>
            <w:tcBorders>
              <w:top w:val="nil"/>
              <w:left w:val="nil"/>
              <w:bottom w:val="single" w:sz="4" w:space="0" w:color="auto"/>
              <w:right w:val="single" w:sz="4" w:space="0" w:color="auto"/>
            </w:tcBorders>
            <w:shd w:val="clear" w:color="auto" w:fill="auto"/>
            <w:vAlign w:val="center"/>
            <w:hideMark/>
          </w:tcPr>
          <w:p w14:paraId="49910A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Këshillit (2019/C 387/01) i datës 8 nëntor 2019 mbi aksesin në mbrojtjen sociale për punëtorët dhe të vetëpunësuarit</w:t>
            </w:r>
            <w:r w:rsidRPr="006D6BE5">
              <w:rPr>
                <w:rFonts w:ascii="Arial" w:hAnsi="Arial" w:cs="Arial"/>
                <w:color w:val="000000"/>
                <w:sz w:val="4"/>
                <w:szCs w:val="8"/>
                <w:lang w:val="sq-AL"/>
              </w:rPr>
              <w:br/>
              <w:t>OJ C 387, 15.11.2019, f. 1–8</w:t>
            </w:r>
          </w:p>
        </w:tc>
        <w:tc>
          <w:tcPr>
            <w:tcW w:w="668" w:type="pct"/>
            <w:tcBorders>
              <w:top w:val="nil"/>
              <w:left w:val="nil"/>
              <w:bottom w:val="single" w:sz="4" w:space="0" w:color="auto"/>
              <w:right w:val="single" w:sz="4" w:space="0" w:color="auto"/>
            </w:tcBorders>
            <w:shd w:val="clear" w:color="auto" w:fill="auto"/>
            <w:vAlign w:val="center"/>
            <w:hideMark/>
          </w:tcPr>
          <w:p w14:paraId="5C58D781" w14:textId="77777777" w:rsidR="00482167" w:rsidRPr="006D6BE5" w:rsidRDefault="00E63D69" w:rsidP="00A7241A">
            <w:pPr>
              <w:rPr>
                <w:rFonts w:ascii="Arial" w:hAnsi="Arial" w:cs="Arial"/>
                <w:color w:val="0563C1"/>
                <w:sz w:val="4"/>
                <w:szCs w:val="8"/>
                <w:u w:val="single"/>
                <w:lang w:val="sq-AL"/>
              </w:rPr>
            </w:pPr>
            <w:hyperlink r:id="rId129" w:history="1">
              <w:r w:rsidR="00482167" w:rsidRPr="006D6BE5">
                <w:rPr>
                  <w:rFonts w:ascii="Arial" w:hAnsi="Arial" w:cs="Arial"/>
                  <w:color w:val="0563C1"/>
                  <w:sz w:val="4"/>
                  <w:szCs w:val="8"/>
                  <w:u w:val="single"/>
                  <w:lang w:val="sq-AL"/>
                </w:rPr>
                <w:t>https://eur-lex.europa.eu/legal-content/EN/TXT/?uri=CELEX%3A32019H1115%2801%29</w:t>
              </w:r>
            </w:hyperlink>
          </w:p>
        </w:tc>
        <w:tc>
          <w:tcPr>
            <w:tcW w:w="506" w:type="pct"/>
            <w:tcBorders>
              <w:top w:val="nil"/>
              <w:left w:val="nil"/>
              <w:bottom w:val="single" w:sz="4" w:space="0" w:color="auto"/>
              <w:right w:val="single" w:sz="4" w:space="0" w:color="auto"/>
            </w:tcBorders>
            <w:shd w:val="clear" w:color="auto" w:fill="auto"/>
            <w:vAlign w:val="center"/>
            <w:hideMark/>
          </w:tcPr>
          <w:p w14:paraId="575059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07595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indeksimin e pensioneve"</w:t>
            </w:r>
          </w:p>
        </w:tc>
        <w:tc>
          <w:tcPr>
            <w:tcW w:w="330" w:type="pct"/>
            <w:tcBorders>
              <w:top w:val="nil"/>
              <w:left w:val="nil"/>
              <w:bottom w:val="single" w:sz="4" w:space="0" w:color="auto"/>
              <w:right w:val="single" w:sz="4" w:space="0" w:color="auto"/>
            </w:tcBorders>
            <w:shd w:val="clear" w:color="auto" w:fill="auto"/>
            <w:vAlign w:val="center"/>
            <w:hideMark/>
          </w:tcPr>
          <w:p w14:paraId="79F71AC9" w14:textId="08FEC221" w:rsidR="00482167" w:rsidRPr="006D6BE5" w:rsidRDefault="00482167" w:rsidP="00A7241A">
            <w:pPr>
              <w:rPr>
                <w:rFonts w:ascii="Arial" w:hAnsi="Arial" w:cs="Arial"/>
                <w:sz w:val="4"/>
                <w:szCs w:val="8"/>
                <w:lang w:val="sq-AL"/>
              </w:rPr>
            </w:pPr>
            <w:r w:rsidRPr="006D6BE5">
              <w:rPr>
                <w:rFonts w:ascii="Arial" w:hAnsi="Arial" w:cs="Arial"/>
                <w:sz w:val="4"/>
                <w:szCs w:val="8"/>
                <w:lang w:val="sq-AL"/>
              </w:rPr>
              <w:t>Ky projekt vendim</w:t>
            </w:r>
            <w:r w:rsidR="006D6BE5">
              <w:rPr>
                <w:rFonts w:ascii="Arial" w:hAnsi="Arial" w:cs="Arial"/>
                <w:sz w:val="4"/>
                <w:szCs w:val="8"/>
                <w:lang w:val="sq-AL"/>
              </w:rPr>
              <w:t xml:space="preserve"> </w:t>
            </w:r>
            <w:r w:rsidRPr="006D6BE5">
              <w:rPr>
                <w:rFonts w:ascii="Arial" w:hAnsi="Arial" w:cs="Arial"/>
                <w:sz w:val="4"/>
                <w:szCs w:val="8"/>
                <w:lang w:val="sq-AL"/>
              </w:rPr>
              <w:t>synon rritjen e</w:t>
            </w:r>
            <w:r w:rsidR="006D6BE5">
              <w:rPr>
                <w:rFonts w:ascii="Arial" w:hAnsi="Arial" w:cs="Arial"/>
                <w:sz w:val="4"/>
                <w:szCs w:val="8"/>
                <w:lang w:val="sq-AL"/>
              </w:rPr>
              <w:t xml:space="preserve"> </w:t>
            </w:r>
            <w:r w:rsidRPr="006D6BE5">
              <w:rPr>
                <w:rFonts w:ascii="Arial" w:hAnsi="Arial" w:cs="Arial"/>
                <w:sz w:val="4"/>
                <w:szCs w:val="8"/>
                <w:lang w:val="sq-AL"/>
              </w:rPr>
              <w:t>nivelin ekonomik të pensionisteve që marrin pension pleqerie, familjar dhe invaliditeti duke zbutur pasojat e inflacionit financiar.</w:t>
            </w:r>
          </w:p>
        </w:tc>
        <w:tc>
          <w:tcPr>
            <w:tcW w:w="126" w:type="pct"/>
            <w:tcBorders>
              <w:top w:val="nil"/>
              <w:left w:val="nil"/>
              <w:bottom w:val="single" w:sz="4" w:space="0" w:color="auto"/>
              <w:right w:val="single" w:sz="4" w:space="0" w:color="auto"/>
            </w:tcBorders>
            <w:shd w:val="clear" w:color="auto" w:fill="auto"/>
            <w:vAlign w:val="center"/>
            <w:hideMark/>
          </w:tcPr>
          <w:p w14:paraId="17CB85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75D45D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auto" w:fill="auto"/>
            <w:vAlign w:val="center"/>
            <w:hideMark/>
          </w:tcPr>
          <w:p w14:paraId="6F0ED4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26F4C4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71E8E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0A54BA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F809B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163.79</w:t>
            </w:r>
          </w:p>
        </w:tc>
        <w:tc>
          <w:tcPr>
            <w:tcW w:w="126" w:type="pct"/>
            <w:tcBorders>
              <w:top w:val="nil"/>
              <w:left w:val="nil"/>
              <w:bottom w:val="single" w:sz="4" w:space="0" w:color="auto"/>
              <w:right w:val="single" w:sz="4" w:space="0" w:color="auto"/>
            </w:tcBorders>
            <w:shd w:val="clear" w:color="auto" w:fill="auto"/>
            <w:vAlign w:val="center"/>
            <w:hideMark/>
          </w:tcPr>
          <w:p w14:paraId="33E6B8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182.84</w:t>
            </w:r>
          </w:p>
        </w:tc>
        <w:tc>
          <w:tcPr>
            <w:tcW w:w="117" w:type="pct"/>
            <w:tcBorders>
              <w:top w:val="nil"/>
              <w:left w:val="nil"/>
              <w:bottom w:val="single" w:sz="4" w:space="0" w:color="auto"/>
              <w:right w:val="single" w:sz="4" w:space="0" w:color="auto"/>
            </w:tcBorders>
            <w:shd w:val="clear" w:color="auto" w:fill="auto"/>
            <w:vAlign w:val="center"/>
            <w:hideMark/>
          </w:tcPr>
          <w:p w14:paraId="353878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201.37</w:t>
            </w:r>
          </w:p>
        </w:tc>
        <w:tc>
          <w:tcPr>
            <w:tcW w:w="129" w:type="pct"/>
            <w:tcBorders>
              <w:top w:val="nil"/>
              <w:left w:val="nil"/>
              <w:bottom w:val="single" w:sz="4" w:space="0" w:color="auto"/>
              <w:right w:val="single" w:sz="4" w:space="0" w:color="auto"/>
            </w:tcBorders>
            <w:shd w:val="clear" w:color="FFFFFF" w:fill="FFFFFF"/>
            <w:vAlign w:val="center"/>
            <w:hideMark/>
          </w:tcPr>
          <w:p w14:paraId="527B3D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CDFF7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73616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1101E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4AB4F4D"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B004D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15A451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5BDF68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24C02345" w14:textId="71F5790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Personat me Aftësi të kufizuar[</w:t>
            </w:r>
            <w:r w:rsidR="006D6BE5">
              <w:rPr>
                <w:rFonts w:ascii="Arial" w:hAnsi="Arial" w:cs="Arial"/>
                <w:color w:val="000000"/>
                <w:sz w:val="4"/>
                <w:szCs w:val="8"/>
                <w:lang w:val="sq-AL"/>
              </w:rPr>
              <w:t xml:space="preserve"> </w:t>
            </w:r>
            <w:r w:rsidRPr="006D6BE5">
              <w:rPr>
                <w:rFonts w:ascii="Arial" w:hAnsi="Arial" w:cs="Arial"/>
                <w:i/>
                <w:iCs/>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7A15E7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2019/882 e Parlamentit Evropian dhe e Këshillit e datës 17 prill 2019 mbi kërkesat e aksesueshmërisë për produktet dhe shërbimet (Tekst me rëndësi për ZEE)</w:t>
            </w:r>
            <w:r w:rsidRPr="006D6BE5">
              <w:rPr>
                <w:rFonts w:ascii="Arial" w:hAnsi="Arial" w:cs="Arial"/>
                <w:color w:val="000000"/>
                <w:sz w:val="4"/>
                <w:szCs w:val="8"/>
                <w:lang w:val="sq-AL"/>
              </w:rPr>
              <w:br/>
              <w:t>OJ L 151, 7.6.2019, f. 70–115</w:t>
            </w:r>
          </w:p>
        </w:tc>
        <w:tc>
          <w:tcPr>
            <w:tcW w:w="668" w:type="pct"/>
            <w:tcBorders>
              <w:top w:val="nil"/>
              <w:left w:val="nil"/>
              <w:bottom w:val="single" w:sz="4" w:space="0" w:color="auto"/>
              <w:right w:val="single" w:sz="4" w:space="0" w:color="auto"/>
            </w:tcBorders>
            <w:shd w:val="clear" w:color="auto" w:fill="auto"/>
            <w:vAlign w:val="center"/>
            <w:hideMark/>
          </w:tcPr>
          <w:p w14:paraId="3551C23F" w14:textId="77777777" w:rsidR="00482167" w:rsidRPr="006D6BE5" w:rsidRDefault="00E63D69" w:rsidP="00A7241A">
            <w:pPr>
              <w:rPr>
                <w:rFonts w:ascii="Arial" w:hAnsi="Arial" w:cs="Arial"/>
                <w:color w:val="0563C1"/>
                <w:sz w:val="4"/>
                <w:szCs w:val="8"/>
                <w:u w:val="single"/>
                <w:lang w:val="sq-AL"/>
              </w:rPr>
            </w:pPr>
            <w:hyperlink r:id="rId130" w:history="1">
              <w:r w:rsidR="00482167" w:rsidRPr="006D6BE5">
                <w:rPr>
                  <w:rFonts w:ascii="Arial" w:hAnsi="Arial" w:cs="Arial"/>
                  <w:color w:val="0563C1"/>
                  <w:sz w:val="4"/>
                  <w:szCs w:val="8"/>
                  <w:u w:val="single"/>
                  <w:lang w:val="sq-AL"/>
                </w:rPr>
                <w:t>https://eur-lex.europa.eu/legal-content/EN/TXT/?uri=celex:32019L0882</w:t>
              </w:r>
            </w:hyperlink>
          </w:p>
        </w:tc>
        <w:tc>
          <w:tcPr>
            <w:tcW w:w="506" w:type="pct"/>
            <w:tcBorders>
              <w:top w:val="nil"/>
              <w:left w:val="nil"/>
              <w:bottom w:val="single" w:sz="4" w:space="0" w:color="auto"/>
              <w:right w:val="single" w:sz="4" w:space="0" w:color="auto"/>
            </w:tcBorders>
            <w:shd w:val="clear" w:color="auto" w:fill="auto"/>
            <w:vAlign w:val="center"/>
            <w:hideMark/>
          </w:tcPr>
          <w:p w14:paraId="1C95C7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904E11B" w14:textId="76C9899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Kombëtar për Personat me Aftësi të Kufizuar"</w:t>
            </w:r>
            <w:r w:rsidR="006D6BE5">
              <w:rPr>
                <w:rFonts w:ascii="Arial" w:hAnsi="Arial" w:cs="Arial"/>
                <w:color w:val="000000"/>
                <w:sz w:val="4"/>
                <w:szCs w:val="8"/>
                <w:lang w:val="sq-AL"/>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0B3C916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Kjo masë synon gjithëpërfshirjen dhe integrimin në shoqëri për Personat me Aftësi të Kufizuar dhe ka si qëllim harmonizimin me dokumentat strategjik për PAK, duke pasur objektiv kryesor aksesueshmërisë në shërbime të gjithë kategorive të PAK.</w:t>
            </w:r>
          </w:p>
        </w:tc>
        <w:tc>
          <w:tcPr>
            <w:tcW w:w="126" w:type="pct"/>
            <w:tcBorders>
              <w:top w:val="nil"/>
              <w:left w:val="nil"/>
              <w:bottom w:val="single" w:sz="4" w:space="0" w:color="auto"/>
              <w:right w:val="single" w:sz="4" w:space="0" w:color="auto"/>
            </w:tcBorders>
            <w:shd w:val="clear" w:color="auto" w:fill="auto"/>
            <w:vAlign w:val="center"/>
            <w:hideMark/>
          </w:tcPr>
          <w:p w14:paraId="2DA369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711BAC5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4DB00A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758463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72EA13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190BFA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BA3C2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547A0B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69202A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2,932 </w:t>
            </w:r>
          </w:p>
        </w:tc>
        <w:tc>
          <w:tcPr>
            <w:tcW w:w="129" w:type="pct"/>
            <w:tcBorders>
              <w:top w:val="nil"/>
              <w:left w:val="nil"/>
              <w:bottom w:val="single" w:sz="4" w:space="0" w:color="auto"/>
              <w:right w:val="single" w:sz="4" w:space="0" w:color="auto"/>
            </w:tcBorders>
            <w:shd w:val="clear" w:color="FFFFFF" w:fill="FFFFFF"/>
            <w:vAlign w:val="center"/>
            <w:hideMark/>
          </w:tcPr>
          <w:p w14:paraId="1210DA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9B43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E6D1E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B2565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3E8DA7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B0E16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46741C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6F724D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0F075BD7" w14:textId="6C46CAB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Personat me Aftësi të kufizuar[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285B0C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 Komisionit për Parlamentin Evropian, Këshillin, Komitetin Ekonomik dhe Social Evropian dhe Komitetin e Rajoneve 'Unioni i Barazisë: Strategjia për të Drejtat e Personave me Aftësi të Kufizuara 2021-2030'</w:t>
            </w:r>
            <w:r w:rsidRPr="006D6BE5">
              <w:rPr>
                <w:rFonts w:ascii="Arial" w:hAnsi="Arial" w:cs="Arial"/>
                <w:color w:val="000000"/>
                <w:sz w:val="4"/>
                <w:szCs w:val="8"/>
                <w:lang w:val="sq-AL"/>
              </w:rPr>
              <w:br/>
            </w:r>
            <w:r w:rsidRPr="006D6BE5">
              <w:rPr>
                <w:rFonts w:ascii="Arial" w:hAnsi="Arial" w:cs="Arial"/>
                <w:i/>
                <w:iCs/>
                <w:color w:val="000000"/>
                <w:sz w:val="4"/>
                <w:szCs w:val="8"/>
                <w:lang w:val="sq-AL"/>
              </w:rPr>
              <w:t>COM/2021/101 final</w:t>
            </w:r>
          </w:p>
        </w:tc>
        <w:tc>
          <w:tcPr>
            <w:tcW w:w="668" w:type="pct"/>
            <w:tcBorders>
              <w:top w:val="nil"/>
              <w:left w:val="nil"/>
              <w:bottom w:val="single" w:sz="4" w:space="0" w:color="auto"/>
              <w:right w:val="single" w:sz="4" w:space="0" w:color="auto"/>
            </w:tcBorders>
            <w:shd w:val="clear" w:color="auto" w:fill="auto"/>
            <w:vAlign w:val="center"/>
            <w:hideMark/>
          </w:tcPr>
          <w:p w14:paraId="47F25948" w14:textId="77777777" w:rsidR="00482167" w:rsidRPr="006D6BE5" w:rsidRDefault="00E63D69" w:rsidP="00A7241A">
            <w:pPr>
              <w:rPr>
                <w:rFonts w:ascii="Arial" w:hAnsi="Arial" w:cs="Arial"/>
                <w:color w:val="0563C1"/>
                <w:sz w:val="4"/>
                <w:szCs w:val="8"/>
                <w:u w:val="single"/>
                <w:lang w:val="sq-AL"/>
              </w:rPr>
            </w:pPr>
            <w:hyperlink r:id="rId131" w:history="1">
              <w:r w:rsidR="00482167" w:rsidRPr="006D6BE5">
                <w:rPr>
                  <w:rFonts w:ascii="Arial" w:hAnsi="Arial" w:cs="Arial"/>
                  <w:color w:val="0563C1"/>
                  <w:sz w:val="4"/>
                  <w:szCs w:val="8"/>
                  <w:u w:val="single"/>
                  <w:lang w:val="sq-AL"/>
                </w:rPr>
                <w:t xml:space="preserve">https://eur-lex.europa.eu/legal-content/EN/TXT/?uri=CELEX:52021DC0101 </w:t>
              </w:r>
            </w:hyperlink>
          </w:p>
        </w:tc>
        <w:tc>
          <w:tcPr>
            <w:tcW w:w="506" w:type="pct"/>
            <w:tcBorders>
              <w:top w:val="nil"/>
              <w:left w:val="nil"/>
              <w:bottom w:val="single" w:sz="4" w:space="0" w:color="auto"/>
              <w:right w:val="single" w:sz="4" w:space="0" w:color="auto"/>
            </w:tcBorders>
            <w:shd w:val="clear" w:color="auto" w:fill="auto"/>
            <w:vAlign w:val="center"/>
            <w:hideMark/>
          </w:tcPr>
          <w:p w14:paraId="3757EB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2E1785D" w14:textId="6F98C65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Kombëtar për Personat me Aftësi të Kufizuar"</w:t>
            </w:r>
            <w:r w:rsidR="006D6BE5">
              <w:rPr>
                <w:rFonts w:ascii="Arial" w:hAnsi="Arial" w:cs="Arial"/>
                <w:color w:val="000000"/>
                <w:sz w:val="4"/>
                <w:szCs w:val="8"/>
                <w:lang w:val="sq-AL"/>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5ED3606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Kjo masë synon gjithëpërfshirjen dhe integrimin në shoqëri për Personat me Aftësi të Kufizuar dhe ka si qëllim harmonizimin me dokumentat strategjik të BE për PAK.</w:t>
            </w:r>
          </w:p>
        </w:tc>
        <w:tc>
          <w:tcPr>
            <w:tcW w:w="126" w:type="pct"/>
            <w:tcBorders>
              <w:top w:val="nil"/>
              <w:left w:val="nil"/>
              <w:bottom w:val="single" w:sz="4" w:space="0" w:color="auto"/>
              <w:right w:val="single" w:sz="4" w:space="0" w:color="auto"/>
            </w:tcBorders>
            <w:shd w:val="clear" w:color="auto" w:fill="auto"/>
            <w:vAlign w:val="center"/>
            <w:hideMark/>
          </w:tcPr>
          <w:p w14:paraId="6E270A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AD8B53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16AE20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3123CC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4563F1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263048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559E8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0532E7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CEA3B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2,932 </w:t>
            </w:r>
          </w:p>
        </w:tc>
        <w:tc>
          <w:tcPr>
            <w:tcW w:w="129" w:type="pct"/>
            <w:tcBorders>
              <w:top w:val="nil"/>
              <w:left w:val="nil"/>
              <w:bottom w:val="single" w:sz="4" w:space="0" w:color="auto"/>
              <w:right w:val="single" w:sz="4" w:space="0" w:color="auto"/>
            </w:tcBorders>
            <w:shd w:val="clear" w:color="FFFFFF" w:fill="FFFFFF"/>
            <w:vAlign w:val="center"/>
            <w:hideMark/>
          </w:tcPr>
          <w:p w14:paraId="10F012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5004D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79B70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1361C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722FDF2"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6710EF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0FBE0D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0923D0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3E0E412F" w14:textId="77777777" w:rsidR="00482167" w:rsidRPr="006D6BE5" w:rsidRDefault="00482167" w:rsidP="00A7241A">
            <w:pPr>
              <w:rPr>
                <w:rFonts w:ascii="Arial" w:hAnsi="Arial" w:cs="Arial"/>
                <w:i/>
                <w:iCs/>
                <w:color w:val="000000"/>
                <w:sz w:val="4"/>
                <w:szCs w:val="8"/>
                <w:lang w:val="sq-AL"/>
              </w:rPr>
            </w:pPr>
            <w:r w:rsidRPr="006D6BE5">
              <w:rPr>
                <w:rFonts w:ascii="Arial" w:hAnsi="Arial" w:cs="Arial"/>
                <w:i/>
                <w:iCs/>
                <w:color w:val="000000"/>
                <w:sz w:val="4"/>
                <w:szCs w:val="8"/>
                <w:lang w:val="sq-AL"/>
              </w:rPr>
              <w:t>Varfëria tek Fëmijët(soft law)</w:t>
            </w:r>
          </w:p>
        </w:tc>
        <w:tc>
          <w:tcPr>
            <w:tcW w:w="661" w:type="pct"/>
            <w:tcBorders>
              <w:top w:val="nil"/>
              <w:left w:val="nil"/>
              <w:bottom w:val="single" w:sz="4" w:space="0" w:color="auto"/>
              <w:right w:val="single" w:sz="4" w:space="0" w:color="auto"/>
            </w:tcBorders>
            <w:shd w:val="clear" w:color="auto" w:fill="auto"/>
            <w:vAlign w:val="center"/>
            <w:hideMark/>
          </w:tcPr>
          <w:p w14:paraId="43E773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Këshillit (BE) 2021/1004 i datës 14 qershor 2021 për krijimin e një Garancie Evropiane për Fëmijët</w:t>
            </w:r>
            <w:r w:rsidRPr="006D6BE5">
              <w:rPr>
                <w:rFonts w:ascii="Arial" w:hAnsi="Arial" w:cs="Arial"/>
                <w:color w:val="000000"/>
                <w:sz w:val="4"/>
                <w:szCs w:val="8"/>
                <w:lang w:val="sq-AL"/>
              </w:rPr>
              <w:br/>
              <w:t>OJ L 223, 22.6.2021, f. 14–23</w:t>
            </w:r>
          </w:p>
        </w:tc>
        <w:tc>
          <w:tcPr>
            <w:tcW w:w="668" w:type="pct"/>
            <w:tcBorders>
              <w:top w:val="nil"/>
              <w:left w:val="nil"/>
              <w:bottom w:val="single" w:sz="4" w:space="0" w:color="auto"/>
              <w:right w:val="single" w:sz="4" w:space="0" w:color="auto"/>
            </w:tcBorders>
            <w:shd w:val="clear" w:color="auto" w:fill="auto"/>
            <w:vAlign w:val="center"/>
            <w:hideMark/>
          </w:tcPr>
          <w:p w14:paraId="2144F8A4" w14:textId="77777777" w:rsidR="00482167" w:rsidRPr="006D6BE5" w:rsidRDefault="00E63D69" w:rsidP="00A7241A">
            <w:pPr>
              <w:rPr>
                <w:rFonts w:ascii="Arial" w:hAnsi="Arial" w:cs="Arial"/>
                <w:color w:val="0563C1"/>
                <w:sz w:val="4"/>
                <w:szCs w:val="8"/>
                <w:u w:val="single"/>
                <w:lang w:val="sq-AL"/>
              </w:rPr>
            </w:pPr>
            <w:hyperlink r:id="rId132" w:history="1">
              <w:r w:rsidR="00482167" w:rsidRPr="006D6BE5">
                <w:rPr>
                  <w:rFonts w:ascii="Arial" w:hAnsi="Arial" w:cs="Arial"/>
                  <w:color w:val="0563C1"/>
                  <w:sz w:val="4"/>
                  <w:szCs w:val="8"/>
                  <w:u w:val="single"/>
                  <w:lang w:val="sq-AL"/>
                </w:rPr>
                <w:t>https://eur-lex.europa.eu/legal-content/EN/TXT/?uri=uriserv:OJ.L_.2021.223.01.0014.01.ENG</w:t>
              </w:r>
            </w:hyperlink>
          </w:p>
        </w:tc>
        <w:tc>
          <w:tcPr>
            <w:tcW w:w="506" w:type="pct"/>
            <w:tcBorders>
              <w:top w:val="nil"/>
              <w:left w:val="nil"/>
              <w:bottom w:val="single" w:sz="4" w:space="0" w:color="auto"/>
              <w:right w:val="single" w:sz="4" w:space="0" w:color="auto"/>
            </w:tcBorders>
            <w:shd w:val="clear" w:color="auto" w:fill="auto"/>
            <w:vAlign w:val="center"/>
            <w:hideMark/>
          </w:tcPr>
          <w:p w14:paraId="6E037A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6871E0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miratimin e Strategjisë Kombëtare të Mbrojtjes Sociale 2024-2030"</w:t>
            </w:r>
          </w:p>
        </w:tc>
        <w:tc>
          <w:tcPr>
            <w:tcW w:w="330" w:type="pct"/>
            <w:tcBorders>
              <w:top w:val="nil"/>
              <w:left w:val="nil"/>
              <w:bottom w:val="single" w:sz="4" w:space="0" w:color="auto"/>
              <w:right w:val="single" w:sz="4" w:space="0" w:color="auto"/>
            </w:tcBorders>
            <w:shd w:val="clear" w:color="auto" w:fill="auto"/>
            <w:vAlign w:val="center"/>
            <w:hideMark/>
          </w:tcPr>
          <w:p w14:paraId="5898269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Plani i Veprimit për Garancitë e Fëmijëve, do të hartohet në vijim të miratimit të Strategjisë Kombëtare të Mbrojtjes Sociale 2024-2030, i cili synon aksesin e fëmijëve në zhvillimin e shërbimeve gjithëpërfshirëse.</w:t>
            </w:r>
          </w:p>
        </w:tc>
        <w:tc>
          <w:tcPr>
            <w:tcW w:w="126" w:type="pct"/>
            <w:tcBorders>
              <w:top w:val="nil"/>
              <w:left w:val="nil"/>
              <w:bottom w:val="single" w:sz="4" w:space="0" w:color="auto"/>
              <w:right w:val="single" w:sz="4" w:space="0" w:color="auto"/>
            </w:tcBorders>
            <w:shd w:val="clear" w:color="auto" w:fill="auto"/>
            <w:vAlign w:val="center"/>
            <w:hideMark/>
          </w:tcPr>
          <w:p w14:paraId="600D81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0130642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387FFD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213280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298ADA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4EEF2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4744C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338BB1AB" w14:textId="701A3F5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1,200 </w:t>
            </w:r>
          </w:p>
        </w:tc>
        <w:tc>
          <w:tcPr>
            <w:tcW w:w="117" w:type="pct"/>
            <w:tcBorders>
              <w:top w:val="nil"/>
              <w:left w:val="nil"/>
              <w:bottom w:val="single" w:sz="4" w:space="0" w:color="auto"/>
              <w:right w:val="single" w:sz="4" w:space="0" w:color="auto"/>
            </w:tcBorders>
            <w:shd w:val="clear" w:color="auto" w:fill="auto"/>
            <w:vAlign w:val="center"/>
            <w:hideMark/>
          </w:tcPr>
          <w:p w14:paraId="112BB4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4B3BD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6ACD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4C9C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00E14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52538C3"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4752F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6EBDE4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05FCB7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4B0ADE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Kujdesi dhe Edukimi i hershëm tek Fëmijët</w:t>
            </w:r>
            <w:r w:rsidRPr="006D6BE5">
              <w:rPr>
                <w:rFonts w:ascii="Arial" w:hAnsi="Arial" w:cs="Arial"/>
                <w:color w:val="000000"/>
                <w:sz w:val="4"/>
                <w:szCs w:val="8"/>
                <w:lang w:val="sq-AL"/>
              </w:rPr>
              <w:br/>
            </w:r>
            <w:r w:rsidRPr="006D6BE5">
              <w:rPr>
                <w:rFonts w:ascii="Arial" w:hAnsi="Arial" w:cs="Arial"/>
                <w:i/>
                <w:iCs/>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7B117E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Këshillit i 8 dhjetorit 2022 për edukimin dhe kujdesin në fëmijërinë e hershme: objektivat e Barcelonës për vitin 2030</w:t>
            </w:r>
            <w:r w:rsidRPr="006D6BE5">
              <w:rPr>
                <w:rFonts w:ascii="Arial" w:hAnsi="Arial" w:cs="Arial"/>
                <w:color w:val="000000"/>
                <w:sz w:val="4"/>
                <w:szCs w:val="8"/>
                <w:lang w:val="sq-AL"/>
              </w:rPr>
              <w:br/>
              <w:t>OJ C 484, 20.12.2022, f. 1–12</w:t>
            </w:r>
          </w:p>
        </w:tc>
        <w:tc>
          <w:tcPr>
            <w:tcW w:w="668" w:type="pct"/>
            <w:tcBorders>
              <w:top w:val="nil"/>
              <w:left w:val="nil"/>
              <w:bottom w:val="single" w:sz="4" w:space="0" w:color="auto"/>
              <w:right w:val="single" w:sz="4" w:space="0" w:color="auto"/>
            </w:tcBorders>
            <w:shd w:val="clear" w:color="auto" w:fill="auto"/>
            <w:vAlign w:val="center"/>
            <w:hideMark/>
          </w:tcPr>
          <w:p w14:paraId="692B8797" w14:textId="77777777" w:rsidR="00482167" w:rsidRPr="006D6BE5" w:rsidRDefault="00E63D69" w:rsidP="00A7241A">
            <w:pPr>
              <w:rPr>
                <w:rFonts w:ascii="Arial" w:hAnsi="Arial" w:cs="Arial"/>
                <w:color w:val="0563C1"/>
                <w:sz w:val="4"/>
                <w:szCs w:val="8"/>
                <w:u w:val="single"/>
                <w:lang w:val="sq-AL"/>
              </w:rPr>
            </w:pPr>
            <w:hyperlink r:id="rId133" w:history="1">
              <w:r w:rsidR="00482167" w:rsidRPr="006D6BE5">
                <w:rPr>
                  <w:rFonts w:ascii="Arial" w:hAnsi="Arial" w:cs="Arial"/>
                  <w:color w:val="0563C1"/>
                  <w:sz w:val="4"/>
                  <w:szCs w:val="8"/>
                  <w:u w:val="single"/>
                  <w:lang w:val="sq-AL"/>
                </w:rPr>
                <w:t xml:space="preserve">https://eur-lex.europa.eu/legal-content/EN/TXT/?uri=CELEX:32022H1220(01) </w:t>
              </w:r>
            </w:hyperlink>
          </w:p>
        </w:tc>
        <w:tc>
          <w:tcPr>
            <w:tcW w:w="506" w:type="pct"/>
            <w:tcBorders>
              <w:top w:val="nil"/>
              <w:left w:val="nil"/>
              <w:bottom w:val="single" w:sz="4" w:space="0" w:color="auto"/>
              <w:right w:val="single" w:sz="4" w:space="0" w:color="auto"/>
            </w:tcBorders>
            <w:shd w:val="clear" w:color="auto" w:fill="auto"/>
            <w:vAlign w:val="center"/>
            <w:hideMark/>
          </w:tcPr>
          <w:p w14:paraId="45FD99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CE46DF9"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Projektvendim i Këshillit të Ministrave "Mbi miratimin e Agjendës Kombëtare mbi të Drejtat e Fëmijëve" </w:t>
            </w:r>
          </w:p>
        </w:tc>
        <w:tc>
          <w:tcPr>
            <w:tcW w:w="330" w:type="pct"/>
            <w:tcBorders>
              <w:top w:val="nil"/>
              <w:left w:val="nil"/>
              <w:bottom w:val="single" w:sz="4" w:space="0" w:color="auto"/>
              <w:right w:val="single" w:sz="4" w:space="0" w:color="auto"/>
            </w:tcBorders>
            <w:shd w:val="clear" w:color="auto" w:fill="auto"/>
            <w:vAlign w:val="center"/>
            <w:hideMark/>
          </w:tcPr>
          <w:p w14:paraId="525BA76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për miratimin e Planit të Veprimit për Garancitë e Fëmijëve synon të thyejë ciklin e varfërisë ndërbrezore, përjashtimin social, si dhe promovon të drejtat dhe mirëqënien e fëmijëve.</w:t>
            </w:r>
          </w:p>
        </w:tc>
        <w:tc>
          <w:tcPr>
            <w:tcW w:w="126" w:type="pct"/>
            <w:tcBorders>
              <w:top w:val="nil"/>
              <w:left w:val="nil"/>
              <w:bottom w:val="single" w:sz="4" w:space="0" w:color="auto"/>
              <w:right w:val="single" w:sz="4" w:space="0" w:color="auto"/>
            </w:tcBorders>
            <w:shd w:val="clear" w:color="auto" w:fill="auto"/>
            <w:vAlign w:val="center"/>
            <w:hideMark/>
          </w:tcPr>
          <w:p w14:paraId="2132BC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3272203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5F4AE0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56995E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54CA59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71CBA1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BF45F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58F6CA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EC0AF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2,932 </w:t>
            </w:r>
          </w:p>
        </w:tc>
        <w:tc>
          <w:tcPr>
            <w:tcW w:w="129" w:type="pct"/>
            <w:tcBorders>
              <w:top w:val="nil"/>
              <w:left w:val="nil"/>
              <w:bottom w:val="single" w:sz="4" w:space="0" w:color="auto"/>
              <w:right w:val="single" w:sz="4" w:space="0" w:color="auto"/>
            </w:tcBorders>
            <w:shd w:val="clear" w:color="FFFFFF" w:fill="FFFFFF"/>
            <w:vAlign w:val="center"/>
            <w:hideMark/>
          </w:tcPr>
          <w:p w14:paraId="112A32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E8C7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3315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5C582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B77D8B"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0FFF7A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57166B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1216B3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0C039C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Kujdesi dhe Kujdesi Afat-gjatë</w:t>
            </w:r>
            <w:r w:rsidRPr="006D6BE5">
              <w:rPr>
                <w:rFonts w:ascii="Arial" w:hAnsi="Arial" w:cs="Arial"/>
                <w:color w:val="000000"/>
                <w:sz w:val="4"/>
                <w:szCs w:val="8"/>
                <w:lang w:val="sq-AL"/>
              </w:rPr>
              <w:br/>
            </w:r>
            <w:r w:rsidRPr="006D6BE5">
              <w:rPr>
                <w:rFonts w:ascii="Arial" w:hAnsi="Arial" w:cs="Arial"/>
                <w:i/>
                <w:iCs/>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019B49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nga Komisioni për Parlamentin Evropian, Këshillin, Komitetin Ekonomik dhe Social Evropian dhe Komitetin e Rajoneve mbi strategjinë evropiane të kujdesit</w:t>
            </w:r>
            <w:r w:rsidRPr="006D6BE5">
              <w:rPr>
                <w:rFonts w:ascii="Arial" w:hAnsi="Arial" w:cs="Arial"/>
                <w:color w:val="000000"/>
                <w:sz w:val="4"/>
                <w:szCs w:val="8"/>
                <w:lang w:val="sq-AL"/>
              </w:rPr>
              <w:br/>
            </w:r>
            <w:r w:rsidRPr="006D6BE5">
              <w:rPr>
                <w:rFonts w:ascii="Arial" w:hAnsi="Arial" w:cs="Arial"/>
                <w:i/>
                <w:iCs/>
                <w:color w:val="000000"/>
                <w:sz w:val="4"/>
                <w:szCs w:val="8"/>
                <w:lang w:val="sq-AL"/>
              </w:rPr>
              <w:t>COM/2022/440 final</w:t>
            </w:r>
          </w:p>
        </w:tc>
        <w:tc>
          <w:tcPr>
            <w:tcW w:w="668" w:type="pct"/>
            <w:tcBorders>
              <w:top w:val="nil"/>
              <w:left w:val="nil"/>
              <w:bottom w:val="single" w:sz="4" w:space="0" w:color="auto"/>
              <w:right w:val="single" w:sz="4" w:space="0" w:color="auto"/>
            </w:tcBorders>
            <w:shd w:val="clear" w:color="auto" w:fill="auto"/>
            <w:vAlign w:val="center"/>
            <w:hideMark/>
          </w:tcPr>
          <w:p w14:paraId="3D4FB0FA" w14:textId="77777777" w:rsidR="00482167" w:rsidRPr="006D6BE5" w:rsidRDefault="00E63D69" w:rsidP="00A7241A">
            <w:pPr>
              <w:rPr>
                <w:rFonts w:ascii="Arial" w:hAnsi="Arial" w:cs="Arial"/>
                <w:color w:val="0563C1"/>
                <w:sz w:val="4"/>
                <w:szCs w:val="8"/>
                <w:u w:val="single"/>
                <w:lang w:val="sq-AL"/>
              </w:rPr>
            </w:pPr>
            <w:hyperlink r:id="rId134" w:history="1">
              <w:r w:rsidR="00482167" w:rsidRPr="006D6BE5">
                <w:rPr>
                  <w:rFonts w:ascii="Arial" w:hAnsi="Arial" w:cs="Arial"/>
                  <w:color w:val="0563C1"/>
                  <w:sz w:val="4"/>
                  <w:szCs w:val="8"/>
                  <w:u w:val="single"/>
                  <w:lang w:val="sq-AL"/>
                </w:rPr>
                <w:t>https://eur-lex.europa.eu/legal-content/EN/TXT/?uri=CELEX:52022DC0440</w:t>
              </w:r>
            </w:hyperlink>
          </w:p>
        </w:tc>
        <w:tc>
          <w:tcPr>
            <w:tcW w:w="506" w:type="pct"/>
            <w:tcBorders>
              <w:top w:val="nil"/>
              <w:left w:val="nil"/>
              <w:bottom w:val="single" w:sz="4" w:space="0" w:color="auto"/>
              <w:right w:val="single" w:sz="4" w:space="0" w:color="auto"/>
            </w:tcBorders>
            <w:shd w:val="clear" w:color="auto" w:fill="auto"/>
            <w:vAlign w:val="center"/>
            <w:hideMark/>
          </w:tcPr>
          <w:p w14:paraId="354534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AF9E5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Strategjisë Kombëtare të Mbrojtjes Sociale 2024-2030"</w:t>
            </w:r>
          </w:p>
        </w:tc>
        <w:tc>
          <w:tcPr>
            <w:tcW w:w="330" w:type="pct"/>
            <w:tcBorders>
              <w:top w:val="nil"/>
              <w:left w:val="nil"/>
              <w:bottom w:val="single" w:sz="4" w:space="0" w:color="auto"/>
              <w:right w:val="single" w:sz="4" w:space="0" w:color="auto"/>
            </w:tcBorders>
            <w:shd w:val="clear" w:color="auto" w:fill="auto"/>
            <w:vAlign w:val="center"/>
            <w:hideMark/>
          </w:tcPr>
          <w:p w14:paraId="1FEA769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VKM për miratimin e Dokumentit Strategjik të Mbrojtjes Sociale 2024-2030 synon kujdes social për çdo individ në nevojë, duke garantuar jetesë dinjitoze, në një mjedis mundësues dhe fuqizues, përgjatë ciklit të jetës. </w:t>
            </w:r>
          </w:p>
        </w:tc>
        <w:tc>
          <w:tcPr>
            <w:tcW w:w="126" w:type="pct"/>
            <w:tcBorders>
              <w:top w:val="nil"/>
              <w:left w:val="nil"/>
              <w:bottom w:val="single" w:sz="4" w:space="0" w:color="auto"/>
              <w:right w:val="single" w:sz="4" w:space="0" w:color="auto"/>
            </w:tcBorders>
            <w:shd w:val="clear" w:color="auto" w:fill="auto"/>
            <w:vAlign w:val="center"/>
            <w:hideMark/>
          </w:tcPr>
          <w:p w14:paraId="00D4BF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7CB4E5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42D70B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4ED457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43390B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7E7BC2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CD0A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1,200 </w:t>
            </w:r>
          </w:p>
        </w:tc>
        <w:tc>
          <w:tcPr>
            <w:tcW w:w="126" w:type="pct"/>
            <w:tcBorders>
              <w:top w:val="nil"/>
              <w:left w:val="nil"/>
              <w:bottom w:val="single" w:sz="4" w:space="0" w:color="auto"/>
              <w:right w:val="single" w:sz="4" w:space="0" w:color="auto"/>
            </w:tcBorders>
            <w:shd w:val="clear" w:color="auto" w:fill="auto"/>
            <w:vAlign w:val="center"/>
            <w:hideMark/>
          </w:tcPr>
          <w:p w14:paraId="1B3052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7E7D1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3597C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19F9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E8CEF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FD04A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3DF1CE4"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E581C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2558C6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59BDF9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dhe Përfshirja Sociale</w:t>
            </w:r>
          </w:p>
        </w:tc>
        <w:tc>
          <w:tcPr>
            <w:tcW w:w="171" w:type="pct"/>
            <w:tcBorders>
              <w:top w:val="nil"/>
              <w:left w:val="nil"/>
              <w:bottom w:val="single" w:sz="4" w:space="0" w:color="auto"/>
              <w:right w:val="single" w:sz="4" w:space="0" w:color="auto"/>
            </w:tcBorders>
            <w:shd w:val="clear" w:color="auto" w:fill="auto"/>
            <w:vAlign w:val="center"/>
            <w:hideMark/>
          </w:tcPr>
          <w:p w14:paraId="68120F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Kujdesi dhe Kujdesi Afat-gjatë</w:t>
            </w:r>
            <w:r w:rsidRPr="006D6BE5">
              <w:rPr>
                <w:rFonts w:ascii="Arial" w:hAnsi="Arial" w:cs="Arial"/>
                <w:color w:val="000000"/>
                <w:sz w:val="4"/>
                <w:szCs w:val="8"/>
                <w:lang w:val="sq-AL"/>
              </w:rPr>
              <w:br/>
            </w:r>
            <w:r w:rsidRPr="006D6BE5">
              <w:rPr>
                <w:rFonts w:ascii="Arial" w:hAnsi="Arial" w:cs="Arial"/>
                <w:i/>
                <w:iCs/>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17E137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Rekomandimi i Këshillit i 8 dhjetorit 2022 mbi aksesin në kujdesin afatgjatë me cilësi të lartë e të përballueshmëm</w:t>
            </w:r>
            <w:r w:rsidRPr="006D6BE5">
              <w:rPr>
                <w:rFonts w:ascii="Arial" w:hAnsi="Arial" w:cs="Arial"/>
                <w:color w:val="000000"/>
                <w:sz w:val="4"/>
                <w:szCs w:val="8"/>
                <w:lang w:val="sq-AL"/>
              </w:rPr>
              <w:br/>
              <w:t>OJ C 476, 15.12.2022, f. 1–11</w:t>
            </w:r>
          </w:p>
        </w:tc>
        <w:tc>
          <w:tcPr>
            <w:tcW w:w="668" w:type="pct"/>
            <w:tcBorders>
              <w:top w:val="nil"/>
              <w:left w:val="nil"/>
              <w:bottom w:val="single" w:sz="4" w:space="0" w:color="auto"/>
              <w:right w:val="single" w:sz="4" w:space="0" w:color="auto"/>
            </w:tcBorders>
            <w:shd w:val="clear" w:color="auto" w:fill="auto"/>
            <w:vAlign w:val="center"/>
            <w:hideMark/>
          </w:tcPr>
          <w:p w14:paraId="36100EB3" w14:textId="77777777" w:rsidR="00482167" w:rsidRPr="006D6BE5" w:rsidRDefault="00E63D69" w:rsidP="00A7241A">
            <w:pPr>
              <w:rPr>
                <w:rFonts w:ascii="Arial" w:hAnsi="Arial" w:cs="Arial"/>
                <w:color w:val="0563C1"/>
                <w:sz w:val="4"/>
                <w:szCs w:val="8"/>
                <w:u w:val="single"/>
                <w:lang w:val="sq-AL"/>
              </w:rPr>
            </w:pPr>
            <w:hyperlink r:id="rId135" w:history="1">
              <w:r w:rsidR="00482167" w:rsidRPr="006D6BE5">
                <w:rPr>
                  <w:rFonts w:ascii="Arial" w:hAnsi="Arial" w:cs="Arial"/>
                  <w:color w:val="0563C1"/>
                  <w:sz w:val="4"/>
                  <w:szCs w:val="8"/>
                  <w:u w:val="single"/>
                  <w:lang w:val="sq-AL"/>
                </w:rPr>
                <w:t>https://eur-lex.europa.eu/legal- content/EN/TXT/PDF/?uri=CELEX:32022</w:t>
              </w:r>
            </w:hyperlink>
          </w:p>
        </w:tc>
        <w:tc>
          <w:tcPr>
            <w:tcW w:w="506" w:type="pct"/>
            <w:tcBorders>
              <w:top w:val="nil"/>
              <w:left w:val="nil"/>
              <w:bottom w:val="single" w:sz="4" w:space="0" w:color="auto"/>
              <w:right w:val="single" w:sz="4" w:space="0" w:color="auto"/>
            </w:tcBorders>
            <w:shd w:val="clear" w:color="auto" w:fill="auto"/>
            <w:vAlign w:val="center"/>
            <w:hideMark/>
          </w:tcPr>
          <w:p w14:paraId="2110BB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9E59D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Strategjisë Kombëtare të Mbrojtjes Sociale 2024-2030"</w:t>
            </w:r>
          </w:p>
        </w:tc>
        <w:tc>
          <w:tcPr>
            <w:tcW w:w="330" w:type="pct"/>
            <w:tcBorders>
              <w:top w:val="nil"/>
              <w:left w:val="nil"/>
              <w:bottom w:val="single" w:sz="4" w:space="0" w:color="auto"/>
              <w:right w:val="single" w:sz="4" w:space="0" w:color="auto"/>
            </w:tcBorders>
            <w:shd w:val="clear" w:color="auto" w:fill="auto"/>
            <w:vAlign w:val="center"/>
            <w:hideMark/>
          </w:tcPr>
          <w:p w14:paraId="18E26E8D" w14:textId="239D3333"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për miratimin e Dokumentit Strategjik të Mbrojtjes Sociale 2024-20230 ka si qëllim ngritjen e shërbimeve social-shëndetësore afat-gjata për moshën e tretë, aftësinë e kufizuar, si edhe plotësimin e</w:t>
            </w:r>
            <w:r w:rsidR="006D6BE5">
              <w:rPr>
                <w:rFonts w:ascii="Arial" w:hAnsi="Arial" w:cs="Arial"/>
                <w:sz w:val="4"/>
                <w:szCs w:val="8"/>
                <w:lang w:val="sq-AL"/>
              </w:rPr>
              <w:t xml:space="preserve"> </w:t>
            </w:r>
            <w:r w:rsidRPr="006D6BE5">
              <w:rPr>
                <w:rFonts w:ascii="Arial" w:hAnsi="Arial" w:cs="Arial"/>
                <w:sz w:val="4"/>
                <w:szCs w:val="8"/>
                <w:lang w:val="sq-AL"/>
              </w:rPr>
              <w:t>kuadrit rregullator të ndihmësit personal. profesional.</w:t>
            </w:r>
          </w:p>
        </w:tc>
        <w:tc>
          <w:tcPr>
            <w:tcW w:w="126" w:type="pct"/>
            <w:tcBorders>
              <w:top w:val="nil"/>
              <w:left w:val="nil"/>
              <w:bottom w:val="single" w:sz="4" w:space="0" w:color="auto"/>
              <w:right w:val="single" w:sz="4" w:space="0" w:color="auto"/>
            </w:tcBorders>
            <w:shd w:val="clear" w:color="auto" w:fill="auto"/>
            <w:vAlign w:val="center"/>
            <w:hideMark/>
          </w:tcPr>
          <w:p w14:paraId="41B7E4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6D339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305436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29B25F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3B146B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197147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29C039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1,200 </w:t>
            </w:r>
          </w:p>
        </w:tc>
        <w:tc>
          <w:tcPr>
            <w:tcW w:w="126" w:type="pct"/>
            <w:tcBorders>
              <w:top w:val="nil"/>
              <w:left w:val="nil"/>
              <w:bottom w:val="single" w:sz="4" w:space="0" w:color="auto"/>
              <w:right w:val="single" w:sz="4" w:space="0" w:color="auto"/>
            </w:tcBorders>
            <w:shd w:val="clear" w:color="auto" w:fill="auto"/>
            <w:vAlign w:val="center"/>
            <w:hideMark/>
          </w:tcPr>
          <w:p w14:paraId="4E6FC9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31888E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ECD57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6B5AE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F053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D163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6BA5731"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16449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0F6BF6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3BE309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Mos-diskriminimi në Punësim dhe Politika Sociale.</w:t>
            </w:r>
          </w:p>
        </w:tc>
        <w:tc>
          <w:tcPr>
            <w:tcW w:w="171" w:type="pct"/>
            <w:tcBorders>
              <w:top w:val="nil"/>
              <w:left w:val="nil"/>
              <w:bottom w:val="single" w:sz="4" w:space="0" w:color="auto"/>
              <w:right w:val="single" w:sz="4" w:space="0" w:color="auto"/>
            </w:tcBorders>
            <w:shd w:val="clear" w:color="auto" w:fill="auto"/>
            <w:vAlign w:val="center"/>
            <w:hideMark/>
          </w:tcPr>
          <w:p w14:paraId="0FEFD4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Trajtimi i Barabartë</w:t>
            </w:r>
          </w:p>
        </w:tc>
        <w:tc>
          <w:tcPr>
            <w:tcW w:w="661" w:type="pct"/>
            <w:tcBorders>
              <w:top w:val="nil"/>
              <w:left w:val="nil"/>
              <w:bottom w:val="single" w:sz="4" w:space="0" w:color="auto"/>
              <w:right w:val="single" w:sz="4" w:space="0" w:color="auto"/>
            </w:tcBorders>
            <w:shd w:val="clear" w:color="auto" w:fill="auto"/>
            <w:vAlign w:val="center"/>
            <w:hideMark/>
          </w:tcPr>
          <w:p w14:paraId="7EBA24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2000/43/KE e 29 qershorit 2000 për zbatimin e parimit të trajtimit të barabartë ndërmjet personave pavarësisht nga origjina racore ose etnike. OJ L 180, 19.7.2000, f. 22–26</w:t>
            </w:r>
          </w:p>
        </w:tc>
        <w:tc>
          <w:tcPr>
            <w:tcW w:w="668" w:type="pct"/>
            <w:tcBorders>
              <w:top w:val="nil"/>
              <w:left w:val="nil"/>
              <w:bottom w:val="single" w:sz="4" w:space="0" w:color="auto"/>
              <w:right w:val="single" w:sz="4" w:space="0" w:color="auto"/>
            </w:tcBorders>
            <w:shd w:val="clear" w:color="auto" w:fill="auto"/>
            <w:vAlign w:val="center"/>
            <w:hideMark/>
          </w:tcPr>
          <w:p w14:paraId="4620B96F" w14:textId="77777777" w:rsidR="00482167" w:rsidRPr="006D6BE5" w:rsidRDefault="00E63D69" w:rsidP="00A7241A">
            <w:pPr>
              <w:rPr>
                <w:rFonts w:ascii="Arial" w:hAnsi="Arial" w:cs="Arial"/>
                <w:color w:val="0563C1"/>
                <w:sz w:val="4"/>
                <w:szCs w:val="8"/>
                <w:u w:val="single"/>
                <w:lang w:val="sq-AL"/>
              </w:rPr>
            </w:pPr>
            <w:hyperlink r:id="rId136" w:history="1">
              <w:r w:rsidR="00482167" w:rsidRPr="006D6BE5">
                <w:rPr>
                  <w:rFonts w:ascii="Arial" w:hAnsi="Arial" w:cs="Arial"/>
                  <w:color w:val="0563C1"/>
                  <w:sz w:val="4"/>
                  <w:szCs w:val="8"/>
                  <w:u w:val="single"/>
                  <w:lang w:val="sq-AL"/>
                </w:rPr>
                <w:t>EUR-Lex - 32000L0043 - EN - EUR-Lex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7076AF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4382CC7" w14:textId="0B1BBDF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Kombëtar për Barazinë, Përfshirjen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Pjesëmarrjen e pakicave Rom dhe Egjiptiane"</w:t>
            </w:r>
          </w:p>
        </w:tc>
        <w:tc>
          <w:tcPr>
            <w:tcW w:w="330" w:type="pct"/>
            <w:tcBorders>
              <w:top w:val="nil"/>
              <w:left w:val="nil"/>
              <w:bottom w:val="single" w:sz="4" w:space="0" w:color="auto"/>
              <w:right w:val="single" w:sz="4" w:space="0" w:color="auto"/>
            </w:tcBorders>
            <w:shd w:val="clear" w:color="auto" w:fill="auto"/>
            <w:vAlign w:val="center"/>
            <w:hideMark/>
          </w:tcPr>
          <w:p w14:paraId="4A1A8F41" w14:textId="7014DC3D"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 Projekt vendimi synon rritjen e barazisë, përfshirjes dhe pjesëmarrjes në shoqëri për komunitetet Rome dhe Egjiptiane dhe</w:t>
            </w:r>
            <w:r w:rsidR="006D6BE5">
              <w:rPr>
                <w:rFonts w:ascii="Arial" w:hAnsi="Arial" w:cs="Arial"/>
                <w:sz w:val="4"/>
                <w:szCs w:val="8"/>
                <w:lang w:val="sq-AL"/>
              </w:rPr>
              <w:t xml:space="preserve"> </w:t>
            </w:r>
            <w:r w:rsidRPr="006D6BE5">
              <w:rPr>
                <w:rFonts w:ascii="Arial" w:hAnsi="Arial" w:cs="Arial"/>
                <w:sz w:val="4"/>
                <w:szCs w:val="8"/>
                <w:lang w:val="sq-AL"/>
              </w:rPr>
              <w:t>harmonizimin me dokumentat strategjik të BE për Romët dhe Egjiptianët.</w:t>
            </w:r>
          </w:p>
        </w:tc>
        <w:tc>
          <w:tcPr>
            <w:tcW w:w="126" w:type="pct"/>
            <w:tcBorders>
              <w:top w:val="nil"/>
              <w:left w:val="nil"/>
              <w:bottom w:val="single" w:sz="4" w:space="0" w:color="auto"/>
              <w:right w:val="single" w:sz="4" w:space="0" w:color="auto"/>
            </w:tcBorders>
            <w:shd w:val="clear" w:color="auto" w:fill="auto"/>
            <w:vAlign w:val="center"/>
            <w:hideMark/>
          </w:tcPr>
          <w:p w14:paraId="77F69C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4AF055D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011B11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0668D1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auto" w:fill="auto"/>
            <w:vAlign w:val="center"/>
            <w:hideMark/>
          </w:tcPr>
          <w:p w14:paraId="7E463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67163B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B0819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60BE6D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047782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2,932 </w:t>
            </w:r>
          </w:p>
        </w:tc>
        <w:tc>
          <w:tcPr>
            <w:tcW w:w="129" w:type="pct"/>
            <w:tcBorders>
              <w:top w:val="nil"/>
              <w:left w:val="nil"/>
              <w:bottom w:val="single" w:sz="4" w:space="0" w:color="auto"/>
              <w:right w:val="single" w:sz="4" w:space="0" w:color="auto"/>
            </w:tcBorders>
            <w:shd w:val="clear" w:color="FFFFFF" w:fill="FFFFFF"/>
            <w:vAlign w:val="center"/>
            <w:hideMark/>
          </w:tcPr>
          <w:p w14:paraId="77E1B4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D2F3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E714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F0FA8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32EB8E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5AFCC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643662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156068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Barazia në Punësim dhe Politika Sociale midis Gruas dhe Burrit.</w:t>
            </w:r>
          </w:p>
        </w:tc>
        <w:tc>
          <w:tcPr>
            <w:tcW w:w="171" w:type="pct"/>
            <w:tcBorders>
              <w:top w:val="nil"/>
              <w:left w:val="nil"/>
              <w:bottom w:val="single" w:sz="4" w:space="0" w:color="auto"/>
              <w:right w:val="single" w:sz="4" w:space="0" w:color="auto"/>
            </w:tcBorders>
            <w:shd w:val="clear" w:color="auto" w:fill="auto"/>
            <w:vAlign w:val="center"/>
            <w:hideMark/>
          </w:tcPr>
          <w:p w14:paraId="2E9229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Sigurimet Shoqërore Statutore</w:t>
            </w:r>
          </w:p>
        </w:tc>
        <w:tc>
          <w:tcPr>
            <w:tcW w:w="661" w:type="pct"/>
            <w:tcBorders>
              <w:top w:val="nil"/>
              <w:left w:val="nil"/>
              <w:bottom w:val="single" w:sz="4" w:space="0" w:color="auto"/>
              <w:right w:val="single" w:sz="4" w:space="0" w:color="auto"/>
            </w:tcBorders>
            <w:shd w:val="clear" w:color="auto" w:fill="auto"/>
            <w:vAlign w:val="center"/>
            <w:hideMark/>
          </w:tcPr>
          <w:p w14:paraId="384A79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79/7/EEC e datës 19 dhjetor 1978 mbi zbatimin progresiv të parimit të trajtimit të barabartë për burrat dhe gratë në çështjet e sigurimeve shoqërore</w:t>
            </w:r>
            <w:r w:rsidRPr="006D6BE5">
              <w:rPr>
                <w:rFonts w:ascii="Arial" w:hAnsi="Arial" w:cs="Arial"/>
                <w:color w:val="000000"/>
                <w:sz w:val="4"/>
                <w:szCs w:val="8"/>
                <w:lang w:val="sq-AL"/>
              </w:rPr>
              <w:br/>
              <w:t xml:space="preserve">OJ L 6, 10.01.1979, f. 24–25 </w:t>
            </w:r>
          </w:p>
        </w:tc>
        <w:tc>
          <w:tcPr>
            <w:tcW w:w="668" w:type="pct"/>
            <w:tcBorders>
              <w:top w:val="nil"/>
              <w:left w:val="nil"/>
              <w:bottom w:val="single" w:sz="4" w:space="0" w:color="auto"/>
              <w:right w:val="single" w:sz="4" w:space="0" w:color="auto"/>
            </w:tcBorders>
            <w:shd w:val="clear" w:color="auto" w:fill="auto"/>
            <w:vAlign w:val="center"/>
            <w:hideMark/>
          </w:tcPr>
          <w:p w14:paraId="1C11047D" w14:textId="77777777" w:rsidR="00482167" w:rsidRPr="006D6BE5" w:rsidRDefault="00E63D69" w:rsidP="00A7241A">
            <w:pPr>
              <w:rPr>
                <w:rFonts w:ascii="Arial" w:hAnsi="Arial" w:cs="Arial"/>
                <w:color w:val="0563C1"/>
                <w:sz w:val="4"/>
                <w:szCs w:val="8"/>
                <w:u w:val="single"/>
                <w:lang w:val="sq-AL"/>
              </w:rPr>
            </w:pPr>
            <w:hyperlink r:id="rId137" w:history="1">
              <w:r w:rsidR="00482167" w:rsidRPr="006D6BE5">
                <w:rPr>
                  <w:rFonts w:ascii="Arial" w:hAnsi="Arial" w:cs="Arial"/>
                  <w:color w:val="0563C1"/>
                  <w:sz w:val="4"/>
                  <w:szCs w:val="8"/>
                  <w:u w:val="single"/>
                  <w:lang w:val="sq-AL"/>
                </w:rPr>
                <w:t>https://eur-lex.europa.eu/legal-content/EN/ALL/?uri=celex%3A31979L0007</w:t>
              </w:r>
            </w:hyperlink>
          </w:p>
        </w:tc>
        <w:tc>
          <w:tcPr>
            <w:tcW w:w="506" w:type="pct"/>
            <w:tcBorders>
              <w:top w:val="nil"/>
              <w:left w:val="nil"/>
              <w:bottom w:val="single" w:sz="4" w:space="0" w:color="auto"/>
              <w:right w:val="single" w:sz="4" w:space="0" w:color="auto"/>
            </w:tcBorders>
            <w:shd w:val="clear" w:color="auto" w:fill="auto"/>
            <w:vAlign w:val="center"/>
            <w:hideMark/>
          </w:tcPr>
          <w:p w14:paraId="53E603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A14D8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Projektvendim i Këshillit të Ministrave "Per miratimin e koeficientit te indeksimit të bazës së vlerësuar për llogaritjen e pensioneve" </w:t>
            </w:r>
          </w:p>
        </w:tc>
        <w:tc>
          <w:tcPr>
            <w:tcW w:w="330" w:type="pct"/>
            <w:tcBorders>
              <w:top w:val="nil"/>
              <w:left w:val="nil"/>
              <w:bottom w:val="single" w:sz="4" w:space="0" w:color="auto"/>
              <w:right w:val="single" w:sz="4" w:space="0" w:color="auto"/>
            </w:tcBorders>
            <w:shd w:val="clear" w:color="auto" w:fill="auto"/>
            <w:vAlign w:val="center"/>
            <w:hideMark/>
          </w:tcPr>
          <w:p w14:paraId="4CBE8EFB" w14:textId="3FF2A30F" w:rsidR="00482167" w:rsidRPr="006D6BE5" w:rsidRDefault="00482167" w:rsidP="00A7241A">
            <w:pPr>
              <w:rPr>
                <w:rFonts w:ascii="Arial" w:hAnsi="Arial" w:cs="Arial"/>
                <w:sz w:val="4"/>
                <w:szCs w:val="8"/>
                <w:lang w:val="sq-AL"/>
              </w:rPr>
            </w:pPr>
            <w:r w:rsidRPr="006D6BE5">
              <w:rPr>
                <w:rFonts w:ascii="Arial" w:hAnsi="Arial" w:cs="Arial"/>
                <w:sz w:val="4"/>
                <w:szCs w:val="8"/>
                <w:lang w:val="sq-AL"/>
              </w:rPr>
              <w:t>Ky Projektvendim synon rritjen e</w:t>
            </w:r>
            <w:r w:rsidR="006D6BE5">
              <w:rPr>
                <w:rFonts w:ascii="Arial" w:hAnsi="Arial" w:cs="Arial"/>
                <w:sz w:val="4"/>
                <w:szCs w:val="8"/>
                <w:lang w:val="sq-AL"/>
              </w:rPr>
              <w:t xml:space="preserve"> </w:t>
            </w:r>
            <w:r w:rsidRPr="006D6BE5">
              <w:rPr>
                <w:rFonts w:ascii="Arial" w:hAnsi="Arial" w:cs="Arial"/>
                <w:sz w:val="4"/>
                <w:szCs w:val="8"/>
                <w:lang w:val="sq-AL"/>
              </w:rPr>
              <w:t>nivelin ekonomik të pensionisteve që marrin pension pleqerie, familjar dhe invaliditeti për perballimin e inflacionit eknomik, duke siguruar që punonjesi te mos kete humbje në të ardhuara, nëpërmjet ruajtjes së koeficientit</w:t>
            </w:r>
            <w:r w:rsidR="006D6BE5">
              <w:rPr>
                <w:rFonts w:ascii="Arial" w:hAnsi="Arial" w:cs="Arial"/>
                <w:sz w:val="4"/>
                <w:szCs w:val="8"/>
                <w:lang w:val="sq-AL"/>
              </w:rPr>
              <w:t xml:space="preserve"> </w:t>
            </w:r>
            <w:r w:rsidRPr="006D6BE5">
              <w:rPr>
                <w:rFonts w:ascii="Arial" w:hAnsi="Arial" w:cs="Arial"/>
                <w:sz w:val="4"/>
                <w:szCs w:val="8"/>
                <w:lang w:val="sq-AL"/>
              </w:rPr>
              <w:t>tëindeksimit të bazës së vlerësuar për llogaritjen e pensioneve.</w:t>
            </w:r>
          </w:p>
        </w:tc>
        <w:tc>
          <w:tcPr>
            <w:tcW w:w="126" w:type="pct"/>
            <w:tcBorders>
              <w:top w:val="nil"/>
              <w:left w:val="nil"/>
              <w:bottom w:val="single" w:sz="4" w:space="0" w:color="auto"/>
              <w:right w:val="single" w:sz="4" w:space="0" w:color="auto"/>
            </w:tcBorders>
            <w:shd w:val="clear" w:color="auto" w:fill="auto"/>
            <w:vAlign w:val="center"/>
            <w:hideMark/>
          </w:tcPr>
          <w:p w14:paraId="458009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5BF677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auto" w:fill="auto"/>
            <w:vAlign w:val="center"/>
            <w:hideMark/>
          </w:tcPr>
          <w:p w14:paraId="194259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217D22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58B3F8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0B5FE0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823266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164</w:t>
            </w:r>
          </w:p>
        </w:tc>
        <w:tc>
          <w:tcPr>
            <w:tcW w:w="126" w:type="pct"/>
            <w:tcBorders>
              <w:top w:val="nil"/>
              <w:left w:val="nil"/>
              <w:bottom w:val="single" w:sz="4" w:space="0" w:color="auto"/>
              <w:right w:val="single" w:sz="4" w:space="0" w:color="auto"/>
            </w:tcBorders>
            <w:shd w:val="clear" w:color="auto" w:fill="auto"/>
            <w:vAlign w:val="center"/>
            <w:hideMark/>
          </w:tcPr>
          <w:p w14:paraId="7785AC9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183</w:t>
            </w:r>
          </w:p>
        </w:tc>
        <w:tc>
          <w:tcPr>
            <w:tcW w:w="117" w:type="pct"/>
            <w:tcBorders>
              <w:top w:val="nil"/>
              <w:left w:val="nil"/>
              <w:bottom w:val="single" w:sz="4" w:space="0" w:color="auto"/>
              <w:right w:val="single" w:sz="4" w:space="0" w:color="auto"/>
            </w:tcBorders>
            <w:shd w:val="clear" w:color="auto" w:fill="auto"/>
            <w:vAlign w:val="center"/>
            <w:hideMark/>
          </w:tcPr>
          <w:p w14:paraId="5E3AEEE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201</w:t>
            </w:r>
          </w:p>
        </w:tc>
        <w:tc>
          <w:tcPr>
            <w:tcW w:w="129" w:type="pct"/>
            <w:tcBorders>
              <w:top w:val="nil"/>
              <w:left w:val="nil"/>
              <w:bottom w:val="single" w:sz="4" w:space="0" w:color="auto"/>
              <w:right w:val="single" w:sz="4" w:space="0" w:color="auto"/>
            </w:tcBorders>
            <w:shd w:val="clear" w:color="FFFFFF" w:fill="FFFFFF"/>
            <w:vAlign w:val="center"/>
            <w:hideMark/>
          </w:tcPr>
          <w:p w14:paraId="15EBE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67783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0AF1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8EE25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949325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127809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w:t>
            </w:r>
          </w:p>
        </w:tc>
        <w:tc>
          <w:tcPr>
            <w:tcW w:w="144" w:type="pct"/>
            <w:tcBorders>
              <w:top w:val="nil"/>
              <w:left w:val="nil"/>
              <w:bottom w:val="single" w:sz="4" w:space="0" w:color="auto"/>
              <w:right w:val="single" w:sz="4" w:space="0" w:color="auto"/>
            </w:tcBorders>
            <w:shd w:val="clear" w:color="auto" w:fill="auto"/>
            <w:vAlign w:val="center"/>
            <w:hideMark/>
          </w:tcPr>
          <w:p w14:paraId="221050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MSHMS/MFE</w:t>
            </w:r>
          </w:p>
        </w:tc>
        <w:tc>
          <w:tcPr>
            <w:tcW w:w="165" w:type="pct"/>
            <w:tcBorders>
              <w:top w:val="nil"/>
              <w:left w:val="nil"/>
              <w:bottom w:val="single" w:sz="4" w:space="0" w:color="auto"/>
              <w:right w:val="single" w:sz="4" w:space="0" w:color="auto"/>
            </w:tcBorders>
            <w:shd w:val="clear" w:color="auto" w:fill="auto"/>
            <w:vAlign w:val="center"/>
            <w:hideMark/>
          </w:tcPr>
          <w:p w14:paraId="66EB68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Barazia në Punësim dhe Politika Sociale midis Gruas dhe Burrit.</w:t>
            </w:r>
          </w:p>
        </w:tc>
        <w:tc>
          <w:tcPr>
            <w:tcW w:w="171" w:type="pct"/>
            <w:tcBorders>
              <w:top w:val="nil"/>
              <w:left w:val="nil"/>
              <w:bottom w:val="single" w:sz="4" w:space="0" w:color="auto"/>
              <w:right w:val="single" w:sz="4" w:space="0" w:color="auto"/>
            </w:tcBorders>
            <w:shd w:val="clear" w:color="auto" w:fill="auto"/>
            <w:vAlign w:val="center"/>
            <w:hideMark/>
          </w:tcPr>
          <w:p w14:paraId="701E7C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Strategjia e Barazisë Gjinore </w:t>
            </w:r>
            <w:r w:rsidRPr="006D6BE5">
              <w:rPr>
                <w:rFonts w:ascii="Arial" w:hAnsi="Arial" w:cs="Arial"/>
                <w:color w:val="000000"/>
                <w:sz w:val="4"/>
                <w:szCs w:val="8"/>
                <w:lang w:val="sq-AL"/>
              </w:rPr>
              <w:br/>
            </w:r>
            <w:r w:rsidRPr="006D6BE5">
              <w:rPr>
                <w:rFonts w:ascii="Arial" w:hAnsi="Arial" w:cs="Arial"/>
                <w:i/>
                <w:iCs/>
                <w:color w:val="000000"/>
                <w:sz w:val="4"/>
                <w:szCs w:val="8"/>
                <w:lang w:val="sq-AL"/>
              </w:rPr>
              <w:t>(soft law)</w:t>
            </w:r>
          </w:p>
        </w:tc>
        <w:tc>
          <w:tcPr>
            <w:tcW w:w="661" w:type="pct"/>
            <w:tcBorders>
              <w:top w:val="nil"/>
              <w:left w:val="nil"/>
              <w:bottom w:val="single" w:sz="4" w:space="0" w:color="auto"/>
              <w:right w:val="single" w:sz="4" w:space="0" w:color="auto"/>
            </w:tcBorders>
            <w:shd w:val="clear" w:color="auto" w:fill="auto"/>
            <w:vAlign w:val="center"/>
            <w:hideMark/>
          </w:tcPr>
          <w:p w14:paraId="5C8F59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Komunikimi i Komisionit për Parlamentin Evropian, Këshillin, Komitetin Ekonomik dhe Social Evropian dhe Komitetin e Rajoneve "Unioni i Barazisë: Strategjia e Barazisë Gjinore 2020-2025"</w:t>
            </w:r>
            <w:r w:rsidRPr="006D6BE5">
              <w:rPr>
                <w:rFonts w:ascii="Arial" w:hAnsi="Arial" w:cs="Arial"/>
                <w:color w:val="000000"/>
                <w:sz w:val="4"/>
                <w:szCs w:val="8"/>
                <w:lang w:val="sq-AL"/>
              </w:rPr>
              <w:br/>
            </w:r>
            <w:r w:rsidRPr="006D6BE5">
              <w:rPr>
                <w:rFonts w:ascii="Arial" w:hAnsi="Arial" w:cs="Arial"/>
                <w:i/>
                <w:iCs/>
                <w:color w:val="000000"/>
                <w:sz w:val="4"/>
                <w:szCs w:val="8"/>
                <w:lang w:val="sq-AL"/>
              </w:rPr>
              <w:t>COM/2020/152 final</w:t>
            </w:r>
          </w:p>
        </w:tc>
        <w:tc>
          <w:tcPr>
            <w:tcW w:w="668" w:type="pct"/>
            <w:tcBorders>
              <w:top w:val="nil"/>
              <w:left w:val="nil"/>
              <w:bottom w:val="single" w:sz="4" w:space="0" w:color="auto"/>
              <w:right w:val="single" w:sz="4" w:space="0" w:color="auto"/>
            </w:tcBorders>
            <w:shd w:val="clear" w:color="auto" w:fill="auto"/>
            <w:vAlign w:val="center"/>
            <w:hideMark/>
          </w:tcPr>
          <w:p w14:paraId="027B1D72" w14:textId="77777777" w:rsidR="00482167" w:rsidRPr="006D6BE5" w:rsidRDefault="00E63D69" w:rsidP="00A7241A">
            <w:pPr>
              <w:rPr>
                <w:rFonts w:ascii="Arial" w:hAnsi="Arial" w:cs="Arial"/>
                <w:color w:val="0563C1"/>
                <w:sz w:val="4"/>
                <w:szCs w:val="8"/>
                <w:u w:val="single"/>
                <w:lang w:val="sq-AL"/>
              </w:rPr>
            </w:pPr>
            <w:hyperlink r:id="rId138" w:history="1">
              <w:r w:rsidR="00482167" w:rsidRPr="006D6BE5">
                <w:rPr>
                  <w:rFonts w:ascii="Arial" w:hAnsi="Arial" w:cs="Arial"/>
                  <w:color w:val="0563C1"/>
                  <w:sz w:val="4"/>
                  <w:szCs w:val="8"/>
                  <w:u w:val="single"/>
                  <w:lang w:val="sq-AL"/>
                </w:rPr>
                <w:t>https://eur-lex.europa.eu/legal-content/EN/TXT/?uri=CELEX%3A52020DC0152</w:t>
              </w:r>
            </w:hyperlink>
          </w:p>
        </w:tc>
        <w:tc>
          <w:tcPr>
            <w:tcW w:w="506" w:type="pct"/>
            <w:tcBorders>
              <w:top w:val="nil"/>
              <w:left w:val="nil"/>
              <w:bottom w:val="single" w:sz="4" w:space="0" w:color="auto"/>
              <w:right w:val="single" w:sz="4" w:space="0" w:color="auto"/>
            </w:tcBorders>
            <w:shd w:val="clear" w:color="auto" w:fill="auto"/>
            <w:vAlign w:val="center"/>
            <w:hideMark/>
          </w:tcPr>
          <w:p w14:paraId="482541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84266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ndryshime në Ligjin Nr.9970/2008 "Për Barazinë Gjinore në Shoqëri"</w:t>
            </w:r>
          </w:p>
        </w:tc>
        <w:tc>
          <w:tcPr>
            <w:tcW w:w="330" w:type="pct"/>
            <w:tcBorders>
              <w:top w:val="nil"/>
              <w:left w:val="nil"/>
              <w:bottom w:val="single" w:sz="4" w:space="0" w:color="auto"/>
              <w:right w:val="single" w:sz="4" w:space="0" w:color="auto"/>
            </w:tcBorders>
            <w:shd w:val="clear" w:color="auto" w:fill="auto"/>
            <w:vAlign w:val="center"/>
            <w:hideMark/>
          </w:tcPr>
          <w:p w14:paraId="065D064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Ndryshime ligjore për përmirësimin e legjislationit të barazisë gjinore. </w:t>
            </w:r>
          </w:p>
        </w:tc>
        <w:tc>
          <w:tcPr>
            <w:tcW w:w="126" w:type="pct"/>
            <w:tcBorders>
              <w:top w:val="nil"/>
              <w:left w:val="nil"/>
              <w:bottom w:val="single" w:sz="4" w:space="0" w:color="auto"/>
              <w:right w:val="single" w:sz="4" w:space="0" w:color="auto"/>
            </w:tcBorders>
            <w:shd w:val="clear" w:color="auto" w:fill="auto"/>
            <w:vAlign w:val="center"/>
            <w:hideMark/>
          </w:tcPr>
          <w:p w14:paraId="39C69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119446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00741B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auto" w:fill="auto"/>
            <w:vAlign w:val="center"/>
            <w:hideMark/>
          </w:tcPr>
          <w:p w14:paraId="01442B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2F3FDB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3FD5F2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0DD117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29805EE0" w14:textId="7F8ADB1C"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3,769 </w:t>
            </w:r>
          </w:p>
        </w:tc>
        <w:tc>
          <w:tcPr>
            <w:tcW w:w="117" w:type="pct"/>
            <w:tcBorders>
              <w:top w:val="nil"/>
              <w:left w:val="nil"/>
              <w:bottom w:val="single" w:sz="4" w:space="0" w:color="auto"/>
              <w:right w:val="single" w:sz="4" w:space="0" w:color="auto"/>
            </w:tcBorders>
            <w:shd w:val="clear" w:color="auto" w:fill="auto"/>
            <w:vAlign w:val="center"/>
            <w:hideMark/>
          </w:tcPr>
          <w:p w14:paraId="3CC48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9745A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B2DC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BD49B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65C2D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19522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81CA3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w:t>
            </w:r>
          </w:p>
        </w:tc>
        <w:tc>
          <w:tcPr>
            <w:tcW w:w="144" w:type="pct"/>
            <w:tcBorders>
              <w:top w:val="nil"/>
              <w:left w:val="nil"/>
              <w:bottom w:val="single" w:sz="4" w:space="0" w:color="auto"/>
              <w:right w:val="single" w:sz="4" w:space="0" w:color="auto"/>
            </w:tcBorders>
            <w:shd w:val="clear" w:color="FFFFFF" w:fill="FFFFFF"/>
            <w:vAlign w:val="center"/>
            <w:hideMark/>
          </w:tcPr>
          <w:p w14:paraId="7DB077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5DF26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Konkurrenca dhe politika industriale</w:t>
            </w:r>
          </w:p>
        </w:tc>
        <w:tc>
          <w:tcPr>
            <w:tcW w:w="171" w:type="pct"/>
            <w:tcBorders>
              <w:top w:val="nil"/>
              <w:left w:val="nil"/>
              <w:bottom w:val="single" w:sz="4" w:space="0" w:color="auto"/>
              <w:right w:val="single" w:sz="4" w:space="0" w:color="auto"/>
            </w:tcBorders>
            <w:shd w:val="clear" w:color="FFFFFF" w:fill="FFFFFF"/>
            <w:vAlign w:val="center"/>
            <w:hideMark/>
          </w:tcPr>
          <w:p w14:paraId="0CD07F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auto" w:fill="auto"/>
            <w:vAlign w:val="center"/>
            <w:hideMark/>
          </w:tcPr>
          <w:p w14:paraId="35B656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Përditësimi i Strategjisë së Re Industriale 2020: Ndërtimi i një tregu të vetëm më të fortë për rimëkëmbjen e Evropës</w:t>
            </w:r>
          </w:p>
        </w:tc>
        <w:tc>
          <w:tcPr>
            <w:tcW w:w="668" w:type="pct"/>
            <w:tcBorders>
              <w:top w:val="nil"/>
              <w:left w:val="nil"/>
              <w:bottom w:val="single" w:sz="4" w:space="0" w:color="auto"/>
              <w:right w:val="single" w:sz="4" w:space="0" w:color="auto"/>
            </w:tcBorders>
            <w:shd w:val="clear" w:color="auto" w:fill="auto"/>
            <w:vAlign w:val="center"/>
            <w:hideMark/>
          </w:tcPr>
          <w:p w14:paraId="2F2A6315"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https://eur-lex.europa.eu/legal-content/EN/TXT/PDF/?uri=CELEX:52021DC0350&amp;from=EN</w:t>
            </w:r>
          </w:p>
        </w:tc>
        <w:tc>
          <w:tcPr>
            <w:tcW w:w="506" w:type="pct"/>
            <w:tcBorders>
              <w:top w:val="nil"/>
              <w:left w:val="nil"/>
              <w:bottom w:val="single" w:sz="4" w:space="0" w:color="auto"/>
              <w:right w:val="single" w:sz="4" w:space="0" w:color="auto"/>
            </w:tcBorders>
            <w:shd w:val="clear" w:color="auto" w:fill="auto"/>
            <w:vAlign w:val="center"/>
            <w:hideMark/>
          </w:tcPr>
          <w:p w14:paraId="0827EE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7F07B8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Zhvillimi i kapaciteteve për negociatat në Kapitullin 20</w:t>
            </w:r>
          </w:p>
        </w:tc>
        <w:tc>
          <w:tcPr>
            <w:tcW w:w="330" w:type="pct"/>
            <w:tcBorders>
              <w:top w:val="nil"/>
              <w:left w:val="nil"/>
              <w:bottom w:val="single" w:sz="4" w:space="0" w:color="auto"/>
              <w:right w:val="single" w:sz="4" w:space="0" w:color="auto"/>
            </w:tcBorders>
            <w:shd w:val="clear" w:color="auto" w:fill="auto"/>
            <w:vAlign w:val="center"/>
            <w:hideMark/>
          </w:tcPr>
          <w:p w14:paraId="66324C0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Trajnime/coaching dhe mbështetje metodologjike për MFE dhe grupin ndërinstitucional të punës për Kapitullin 20 të cilat do të shërbejnë për forcimin e kapaciteteve për zhvillimin e bisedimeve te anëtarësimit, që përfshijnë: </w:t>
            </w:r>
            <w:r w:rsidRPr="006D6BE5">
              <w:rPr>
                <w:rFonts w:ascii="Arial" w:hAnsi="Arial" w:cs="Arial"/>
                <w:sz w:val="4"/>
                <w:szCs w:val="8"/>
                <w:lang w:val="sq-AL"/>
              </w:rPr>
              <w:br/>
              <w:t>- Analizën e mangësive ligjore dhe institucionale/administrative (LGA/IAGA);</w:t>
            </w:r>
            <w:r w:rsidRPr="006D6BE5">
              <w:rPr>
                <w:rFonts w:ascii="Arial" w:hAnsi="Arial" w:cs="Arial"/>
                <w:sz w:val="4"/>
                <w:szCs w:val="8"/>
                <w:lang w:val="sq-AL"/>
              </w:rPr>
              <w:br/>
              <w:t xml:space="preserve">- Hartimi i pozicionit negociues; </w:t>
            </w:r>
            <w:r w:rsidRPr="006D6BE5">
              <w:rPr>
                <w:rFonts w:ascii="Arial" w:hAnsi="Arial" w:cs="Arial"/>
                <w:sz w:val="4"/>
                <w:szCs w:val="8"/>
                <w:lang w:val="sq-AL"/>
              </w:rPr>
              <w:br/>
              <w:t xml:space="preserve">- Vlerësimi i aspekteve të barazisë gjinore; </w:t>
            </w:r>
            <w:r w:rsidRPr="006D6BE5">
              <w:rPr>
                <w:rFonts w:ascii="Arial" w:hAnsi="Arial" w:cs="Arial"/>
                <w:sz w:val="4"/>
                <w:szCs w:val="8"/>
                <w:lang w:val="sq-AL"/>
              </w:rPr>
              <w:br/>
              <w:t>- Përfshirja e aktorëve joshtetërorë (PPIE)</w:t>
            </w:r>
          </w:p>
        </w:tc>
        <w:tc>
          <w:tcPr>
            <w:tcW w:w="126" w:type="pct"/>
            <w:tcBorders>
              <w:top w:val="nil"/>
              <w:left w:val="nil"/>
              <w:bottom w:val="single" w:sz="4" w:space="0" w:color="auto"/>
              <w:right w:val="single" w:sz="4" w:space="0" w:color="auto"/>
            </w:tcBorders>
            <w:shd w:val="clear" w:color="auto" w:fill="auto"/>
            <w:vAlign w:val="center"/>
            <w:hideMark/>
          </w:tcPr>
          <w:p w14:paraId="329B77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114D8D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673F89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0B84DA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2C7B8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2F685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FFFFFF" w:fill="FFFFFF"/>
            <w:vAlign w:val="center"/>
            <w:hideMark/>
          </w:tcPr>
          <w:p w14:paraId="0659CD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E3C49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9D77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9B2BF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11" w:type="pct"/>
            <w:tcBorders>
              <w:top w:val="nil"/>
              <w:left w:val="nil"/>
              <w:bottom w:val="single" w:sz="4" w:space="0" w:color="auto"/>
              <w:right w:val="single" w:sz="4" w:space="0" w:color="auto"/>
            </w:tcBorders>
            <w:shd w:val="clear" w:color="FFFFFF" w:fill="FFFFFF"/>
            <w:vAlign w:val="center"/>
            <w:hideMark/>
          </w:tcPr>
          <w:p w14:paraId="69679A68" w14:textId="7C02AAC1"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4,200 </w:t>
            </w:r>
          </w:p>
        </w:tc>
        <w:tc>
          <w:tcPr>
            <w:tcW w:w="111" w:type="pct"/>
            <w:tcBorders>
              <w:top w:val="nil"/>
              <w:left w:val="nil"/>
              <w:bottom w:val="single" w:sz="4" w:space="0" w:color="auto"/>
              <w:right w:val="single" w:sz="4" w:space="0" w:color="auto"/>
            </w:tcBorders>
            <w:shd w:val="clear" w:color="FFFFFF" w:fill="FFFFFF"/>
            <w:vAlign w:val="center"/>
            <w:hideMark/>
          </w:tcPr>
          <w:p w14:paraId="469B7CBF" w14:textId="5953695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4,200 </w:t>
            </w:r>
          </w:p>
        </w:tc>
        <w:tc>
          <w:tcPr>
            <w:tcW w:w="101" w:type="pct"/>
            <w:tcBorders>
              <w:top w:val="nil"/>
              <w:left w:val="nil"/>
              <w:bottom w:val="single" w:sz="4" w:space="0" w:color="auto"/>
              <w:right w:val="single" w:sz="4" w:space="0" w:color="auto"/>
            </w:tcBorders>
            <w:shd w:val="clear" w:color="FFFFFF" w:fill="FFFFFF"/>
            <w:vAlign w:val="center"/>
            <w:hideMark/>
          </w:tcPr>
          <w:p w14:paraId="560D73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89ADDD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F70C5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w:t>
            </w:r>
          </w:p>
        </w:tc>
        <w:tc>
          <w:tcPr>
            <w:tcW w:w="144" w:type="pct"/>
            <w:tcBorders>
              <w:top w:val="nil"/>
              <w:left w:val="nil"/>
              <w:bottom w:val="single" w:sz="4" w:space="0" w:color="auto"/>
              <w:right w:val="single" w:sz="4" w:space="0" w:color="auto"/>
            </w:tcBorders>
            <w:shd w:val="clear" w:color="FFFFFF" w:fill="FFFFFF"/>
            <w:vAlign w:val="center"/>
            <w:hideMark/>
          </w:tcPr>
          <w:p w14:paraId="144686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092B5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dhe Instrumentet e Ndërmarrjeve- NVM</w:t>
            </w:r>
          </w:p>
        </w:tc>
        <w:tc>
          <w:tcPr>
            <w:tcW w:w="171" w:type="pct"/>
            <w:tcBorders>
              <w:top w:val="nil"/>
              <w:left w:val="nil"/>
              <w:bottom w:val="single" w:sz="4" w:space="0" w:color="auto"/>
              <w:right w:val="single" w:sz="4" w:space="0" w:color="auto"/>
            </w:tcBorders>
            <w:shd w:val="clear" w:color="FFFFFF" w:fill="FFFFFF"/>
            <w:vAlign w:val="center"/>
            <w:hideMark/>
          </w:tcPr>
          <w:p w14:paraId="474378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i Turizmit</w:t>
            </w:r>
          </w:p>
        </w:tc>
        <w:tc>
          <w:tcPr>
            <w:tcW w:w="661" w:type="pct"/>
            <w:tcBorders>
              <w:top w:val="nil"/>
              <w:left w:val="nil"/>
              <w:bottom w:val="single" w:sz="4" w:space="0" w:color="auto"/>
              <w:right w:val="single" w:sz="4" w:space="0" w:color="auto"/>
            </w:tcBorders>
            <w:shd w:val="clear" w:color="auto" w:fill="auto"/>
            <w:vAlign w:val="center"/>
            <w:hideMark/>
          </w:tcPr>
          <w:p w14:paraId="0279C6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Rruga e tranzicionit për turizmin</w:t>
            </w:r>
          </w:p>
        </w:tc>
        <w:tc>
          <w:tcPr>
            <w:tcW w:w="668" w:type="pct"/>
            <w:tcBorders>
              <w:top w:val="nil"/>
              <w:left w:val="nil"/>
              <w:bottom w:val="single" w:sz="4" w:space="0" w:color="auto"/>
              <w:right w:val="single" w:sz="4" w:space="0" w:color="auto"/>
            </w:tcBorders>
            <w:shd w:val="clear" w:color="auto" w:fill="auto"/>
            <w:vAlign w:val="center"/>
            <w:hideMark/>
          </w:tcPr>
          <w:p w14:paraId="14C8241C" w14:textId="77777777" w:rsidR="00482167" w:rsidRPr="006D6BE5" w:rsidRDefault="00E63D69" w:rsidP="00A7241A">
            <w:pPr>
              <w:rPr>
                <w:rFonts w:ascii="Arial" w:hAnsi="Arial" w:cs="Arial"/>
                <w:color w:val="0563C1"/>
                <w:sz w:val="4"/>
                <w:szCs w:val="8"/>
                <w:u w:val="single"/>
                <w:lang w:val="sq-AL"/>
              </w:rPr>
            </w:pPr>
            <w:hyperlink r:id="rId139" w:history="1">
              <w:r w:rsidR="00482167" w:rsidRPr="006D6BE5">
                <w:rPr>
                  <w:rFonts w:ascii="Arial" w:hAnsi="Arial" w:cs="Arial"/>
                  <w:color w:val="0563C1"/>
                  <w:sz w:val="4"/>
                  <w:szCs w:val="8"/>
                  <w:u w:val="single"/>
                  <w:lang w:val="sq-AL"/>
                </w:rPr>
                <w:t>Transition pathway for tourism - Publications Office of the EU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5D1DF5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15885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Projektstrategjia Kombëtare për Zhvillimin e Turizmit 2024-2030</w:t>
            </w:r>
          </w:p>
        </w:tc>
        <w:tc>
          <w:tcPr>
            <w:tcW w:w="330" w:type="pct"/>
            <w:tcBorders>
              <w:top w:val="nil"/>
              <w:left w:val="nil"/>
              <w:bottom w:val="single" w:sz="4" w:space="0" w:color="auto"/>
              <w:right w:val="single" w:sz="4" w:space="0" w:color="auto"/>
            </w:tcBorders>
            <w:shd w:val="clear" w:color="auto" w:fill="auto"/>
            <w:vAlign w:val="center"/>
            <w:hideMark/>
          </w:tcPr>
          <w:p w14:paraId="1C0598DA" w14:textId="658B213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Prioritetet e politikave te BE-se sa i takon sektorit te turizmit orientohen drejt: nxitjes se konkurueshmerise, zhvillimit te nje turizmit te qendrueshem, te pergjegjeshem dhe cilesor, transformimit digjital dhe tranzicionit green. Keto prioritete</w:t>
            </w:r>
            <w:r w:rsidR="006D6BE5">
              <w:rPr>
                <w:rFonts w:ascii="Arial" w:hAnsi="Arial" w:cs="Arial"/>
                <w:sz w:val="4"/>
                <w:szCs w:val="8"/>
                <w:lang w:val="sq-AL"/>
              </w:rPr>
              <w:t xml:space="preserve"> </w:t>
            </w:r>
            <w:r w:rsidRPr="006D6BE5">
              <w:rPr>
                <w:rFonts w:ascii="Arial" w:hAnsi="Arial" w:cs="Arial"/>
                <w:sz w:val="4"/>
                <w:szCs w:val="8"/>
                <w:lang w:val="sq-AL"/>
              </w:rPr>
              <w:t>do te mbahen ne konsiderate dhe do te sherbejne si orientim gjate hartimit te Strategjise Kombetare per Zhvillimin e Turizmit 2024-2030</w:t>
            </w:r>
          </w:p>
        </w:tc>
        <w:tc>
          <w:tcPr>
            <w:tcW w:w="126" w:type="pct"/>
            <w:tcBorders>
              <w:top w:val="nil"/>
              <w:left w:val="nil"/>
              <w:bottom w:val="single" w:sz="4" w:space="0" w:color="auto"/>
              <w:right w:val="single" w:sz="4" w:space="0" w:color="auto"/>
            </w:tcBorders>
            <w:shd w:val="clear" w:color="auto" w:fill="auto"/>
            <w:vAlign w:val="center"/>
            <w:hideMark/>
          </w:tcPr>
          <w:p w14:paraId="1DC59C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41124C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5FD19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09C3FC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EC524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C04E4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52C5DE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9,500 </w:t>
            </w:r>
          </w:p>
        </w:tc>
        <w:tc>
          <w:tcPr>
            <w:tcW w:w="126" w:type="pct"/>
            <w:tcBorders>
              <w:top w:val="nil"/>
              <w:left w:val="nil"/>
              <w:bottom w:val="single" w:sz="4" w:space="0" w:color="auto"/>
              <w:right w:val="single" w:sz="4" w:space="0" w:color="auto"/>
            </w:tcBorders>
            <w:shd w:val="clear" w:color="FFFFFF" w:fill="FFFFFF"/>
            <w:vAlign w:val="center"/>
            <w:hideMark/>
          </w:tcPr>
          <w:p w14:paraId="0C03ED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DCB59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D37D9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A1FA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073E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012F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3E5861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83E69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w:t>
            </w:r>
          </w:p>
        </w:tc>
        <w:tc>
          <w:tcPr>
            <w:tcW w:w="144" w:type="pct"/>
            <w:tcBorders>
              <w:top w:val="nil"/>
              <w:left w:val="nil"/>
              <w:bottom w:val="single" w:sz="4" w:space="0" w:color="auto"/>
              <w:right w:val="single" w:sz="4" w:space="0" w:color="auto"/>
            </w:tcBorders>
            <w:shd w:val="clear" w:color="FFFFFF" w:fill="FFFFFF"/>
            <w:vAlign w:val="center"/>
            <w:hideMark/>
          </w:tcPr>
          <w:p w14:paraId="3D59F5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F1AE4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dhe Instrumentet e Ndërmarrjeve- NVM</w:t>
            </w:r>
          </w:p>
        </w:tc>
        <w:tc>
          <w:tcPr>
            <w:tcW w:w="171" w:type="pct"/>
            <w:tcBorders>
              <w:top w:val="nil"/>
              <w:left w:val="nil"/>
              <w:bottom w:val="single" w:sz="4" w:space="0" w:color="auto"/>
              <w:right w:val="single" w:sz="4" w:space="0" w:color="auto"/>
            </w:tcBorders>
            <w:shd w:val="clear" w:color="FFFFFF" w:fill="FFFFFF"/>
            <w:vAlign w:val="center"/>
            <w:hideMark/>
          </w:tcPr>
          <w:p w14:paraId="05B3D7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Sektori i Turizmit</w:t>
            </w:r>
          </w:p>
        </w:tc>
        <w:tc>
          <w:tcPr>
            <w:tcW w:w="661" w:type="pct"/>
            <w:tcBorders>
              <w:top w:val="nil"/>
              <w:left w:val="nil"/>
              <w:bottom w:val="single" w:sz="4" w:space="0" w:color="auto"/>
              <w:right w:val="single" w:sz="4" w:space="0" w:color="auto"/>
            </w:tcBorders>
            <w:shd w:val="clear" w:color="auto" w:fill="auto"/>
            <w:vAlign w:val="center"/>
            <w:hideMark/>
          </w:tcPr>
          <w:p w14:paraId="5F6A97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Prioritetet e politikës së turizmit të BE-së</w:t>
            </w:r>
          </w:p>
        </w:tc>
        <w:tc>
          <w:tcPr>
            <w:tcW w:w="668" w:type="pct"/>
            <w:tcBorders>
              <w:top w:val="nil"/>
              <w:left w:val="nil"/>
              <w:bottom w:val="single" w:sz="4" w:space="0" w:color="auto"/>
              <w:right w:val="single" w:sz="4" w:space="0" w:color="auto"/>
            </w:tcBorders>
            <w:shd w:val="clear" w:color="auto" w:fill="auto"/>
            <w:vAlign w:val="center"/>
            <w:hideMark/>
          </w:tcPr>
          <w:p w14:paraId="174EACDB" w14:textId="77777777" w:rsidR="00482167" w:rsidRPr="006D6BE5" w:rsidRDefault="00E63D69" w:rsidP="00A7241A">
            <w:pPr>
              <w:rPr>
                <w:rFonts w:ascii="Arial" w:hAnsi="Arial" w:cs="Arial"/>
                <w:color w:val="0563C1"/>
                <w:sz w:val="4"/>
                <w:szCs w:val="8"/>
                <w:u w:val="single"/>
                <w:lang w:val="sq-AL"/>
              </w:rPr>
            </w:pPr>
            <w:hyperlink r:id="rId140" w:history="1">
              <w:r w:rsidR="00482167" w:rsidRPr="006D6BE5">
                <w:rPr>
                  <w:rFonts w:ascii="Arial" w:hAnsi="Arial" w:cs="Arial"/>
                  <w:color w:val="0563C1"/>
                  <w:sz w:val="4"/>
                  <w:szCs w:val="8"/>
                  <w:u w:val="single"/>
                  <w:lang w:val="sq-AL"/>
                </w:rPr>
                <w:t>Tourism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4049FA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10B33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Projektstrategjia Kombëtare për Zhvillimin e Turizmit 2024-2030</w:t>
            </w:r>
          </w:p>
        </w:tc>
        <w:tc>
          <w:tcPr>
            <w:tcW w:w="330" w:type="pct"/>
            <w:tcBorders>
              <w:top w:val="nil"/>
              <w:left w:val="nil"/>
              <w:bottom w:val="single" w:sz="4" w:space="0" w:color="auto"/>
              <w:right w:val="single" w:sz="4" w:space="0" w:color="auto"/>
            </w:tcBorders>
            <w:shd w:val="clear" w:color="auto" w:fill="auto"/>
            <w:vAlign w:val="center"/>
            <w:hideMark/>
          </w:tcPr>
          <w:p w14:paraId="55D58A1C" w14:textId="24B40422"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Prioritetet e politikave te BE-se sa i takon sektorit te turizmit orientohen drejt: nxitjes se konkurueshmerise, zhvillimit te nje turizmit te qendrueshem, te pergjegjeshem dhe cilesor, transformimit digjital dhe tranzicionit green. Keto prioritete</w:t>
            </w:r>
            <w:r w:rsidR="006D6BE5">
              <w:rPr>
                <w:rFonts w:ascii="Arial" w:hAnsi="Arial" w:cs="Arial"/>
                <w:sz w:val="4"/>
                <w:szCs w:val="8"/>
                <w:lang w:val="sq-AL"/>
              </w:rPr>
              <w:t xml:space="preserve"> </w:t>
            </w:r>
            <w:r w:rsidRPr="006D6BE5">
              <w:rPr>
                <w:rFonts w:ascii="Arial" w:hAnsi="Arial" w:cs="Arial"/>
                <w:sz w:val="4"/>
                <w:szCs w:val="8"/>
                <w:lang w:val="sq-AL"/>
              </w:rPr>
              <w:t>do te mbahen ne konsiderate dhe do te sherbejne si orientim gjate hartimit te Strategjise Kombetare per Zhvillimin e Turizmit 2024-2030</w:t>
            </w:r>
          </w:p>
        </w:tc>
        <w:tc>
          <w:tcPr>
            <w:tcW w:w="126" w:type="pct"/>
            <w:tcBorders>
              <w:top w:val="nil"/>
              <w:left w:val="nil"/>
              <w:bottom w:val="single" w:sz="4" w:space="0" w:color="auto"/>
              <w:right w:val="single" w:sz="4" w:space="0" w:color="auto"/>
            </w:tcBorders>
            <w:shd w:val="clear" w:color="auto" w:fill="auto"/>
            <w:vAlign w:val="center"/>
            <w:hideMark/>
          </w:tcPr>
          <w:p w14:paraId="7C2025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785B88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6A9938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130D63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3B1EB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BB592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5FB5E4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9,500 </w:t>
            </w:r>
          </w:p>
        </w:tc>
        <w:tc>
          <w:tcPr>
            <w:tcW w:w="126" w:type="pct"/>
            <w:tcBorders>
              <w:top w:val="nil"/>
              <w:left w:val="nil"/>
              <w:bottom w:val="single" w:sz="4" w:space="0" w:color="auto"/>
              <w:right w:val="single" w:sz="4" w:space="0" w:color="auto"/>
            </w:tcBorders>
            <w:shd w:val="clear" w:color="FFFFFF" w:fill="FFFFFF"/>
            <w:vAlign w:val="center"/>
            <w:hideMark/>
          </w:tcPr>
          <w:p w14:paraId="60174A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8840D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D016A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6AEF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5F93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49F72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61ECC09"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7556E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25</w:t>
            </w:r>
          </w:p>
        </w:tc>
        <w:tc>
          <w:tcPr>
            <w:tcW w:w="144" w:type="pct"/>
            <w:tcBorders>
              <w:top w:val="nil"/>
              <w:left w:val="nil"/>
              <w:bottom w:val="single" w:sz="4" w:space="0" w:color="auto"/>
              <w:right w:val="single" w:sz="4" w:space="0" w:color="auto"/>
            </w:tcBorders>
            <w:shd w:val="clear" w:color="DEEBF7" w:fill="FFFFFF"/>
            <w:vAlign w:val="center"/>
            <w:hideMark/>
          </w:tcPr>
          <w:p w14:paraId="637E12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76A7E3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21E0349F" w14:textId="4DCD831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Shkenca dhe Kerkimi Shkencor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 Sistemi Inovacionit</w:t>
            </w:r>
          </w:p>
        </w:tc>
        <w:tc>
          <w:tcPr>
            <w:tcW w:w="661" w:type="pct"/>
            <w:tcBorders>
              <w:top w:val="nil"/>
              <w:left w:val="nil"/>
              <w:bottom w:val="single" w:sz="4" w:space="0" w:color="auto"/>
              <w:right w:val="single" w:sz="4" w:space="0" w:color="auto"/>
            </w:tcBorders>
            <w:shd w:val="clear" w:color="auto" w:fill="auto"/>
            <w:vAlign w:val="center"/>
            <w:hideMark/>
          </w:tcPr>
          <w:p w14:paraId="314F87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Horizon Europe - Rregullorja (BE) 2021/695 e Parlamentit Evropian dhe e Këshillit e datës 28 Prill 2021 që themelon Horizon Europe – Programin Kuadër për Kërkim dhe Inovacion, duke përcaktuar rregullat e tij për pjesëmarrjen dhe shpërndarjen, dhe duke shfuqizuar Rregulloret (BE ) Nr 1290/2013 dhe (BE) Nr 1291/2013 </w:t>
            </w:r>
          </w:p>
        </w:tc>
        <w:tc>
          <w:tcPr>
            <w:tcW w:w="668" w:type="pct"/>
            <w:tcBorders>
              <w:top w:val="nil"/>
              <w:left w:val="nil"/>
              <w:bottom w:val="single" w:sz="4" w:space="0" w:color="auto"/>
              <w:right w:val="single" w:sz="4" w:space="0" w:color="auto"/>
            </w:tcBorders>
            <w:shd w:val="clear" w:color="DEEBF7" w:fill="FFFFFF"/>
            <w:vAlign w:val="center"/>
            <w:hideMark/>
          </w:tcPr>
          <w:p w14:paraId="531623B0"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xml:space="preserve"> http://data.europa.eu/eli/reg/2021/695/oj</w:t>
            </w:r>
          </w:p>
        </w:tc>
        <w:tc>
          <w:tcPr>
            <w:tcW w:w="506" w:type="pct"/>
            <w:tcBorders>
              <w:top w:val="nil"/>
              <w:left w:val="nil"/>
              <w:bottom w:val="single" w:sz="4" w:space="0" w:color="auto"/>
              <w:right w:val="single" w:sz="4" w:space="0" w:color="auto"/>
            </w:tcBorders>
            <w:shd w:val="clear" w:color="auto" w:fill="auto"/>
            <w:vAlign w:val="center"/>
            <w:hideMark/>
          </w:tcPr>
          <w:p w14:paraId="1363F7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D1008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Ligji për Shkencën</w:t>
            </w:r>
          </w:p>
        </w:tc>
        <w:tc>
          <w:tcPr>
            <w:tcW w:w="330" w:type="pct"/>
            <w:tcBorders>
              <w:top w:val="nil"/>
              <w:left w:val="nil"/>
              <w:bottom w:val="single" w:sz="4" w:space="0" w:color="auto"/>
              <w:right w:val="single" w:sz="4" w:space="0" w:color="auto"/>
            </w:tcBorders>
            <w:shd w:val="clear" w:color="auto" w:fill="auto"/>
            <w:vAlign w:val="center"/>
            <w:hideMark/>
          </w:tcPr>
          <w:p w14:paraId="6B3016B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Projektligji është në koherencë të plotë me parimet e përcaktuara në Dispozitat e Traktatit mbi Funksionimin e BE (TFBE), kapitulli XIX mbi kërkimin.Projektligji ka për qëllim plotësimin e detyrimeve që burojnë nga: procesi i asociimit të BE lidhur me kapitullin 25 “Shkenca dhe kërkimi shkencor”. </w:t>
            </w:r>
          </w:p>
        </w:tc>
        <w:tc>
          <w:tcPr>
            <w:tcW w:w="126" w:type="pct"/>
            <w:tcBorders>
              <w:top w:val="nil"/>
              <w:left w:val="nil"/>
              <w:bottom w:val="single" w:sz="4" w:space="0" w:color="auto"/>
              <w:right w:val="single" w:sz="4" w:space="0" w:color="auto"/>
            </w:tcBorders>
            <w:shd w:val="clear" w:color="auto" w:fill="auto"/>
            <w:vAlign w:val="center"/>
            <w:hideMark/>
          </w:tcPr>
          <w:p w14:paraId="2EE459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09372B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2499C4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13" w:type="pct"/>
            <w:tcBorders>
              <w:top w:val="nil"/>
              <w:left w:val="nil"/>
              <w:bottom w:val="single" w:sz="4" w:space="0" w:color="auto"/>
              <w:right w:val="single" w:sz="4" w:space="0" w:color="auto"/>
            </w:tcBorders>
            <w:shd w:val="clear" w:color="auto" w:fill="auto"/>
            <w:vAlign w:val="center"/>
            <w:hideMark/>
          </w:tcPr>
          <w:p w14:paraId="3A2583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4C2195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3F7866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auto" w:fill="auto"/>
            <w:vAlign w:val="center"/>
            <w:hideMark/>
          </w:tcPr>
          <w:p w14:paraId="08FFC1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500</w:t>
            </w:r>
          </w:p>
        </w:tc>
        <w:tc>
          <w:tcPr>
            <w:tcW w:w="126" w:type="pct"/>
            <w:tcBorders>
              <w:top w:val="nil"/>
              <w:left w:val="nil"/>
              <w:bottom w:val="single" w:sz="4" w:space="0" w:color="auto"/>
              <w:right w:val="single" w:sz="4" w:space="0" w:color="auto"/>
            </w:tcBorders>
            <w:shd w:val="clear" w:color="auto" w:fill="auto"/>
            <w:vAlign w:val="center"/>
            <w:hideMark/>
          </w:tcPr>
          <w:p w14:paraId="56BA45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42F859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4C7FB9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5B04E8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665DAD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32E068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9F56E05"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6866A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25</w:t>
            </w:r>
          </w:p>
        </w:tc>
        <w:tc>
          <w:tcPr>
            <w:tcW w:w="144" w:type="pct"/>
            <w:tcBorders>
              <w:top w:val="nil"/>
              <w:left w:val="nil"/>
              <w:bottom w:val="single" w:sz="4" w:space="0" w:color="auto"/>
              <w:right w:val="single" w:sz="4" w:space="0" w:color="auto"/>
            </w:tcBorders>
            <w:shd w:val="clear" w:color="auto" w:fill="auto"/>
            <w:vAlign w:val="center"/>
            <w:hideMark/>
          </w:tcPr>
          <w:p w14:paraId="2D9DA8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1452D4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48B31FF1" w14:textId="08DF505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Shkenca dhe Kerkimi Shkencor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 Sistemi Inovacionit</w:t>
            </w:r>
          </w:p>
        </w:tc>
        <w:tc>
          <w:tcPr>
            <w:tcW w:w="661" w:type="pct"/>
            <w:tcBorders>
              <w:top w:val="nil"/>
              <w:left w:val="nil"/>
              <w:bottom w:val="single" w:sz="4" w:space="0" w:color="auto"/>
              <w:right w:val="single" w:sz="4" w:space="0" w:color="auto"/>
            </w:tcBorders>
            <w:shd w:val="clear" w:color="auto" w:fill="auto"/>
            <w:vAlign w:val="center"/>
            <w:hideMark/>
          </w:tcPr>
          <w:p w14:paraId="1ADD2E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COM(2018) 306 final KOMUNIKIM NGA KOMISIONI NË PARLAMENTIN EVROPIAN, KËSHILLI, KESHILLI EVROPIAN, KOMITETI EKONOMIK E SHOQËROR DHE KOMITETI I RAJONEVE</w:t>
            </w:r>
            <w:r w:rsidRPr="006D6BE5">
              <w:rPr>
                <w:rFonts w:ascii="Arial" w:hAnsi="Arial" w:cs="Arial"/>
                <w:color w:val="000000"/>
                <w:sz w:val="4"/>
                <w:szCs w:val="8"/>
                <w:lang w:val="sq-AL"/>
              </w:rPr>
              <w:br/>
              <w:t>Një Agjendë Evropiane e rinovuar për Kërkim dhe Inovacion - shansi i Evropës për të formësuar të ardhmen e saj</w:t>
            </w:r>
          </w:p>
        </w:tc>
        <w:tc>
          <w:tcPr>
            <w:tcW w:w="668" w:type="pct"/>
            <w:tcBorders>
              <w:top w:val="nil"/>
              <w:left w:val="nil"/>
              <w:bottom w:val="single" w:sz="4" w:space="0" w:color="auto"/>
              <w:right w:val="single" w:sz="4" w:space="0" w:color="auto"/>
            </w:tcBorders>
            <w:shd w:val="clear" w:color="DEEBF7" w:fill="FFFFFF"/>
            <w:vAlign w:val="center"/>
            <w:hideMark/>
          </w:tcPr>
          <w:p w14:paraId="323B9557" w14:textId="77777777" w:rsidR="00482167" w:rsidRPr="006D6BE5" w:rsidRDefault="00E63D69" w:rsidP="00A7241A">
            <w:pPr>
              <w:rPr>
                <w:rFonts w:ascii="Arial" w:hAnsi="Arial" w:cs="Arial"/>
                <w:color w:val="0563C1"/>
                <w:sz w:val="4"/>
                <w:szCs w:val="8"/>
                <w:u w:val="single"/>
                <w:lang w:val="sq-AL"/>
              </w:rPr>
            </w:pPr>
            <w:hyperlink r:id="rId141" w:history="1">
              <w:r w:rsidR="00482167" w:rsidRPr="006D6BE5">
                <w:rPr>
                  <w:rFonts w:ascii="Arial" w:hAnsi="Arial" w:cs="Arial"/>
                  <w:color w:val="0563C1"/>
                  <w:sz w:val="4"/>
                  <w:szCs w:val="8"/>
                  <w:u w:val="single"/>
                  <w:lang w:val="sq-AL"/>
                </w:rPr>
                <w:t xml:space="preserve">https://eur-lex.europa.eu/legal-content/en/ALL/?uri=CELEX%3A52018DC0306 </w:t>
              </w:r>
            </w:hyperlink>
          </w:p>
        </w:tc>
        <w:tc>
          <w:tcPr>
            <w:tcW w:w="506" w:type="pct"/>
            <w:tcBorders>
              <w:top w:val="nil"/>
              <w:left w:val="nil"/>
              <w:bottom w:val="single" w:sz="4" w:space="0" w:color="auto"/>
              <w:right w:val="single" w:sz="4" w:space="0" w:color="auto"/>
            </w:tcBorders>
            <w:shd w:val="clear" w:color="auto" w:fill="auto"/>
            <w:vAlign w:val="center"/>
            <w:hideMark/>
          </w:tcPr>
          <w:p w14:paraId="32DCF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259CE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 i Keshillit te Ministrave per miratimin e Strategjise se Specializimit Smart</w:t>
            </w:r>
          </w:p>
        </w:tc>
        <w:tc>
          <w:tcPr>
            <w:tcW w:w="330" w:type="pct"/>
            <w:tcBorders>
              <w:top w:val="nil"/>
              <w:left w:val="nil"/>
              <w:bottom w:val="single" w:sz="4" w:space="0" w:color="auto"/>
              <w:right w:val="single" w:sz="4" w:space="0" w:color="auto"/>
            </w:tcBorders>
            <w:shd w:val="clear" w:color="auto" w:fill="auto"/>
            <w:vAlign w:val="center"/>
            <w:hideMark/>
          </w:tcPr>
          <w:p w14:paraId="2A44667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1. Shkenca dhe Kërkimi Shkencor </w:t>
            </w:r>
            <w:r w:rsidRPr="006D6BE5">
              <w:rPr>
                <w:rFonts w:ascii="Arial" w:hAnsi="Arial" w:cs="Arial"/>
                <w:sz w:val="4"/>
                <w:szCs w:val="8"/>
                <w:lang w:val="sq-AL"/>
              </w:rPr>
              <w:br/>
              <w:t>2. Sistemi Inovacionit</w:t>
            </w:r>
          </w:p>
        </w:tc>
        <w:tc>
          <w:tcPr>
            <w:tcW w:w="126" w:type="pct"/>
            <w:tcBorders>
              <w:top w:val="nil"/>
              <w:left w:val="nil"/>
              <w:bottom w:val="single" w:sz="4" w:space="0" w:color="auto"/>
              <w:right w:val="single" w:sz="4" w:space="0" w:color="auto"/>
            </w:tcBorders>
            <w:shd w:val="clear" w:color="auto" w:fill="auto"/>
            <w:vAlign w:val="center"/>
            <w:hideMark/>
          </w:tcPr>
          <w:p w14:paraId="1D1B54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3C7322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auto" w:fill="auto"/>
            <w:vAlign w:val="center"/>
            <w:hideMark/>
          </w:tcPr>
          <w:p w14:paraId="28005F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Zv.Kryeministri</w:t>
            </w:r>
          </w:p>
        </w:tc>
        <w:tc>
          <w:tcPr>
            <w:tcW w:w="113" w:type="pct"/>
            <w:tcBorders>
              <w:top w:val="nil"/>
              <w:left w:val="nil"/>
              <w:bottom w:val="single" w:sz="4" w:space="0" w:color="auto"/>
              <w:right w:val="single" w:sz="4" w:space="0" w:color="auto"/>
            </w:tcBorders>
            <w:shd w:val="clear" w:color="auto" w:fill="auto"/>
            <w:vAlign w:val="center"/>
            <w:hideMark/>
          </w:tcPr>
          <w:p w14:paraId="3154C0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B706D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4314CB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0" w:type="pct"/>
            <w:tcBorders>
              <w:top w:val="nil"/>
              <w:left w:val="nil"/>
              <w:bottom w:val="single" w:sz="4" w:space="0" w:color="auto"/>
              <w:right w:val="single" w:sz="4" w:space="0" w:color="auto"/>
            </w:tcBorders>
            <w:shd w:val="clear" w:color="auto" w:fill="auto"/>
            <w:vAlign w:val="center"/>
            <w:hideMark/>
          </w:tcPr>
          <w:p w14:paraId="0FDCC6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23B637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20835C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6A7483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12F67A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14CA86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3888F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5984DF9"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578AB0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26</w:t>
            </w:r>
          </w:p>
        </w:tc>
        <w:tc>
          <w:tcPr>
            <w:tcW w:w="144" w:type="pct"/>
            <w:tcBorders>
              <w:top w:val="nil"/>
              <w:left w:val="nil"/>
              <w:bottom w:val="single" w:sz="4" w:space="0" w:color="auto"/>
              <w:right w:val="single" w:sz="4" w:space="0" w:color="auto"/>
            </w:tcBorders>
            <w:shd w:val="clear" w:color="auto" w:fill="auto"/>
            <w:vAlign w:val="center"/>
            <w:hideMark/>
          </w:tcPr>
          <w:p w14:paraId="7EB238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1628E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3A36CD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Sistemi Arsimor: Politikat dhe strukturat</w:t>
            </w:r>
          </w:p>
        </w:tc>
        <w:tc>
          <w:tcPr>
            <w:tcW w:w="661" w:type="pct"/>
            <w:tcBorders>
              <w:top w:val="nil"/>
              <w:left w:val="nil"/>
              <w:bottom w:val="single" w:sz="4" w:space="0" w:color="auto"/>
              <w:right w:val="single" w:sz="4" w:space="0" w:color="auto"/>
            </w:tcBorders>
            <w:shd w:val="clear" w:color="auto" w:fill="auto"/>
            <w:vAlign w:val="center"/>
            <w:hideMark/>
          </w:tcPr>
          <w:p w14:paraId="6387C6A1" w14:textId="220406CA" w:rsidR="00482167" w:rsidRPr="006D6BE5" w:rsidRDefault="00482167" w:rsidP="00A7241A">
            <w:pPr>
              <w:rPr>
                <w:rFonts w:ascii="Arial" w:hAnsi="Arial" w:cs="Arial"/>
                <w:color w:val="262626"/>
                <w:sz w:val="4"/>
                <w:szCs w:val="8"/>
                <w:lang w:val="sq-AL"/>
              </w:rPr>
            </w:pPr>
            <w:r w:rsidRPr="006D6BE5">
              <w:rPr>
                <w:rFonts w:ascii="Arial" w:hAnsi="Arial" w:cs="Arial"/>
                <w:color w:val="262626"/>
                <w:sz w:val="4"/>
                <w:szCs w:val="8"/>
                <w:lang w:val="sq-AL"/>
              </w:rPr>
              <w:t>Rezoluta e Këshillit e 26 shkurtit 2021 mbi një kornizë strategjike për bashkëpunimin evropian në arsim dhe trajnim drejt Zonës Evropiane të Arsimit dhe më gjerë (2021-2030)</w:t>
            </w:r>
            <w:r w:rsidR="006D6BE5">
              <w:rPr>
                <w:rFonts w:ascii="Arial" w:hAnsi="Arial" w:cs="Arial"/>
                <w:color w:val="262626"/>
                <w:sz w:val="4"/>
                <w:szCs w:val="8"/>
                <w:lang w:val="sq-AL"/>
              </w:rPr>
              <w:t xml:space="preserve"> </w:t>
            </w:r>
          </w:p>
        </w:tc>
        <w:tc>
          <w:tcPr>
            <w:tcW w:w="668" w:type="pct"/>
            <w:tcBorders>
              <w:top w:val="nil"/>
              <w:left w:val="nil"/>
              <w:bottom w:val="single" w:sz="4" w:space="0" w:color="auto"/>
              <w:right w:val="single" w:sz="4" w:space="0" w:color="auto"/>
            </w:tcBorders>
            <w:shd w:val="clear" w:color="auto" w:fill="auto"/>
            <w:vAlign w:val="center"/>
            <w:hideMark/>
          </w:tcPr>
          <w:p w14:paraId="6ADC0925" w14:textId="77777777" w:rsidR="00482167" w:rsidRPr="006D6BE5" w:rsidRDefault="00E63D69" w:rsidP="00A7241A">
            <w:pPr>
              <w:rPr>
                <w:rFonts w:ascii="Arial" w:hAnsi="Arial" w:cs="Arial"/>
                <w:color w:val="0563C1"/>
                <w:sz w:val="4"/>
                <w:szCs w:val="8"/>
                <w:u w:val="single"/>
                <w:lang w:val="sq-AL"/>
              </w:rPr>
            </w:pPr>
            <w:hyperlink r:id="rId142" w:history="1">
              <w:r w:rsidR="00482167" w:rsidRPr="006D6BE5">
                <w:rPr>
                  <w:rFonts w:ascii="Arial" w:hAnsi="Arial" w:cs="Arial"/>
                  <w:color w:val="0563C1"/>
                  <w:sz w:val="4"/>
                  <w:szCs w:val="8"/>
                  <w:u w:val="single"/>
                  <w:lang w:val="sq-AL"/>
                </w:rPr>
                <w:t xml:space="preserve">https://eur-lex.europa.eu/legal-content/EN/ALL/?uri=CELEX%3A32021G0226%2801%29 </w:t>
              </w:r>
            </w:hyperlink>
          </w:p>
        </w:tc>
        <w:tc>
          <w:tcPr>
            <w:tcW w:w="506" w:type="pct"/>
            <w:tcBorders>
              <w:top w:val="nil"/>
              <w:left w:val="nil"/>
              <w:bottom w:val="single" w:sz="4" w:space="0" w:color="auto"/>
              <w:right w:val="single" w:sz="4" w:space="0" w:color="auto"/>
            </w:tcBorders>
            <w:shd w:val="clear" w:color="auto" w:fill="auto"/>
            <w:vAlign w:val="center"/>
            <w:hideMark/>
          </w:tcPr>
          <w:p w14:paraId="1657B78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E2926F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VKM për përcaktimin e Planin e Veprimit të Arsimit Dixhital 2025-2030 duke përfshirë edhe standartet për arritjen e kompetencës digjitale</w:t>
            </w:r>
          </w:p>
        </w:tc>
        <w:tc>
          <w:tcPr>
            <w:tcW w:w="330" w:type="pct"/>
            <w:tcBorders>
              <w:top w:val="nil"/>
              <w:left w:val="nil"/>
              <w:bottom w:val="single" w:sz="4" w:space="0" w:color="auto"/>
              <w:right w:val="single" w:sz="4" w:space="0" w:color="auto"/>
            </w:tcBorders>
            <w:shd w:val="clear" w:color="auto" w:fill="auto"/>
            <w:vAlign w:val="center"/>
            <w:hideMark/>
          </w:tcPr>
          <w:p w14:paraId="4BC79E0D"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Sistemi Arsimor: Politikat dhe strukturat</w:t>
            </w:r>
          </w:p>
        </w:tc>
        <w:tc>
          <w:tcPr>
            <w:tcW w:w="126" w:type="pct"/>
            <w:tcBorders>
              <w:top w:val="nil"/>
              <w:left w:val="nil"/>
              <w:bottom w:val="single" w:sz="4" w:space="0" w:color="auto"/>
              <w:right w:val="single" w:sz="4" w:space="0" w:color="auto"/>
            </w:tcBorders>
            <w:shd w:val="clear" w:color="auto" w:fill="auto"/>
            <w:vAlign w:val="center"/>
            <w:hideMark/>
          </w:tcPr>
          <w:p w14:paraId="440742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59E33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auto" w:fill="auto"/>
            <w:vAlign w:val="center"/>
            <w:hideMark/>
          </w:tcPr>
          <w:p w14:paraId="0135BC1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MAS</w:t>
            </w:r>
          </w:p>
        </w:tc>
        <w:tc>
          <w:tcPr>
            <w:tcW w:w="113" w:type="pct"/>
            <w:tcBorders>
              <w:top w:val="nil"/>
              <w:left w:val="nil"/>
              <w:bottom w:val="single" w:sz="4" w:space="0" w:color="auto"/>
              <w:right w:val="single" w:sz="4" w:space="0" w:color="auto"/>
            </w:tcBorders>
            <w:shd w:val="clear" w:color="auto" w:fill="auto"/>
            <w:vAlign w:val="center"/>
            <w:hideMark/>
          </w:tcPr>
          <w:p w14:paraId="057E04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4E83ECB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361C89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7FD0A8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02D002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1,341</w:t>
            </w:r>
          </w:p>
        </w:tc>
        <w:tc>
          <w:tcPr>
            <w:tcW w:w="117" w:type="pct"/>
            <w:tcBorders>
              <w:top w:val="nil"/>
              <w:left w:val="nil"/>
              <w:bottom w:val="single" w:sz="4" w:space="0" w:color="auto"/>
              <w:right w:val="single" w:sz="4" w:space="0" w:color="auto"/>
            </w:tcBorders>
            <w:shd w:val="clear" w:color="auto" w:fill="auto"/>
            <w:vAlign w:val="center"/>
            <w:hideMark/>
          </w:tcPr>
          <w:p w14:paraId="00EA14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2F1293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76AC97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563CB0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715499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C70748"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4EF438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26</w:t>
            </w:r>
          </w:p>
        </w:tc>
        <w:tc>
          <w:tcPr>
            <w:tcW w:w="144" w:type="pct"/>
            <w:tcBorders>
              <w:top w:val="nil"/>
              <w:left w:val="nil"/>
              <w:bottom w:val="single" w:sz="4" w:space="0" w:color="auto"/>
              <w:right w:val="single" w:sz="4" w:space="0" w:color="auto"/>
            </w:tcBorders>
            <w:shd w:val="clear" w:color="auto" w:fill="auto"/>
            <w:vAlign w:val="center"/>
            <w:hideMark/>
          </w:tcPr>
          <w:p w14:paraId="0A1FC8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004B30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5FA104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Sistemi Arsimor: Politikat dhe strukturat</w:t>
            </w:r>
          </w:p>
        </w:tc>
        <w:tc>
          <w:tcPr>
            <w:tcW w:w="661" w:type="pct"/>
            <w:tcBorders>
              <w:top w:val="nil"/>
              <w:left w:val="nil"/>
              <w:bottom w:val="single" w:sz="4" w:space="0" w:color="auto"/>
              <w:right w:val="single" w:sz="4" w:space="0" w:color="auto"/>
            </w:tcBorders>
            <w:shd w:val="clear" w:color="auto" w:fill="auto"/>
            <w:vAlign w:val="center"/>
            <w:hideMark/>
          </w:tcPr>
          <w:p w14:paraId="3F444311" w14:textId="06B9E35A" w:rsidR="00482167" w:rsidRPr="006D6BE5" w:rsidRDefault="00482167" w:rsidP="00A7241A">
            <w:pPr>
              <w:rPr>
                <w:rFonts w:ascii="Arial" w:hAnsi="Arial" w:cs="Arial"/>
                <w:color w:val="262626"/>
                <w:sz w:val="4"/>
                <w:szCs w:val="8"/>
                <w:lang w:val="sq-AL"/>
              </w:rPr>
            </w:pPr>
            <w:r w:rsidRPr="006D6BE5">
              <w:rPr>
                <w:rFonts w:ascii="Arial" w:hAnsi="Arial" w:cs="Arial"/>
                <w:color w:val="262626"/>
                <w:sz w:val="4"/>
                <w:szCs w:val="8"/>
                <w:lang w:val="sq-AL"/>
              </w:rPr>
              <w:t>1.1. Kuadri strategjik</w:t>
            </w:r>
            <w:r w:rsidRPr="006D6BE5">
              <w:rPr>
                <w:rFonts w:ascii="Arial" w:hAnsi="Arial" w:cs="Arial"/>
                <w:color w:val="262626"/>
                <w:sz w:val="4"/>
                <w:szCs w:val="8"/>
                <w:lang w:val="sq-AL"/>
              </w:rPr>
              <w:br/>
            </w:r>
            <w:r w:rsidRPr="006D6BE5">
              <w:rPr>
                <w:rFonts w:ascii="Arial" w:hAnsi="Arial" w:cs="Arial"/>
                <w:color w:val="262626"/>
                <w:sz w:val="4"/>
                <w:szCs w:val="8"/>
                <w:lang w:val="sq-AL"/>
              </w:rPr>
              <w:br/>
            </w:r>
            <w:r w:rsidR="006D6BE5">
              <w:rPr>
                <w:rFonts w:ascii="Arial" w:hAnsi="Arial" w:cs="Arial"/>
                <w:color w:val="262626"/>
                <w:sz w:val="4"/>
                <w:szCs w:val="8"/>
                <w:lang w:val="sq-AL"/>
              </w:rPr>
              <w:t xml:space="preserve"> </w:t>
            </w:r>
            <w:r w:rsidRPr="006D6BE5">
              <w:rPr>
                <w:rFonts w:ascii="Arial" w:hAnsi="Arial" w:cs="Arial"/>
                <w:color w:val="262626"/>
                <w:sz w:val="4"/>
                <w:szCs w:val="8"/>
                <w:lang w:val="sq-AL"/>
              </w:rPr>
              <w:t>Rezolutat e Këshillit</w:t>
            </w:r>
            <w:r w:rsidRPr="006D6BE5">
              <w:rPr>
                <w:rFonts w:ascii="Arial" w:hAnsi="Arial" w:cs="Arial"/>
                <w:color w:val="262626"/>
                <w:sz w:val="4"/>
                <w:szCs w:val="8"/>
                <w:lang w:val="sq-AL"/>
              </w:rPr>
              <w:br/>
              <w:t>- Rezoluta e Këshillit e 26 shkurtit 2021 mbi një kornizë strategjike për bashkëpunimin evropian në arsim dhe trajnim drejt Zonës Evropiane të Arsimit dhe më gjerë (2021-2030)</w:t>
            </w:r>
            <w:r w:rsidRPr="006D6BE5">
              <w:rPr>
                <w:rFonts w:ascii="Arial" w:hAnsi="Arial" w:cs="Arial"/>
                <w:color w:val="262626"/>
                <w:sz w:val="4"/>
                <w:szCs w:val="8"/>
                <w:lang w:val="sq-AL"/>
              </w:rPr>
              <w:br/>
              <w:t>Rekomandimet e Këshillit</w:t>
            </w:r>
            <w:r w:rsidRPr="006D6BE5">
              <w:rPr>
                <w:rFonts w:ascii="Arial" w:hAnsi="Arial" w:cs="Arial"/>
                <w:color w:val="262626"/>
                <w:sz w:val="4"/>
                <w:szCs w:val="8"/>
                <w:lang w:val="sq-AL"/>
              </w:rPr>
              <w:br/>
              <w:t>- Rekomandimi i Këshillit i datës 16 qershor 2022 për të mësuarit për tranzicionin e gjelbër dhe zhvillimin e qëndrueshëm</w:t>
            </w:r>
            <w:r w:rsidRPr="006D6BE5">
              <w:rPr>
                <w:rFonts w:ascii="Arial" w:hAnsi="Arial" w:cs="Arial"/>
                <w:color w:val="262626"/>
                <w:sz w:val="4"/>
                <w:szCs w:val="8"/>
                <w:lang w:val="sq-AL"/>
              </w:rPr>
              <w:br/>
              <w:t>1.2. Shumëgjuhësia</w:t>
            </w:r>
            <w:r w:rsidRPr="006D6BE5">
              <w:rPr>
                <w:rFonts w:ascii="Arial" w:hAnsi="Arial" w:cs="Arial"/>
                <w:color w:val="262626"/>
                <w:sz w:val="4"/>
                <w:szCs w:val="8"/>
                <w:lang w:val="sq-AL"/>
              </w:rPr>
              <w:br/>
              <w:t>Rezolutat e Këshillit</w:t>
            </w:r>
            <w:r w:rsidRPr="006D6BE5">
              <w:rPr>
                <w:rFonts w:ascii="Arial" w:hAnsi="Arial" w:cs="Arial"/>
                <w:color w:val="262626"/>
                <w:sz w:val="4"/>
                <w:szCs w:val="8"/>
                <w:lang w:val="sq-AL"/>
              </w:rPr>
              <w:br/>
              <w:t>- Rezoluta e KËSHILLIT e datës 21 nëntor 2008 mbi një strategji evropiane për shumëgjuhësinë</w:t>
            </w:r>
            <w:r w:rsidRPr="006D6BE5">
              <w:rPr>
                <w:rFonts w:ascii="Arial" w:hAnsi="Arial" w:cs="Arial"/>
                <w:color w:val="262626"/>
                <w:sz w:val="4"/>
                <w:szCs w:val="8"/>
                <w:lang w:val="sq-AL"/>
              </w:rPr>
              <w:br/>
              <w:t>- Rezoluta e KËSHILLIT e datës 15 nëntor 2007 mbi arsimin dhe trajnimin si shtytës kryesor i Strategjisë së Lisbonës</w:t>
            </w:r>
            <w:r w:rsidRPr="006D6BE5">
              <w:rPr>
                <w:rFonts w:ascii="Arial" w:hAnsi="Arial" w:cs="Arial"/>
                <w:color w:val="262626"/>
                <w:sz w:val="4"/>
                <w:szCs w:val="8"/>
                <w:lang w:val="sq-AL"/>
              </w:rPr>
              <w:br/>
              <w:t>Rekomandimet e Këshillit</w:t>
            </w:r>
            <w:r w:rsidRPr="006D6BE5">
              <w:rPr>
                <w:rFonts w:ascii="Arial" w:hAnsi="Arial" w:cs="Arial"/>
                <w:color w:val="262626"/>
                <w:sz w:val="4"/>
                <w:szCs w:val="8"/>
                <w:lang w:val="sq-AL"/>
              </w:rPr>
              <w:br/>
              <w:t>- Rekomandimi i Këshillit i 22 majit 2019 për një qasje gjithëpërfshirëse për mësimdhënien dhe mësimin e gjuhëve</w:t>
            </w:r>
            <w:r w:rsidRPr="006D6BE5">
              <w:rPr>
                <w:rFonts w:ascii="Arial" w:hAnsi="Arial" w:cs="Arial"/>
                <w:color w:val="262626"/>
                <w:sz w:val="4"/>
                <w:szCs w:val="8"/>
                <w:lang w:val="sq-AL"/>
              </w:rPr>
              <w:br/>
              <w:t>OJ C 189, 5.6.2019, f. 15–22</w:t>
            </w:r>
            <w:r w:rsidRPr="006D6BE5">
              <w:rPr>
                <w:rFonts w:ascii="Arial" w:hAnsi="Arial" w:cs="Arial"/>
                <w:color w:val="262626"/>
                <w:sz w:val="4"/>
                <w:szCs w:val="8"/>
                <w:lang w:val="sq-AL"/>
              </w:rPr>
              <w:br/>
              <w:t>1.3. Edukimi dixhital</w:t>
            </w:r>
            <w:r w:rsidRPr="006D6BE5">
              <w:rPr>
                <w:rFonts w:ascii="Arial" w:hAnsi="Arial" w:cs="Arial"/>
                <w:color w:val="262626"/>
                <w:sz w:val="4"/>
                <w:szCs w:val="8"/>
                <w:lang w:val="sq-AL"/>
              </w:rPr>
              <w:br/>
              <w:t>Korniza e Politikave</w:t>
            </w:r>
            <w:r w:rsidRPr="006D6BE5">
              <w:rPr>
                <w:rFonts w:ascii="Arial" w:hAnsi="Arial" w:cs="Arial"/>
                <w:color w:val="262626"/>
                <w:sz w:val="4"/>
                <w:szCs w:val="8"/>
                <w:lang w:val="sq-AL"/>
              </w:rPr>
              <w:br/>
              <w:t>- Komunikimi nga Komisioni për Parlamentin Evropian, Këshillin, Komitetin Ekonomik dhe Social Evropian dhe Komitetin e Rajoneve: Plani i Veprimit për Arsimin Dixhital 2021-2027 Rivendosja e arsimit dhe trajnimit për epokën dixhitale</w:t>
            </w:r>
            <w:r w:rsidRPr="006D6BE5">
              <w:rPr>
                <w:rFonts w:ascii="Arial" w:hAnsi="Arial" w:cs="Arial"/>
                <w:color w:val="262626"/>
                <w:sz w:val="4"/>
                <w:szCs w:val="8"/>
                <w:lang w:val="sq-AL"/>
              </w:rPr>
              <w:br/>
              <w:t>Konkluzionet e Këshillit</w:t>
            </w:r>
            <w:r w:rsidRPr="006D6BE5">
              <w:rPr>
                <w:rFonts w:ascii="Arial" w:hAnsi="Arial" w:cs="Arial"/>
                <w:color w:val="262626"/>
                <w:sz w:val="4"/>
                <w:szCs w:val="8"/>
                <w:lang w:val="sq-AL"/>
              </w:rPr>
              <w:br/>
              <w:t>- Konkluzionet e Këshillit mbi arsimin dixhital në shoqëritë e dijes së Evropës 2020/C 415/10</w:t>
            </w:r>
            <w:r w:rsidRPr="006D6BE5">
              <w:rPr>
                <w:rFonts w:ascii="Arial" w:hAnsi="Arial" w:cs="Arial"/>
                <w:color w:val="262626"/>
                <w:sz w:val="4"/>
                <w:szCs w:val="8"/>
                <w:lang w:val="sq-AL"/>
              </w:rPr>
              <w:br/>
              <w:t>- Konkluzionet e Këshillit për mbështetjen e mirëqenies në arsimin dixhital- (2022/C 469/04)</w:t>
            </w:r>
            <w:r w:rsidRPr="006D6BE5">
              <w:rPr>
                <w:rFonts w:ascii="Arial" w:hAnsi="Arial" w:cs="Arial"/>
                <w:color w:val="262626"/>
                <w:sz w:val="4"/>
                <w:szCs w:val="8"/>
                <w:lang w:val="sq-AL"/>
              </w:rPr>
              <w:br/>
              <w:t>​</w:t>
            </w:r>
          </w:p>
        </w:tc>
        <w:tc>
          <w:tcPr>
            <w:tcW w:w="668" w:type="pct"/>
            <w:tcBorders>
              <w:top w:val="nil"/>
              <w:left w:val="nil"/>
              <w:bottom w:val="single" w:sz="4" w:space="0" w:color="auto"/>
              <w:right w:val="single" w:sz="4" w:space="0" w:color="auto"/>
            </w:tcBorders>
            <w:shd w:val="clear" w:color="auto" w:fill="auto"/>
            <w:vAlign w:val="center"/>
            <w:hideMark/>
          </w:tcPr>
          <w:p w14:paraId="38CDAE8E" w14:textId="77777777" w:rsidR="00482167" w:rsidRPr="006D6BE5" w:rsidRDefault="00E63D69" w:rsidP="00A7241A">
            <w:pPr>
              <w:rPr>
                <w:rFonts w:ascii="Arial" w:hAnsi="Arial" w:cs="Arial"/>
                <w:color w:val="000000"/>
                <w:sz w:val="4"/>
                <w:szCs w:val="8"/>
                <w:lang w:val="sq-AL"/>
              </w:rPr>
            </w:pPr>
            <w:hyperlink r:id="rId143" w:history="1">
              <w:r w:rsidR="00482167" w:rsidRPr="006D6BE5">
                <w:rPr>
                  <w:rFonts w:ascii="Arial" w:hAnsi="Arial" w:cs="Arial"/>
                  <w:color w:val="000000"/>
                  <w:sz w:val="4"/>
                  <w:szCs w:val="8"/>
                  <w:lang w:val="sq-AL"/>
                </w:rPr>
                <w:t xml:space="preserve">https://eur-lex.europa.eu/legal-content/EN/ALL/?uri=CELEX%3A32021G0226%2801%29 </w:t>
              </w:r>
              <w:r w:rsidR="00482167" w:rsidRPr="006D6BE5">
                <w:rPr>
                  <w:rFonts w:ascii="Arial" w:hAnsi="Arial" w:cs="Arial"/>
                  <w:color w:val="000000"/>
                  <w:sz w:val="4"/>
                  <w:szCs w:val="8"/>
                  <w:lang w:val="sq-AL"/>
                </w:rPr>
                <w:br/>
                <w:t xml:space="preserve">https://eur-lex.europa.eu/legal-content/EN/TXT/?uri=uriserv%3AOJ.C_.2019.189.01.0015.01.ENG </w:t>
              </w:r>
              <w:r w:rsidR="00482167" w:rsidRPr="006D6BE5">
                <w:rPr>
                  <w:rFonts w:ascii="Arial" w:hAnsi="Arial" w:cs="Arial"/>
                  <w:color w:val="000000"/>
                  <w:sz w:val="4"/>
                  <w:szCs w:val="8"/>
                  <w:lang w:val="sq-AL"/>
                </w:rPr>
                <w:br/>
                <w:t xml:space="preserve">https://eur-lex.europa.eu/legal-content/EN/ALL/?uri=celex%3A32008G1216%2801%29 </w:t>
              </w:r>
              <w:r w:rsidR="00482167" w:rsidRPr="006D6BE5">
                <w:rPr>
                  <w:rFonts w:ascii="Arial" w:hAnsi="Arial" w:cs="Arial"/>
                  <w:color w:val="000000"/>
                  <w:sz w:val="4"/>
                  <w:szCs w:val="8"/>
                  <w:lang w:val="sq-AL"/>
                </w:rPr>
                <w:br/>
                <w:t xml:space="preserve">https://eur-lex.europa.eu/legal-content/EN/TXT/?uri=CELEX%3A32022H0627%2801%29 </w:t>
              </w:r>
            </w:hyperlink>
          </w:p>
        </w:tc>
        <w:tc>
          <w:tcPr>
            <w:tcW w:w="506" w:type="pct"/>
            <w:tcBorders>
              <w:top w:val="nil"/>
              <w:left w:val="nil"/>
              <w:bottom w:val="single" w:sz="4" w:space="0" w:color="auto"/>
              <w:right w:val="single" w:sz="4" w:space="0" w:color="auto"/>
            </w:tcBorders>
            <w:shd w:val="clear" w:color="auto" w:fill="auto"/>
            <w:vAlign w:val="center"/>
            <w:hideMark/>
          </w:tcPr>
          <w:p w14:paraId="45AE4D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auto" w:fill="auto"/>
            <w:vAlign w:val="center"/>
            <w:hideMark/>
          </w:tcPr>
          <w:p w14:paraId="4AD0141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Nje ndryshim ne Udhezimin nr.16 date 28.07.2021 “Per organizimin dhe funksionimin e sistemit te zhvillimit te vazhdueshem professional te punonjesve arsimore</w:t>
            </w:r>
          </w:p>
        </w:tc>
        <w:tc>
          <w:tcPr>
            <w:tcW w:w="330" w:type="pct"/>
            <w:tcBorders>
              <w:top w:val="nil"/>
              <w:left w:val="nil"/>
              <w:bottom w:val="single" w:sz="4" w:space="0" w:color="auto"/>
              <w:right w:val="single" w:sz="4" w:space="0" w:color="auto"/>
            </w:tcBorders>
            <w:shd w:val="clear" w:color="auto" w:fill="auto"/>
            <w:vAlign w:val="center"/>
            <w:hideMark/>
          </w:tcPr>
          <w:p w14:paraId="2BA0958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Referuar Rezolutes së Keshillit për krijimin e kuadrit strategjik për bashkepunim në fushën e edukimit dhe trajnimit (2021-2030), fokusi është zhvillimi profesionl i mësuesve me kompetenca të qendrueshme për garantimin cilesisë, në përputhje kjo edhe me SKA. Deri në 2030 fokusi është krijimi dhe zhvillimi i European Education Area, ku bashkëpunimi europian është në konteksin e krijimit të një strategjie të unifikuar në drejtim të zhvillimit profesional të mësuesve. Rishikimi i këtij udhëzimi do i hapë rrugë një dimensioni të ri përsa i takon zhvillimit profesional të mësuesve tanë, duke mundësuar njohjen e krediteve për trajnimet e ofruara si pjesë e programit Erasmus+</w:t>
            </w:r>
          </w:p>
        </w:tc>
        <w:tc>
          <w:tcPr>
            <w:tcW w:w="126" w:type="pct"/>
            <w:tcBorders>
              <w:top w:val="nil"/>
              <w:left w:val="nil"/>
              <w:bottom w:val="single" w:sz="4" w:space="0" w:color="auto"/>
              <w:right w:val="single" w:sz="4" w:space="0" w:color="auto"/>
            </w:tcBorders>
            <w:shd w:val="clear" w:color="auto" w:fill="auto"/>
            <w:vAlign w:val="center"/>
            <w:hideMark/>
          </w:tcPr>
          <w:p w14:paraId="4A95DC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auto" w:fill="auto"/>
            <w:vAlign w:val="center"/>
            <w:hideMark/>
          </w:tcPr>
          <w:p w14:paraId="724270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auto" w:fill="auto"/>
            <w:vAlign w:val="center"/>
            <w:hideMark/>
          </w:tcPr>
          <w:p w14:paraId="79ECDF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13" w:type="pct"/>
            <w:tcBorders>
              <w:top w:val="nil"/>
              <w:left w:val="nil"/>
              <w:bottom w:val="single" w:sz="4" w:space="0" w:color="auto"/>
              <w:right w:val="single" w:sz="4" w:space="0" w:color="auto"/>
            </w:tcBorders>
            <w:shd w:val="clear" w:color="auto" w:fill="auto"/>
            <w:vAlign w:val="center"/>
            <w:hideMark/>
          </w:tcPr>
          <w:p w14:paraId="0F538C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1344C5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5047B7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6A60ED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auto" w:fill="auto"/>
            <w:vAlign w:val="center"/>
            <w:hideMark/>
          </w:tcPr>
          <w:p w14:paraId="2377F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4BAE3E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76A7DD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20EFF3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auto" w:fill="auto"/>
            <w:vAlign w:val="center"/>
            <w:hideMark/>
          </w:tcPr>
          <w:p w14:paraId="305815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3E405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0FA9ABB"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226F3C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26</w:t>
            </w:r>
          </w:p>
        </w:tc>
        <w:tc>
          <w:tcPr>
            <w:tcW w:w="144" w:type="pct"/>
            <w:tcBorders>
              <w:top w:val="nil"/>
              <w:left w:val="nil"/>
              <w:bottom w:val="single" w:sz="4" w:space="0" w:color="auto"/>
              <w:right w:val="single" w:sz="4" w:space="0" w:color="auto"/>
            </w:tcBorders>
            <w:shd w:val="clear" w:color="auto" w:fill="auto"/>
            <w:vAlign w:val="center"/>
            <w:hideMark/>
          </w:tcPr>
          <w:p w14:paraId="2061C7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623618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506832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VET Politikat e sistemit dhe strukturat</w:t>
            </w:r>
          </w:p>
        </w:tc>
        <w:tc>
          <w:tcPr>
            <w:tcW w:w="661" w:type="pct"/>
            <w:tcBorders>
              <w:top w:val="nil"/>
              <w:left w:val="nil"/>
              <w:bottom w:val="single" w:sz="4" w:space="0" w:color="auto"/>
              <w:right w:val="single" w:sz="4" w:space="0" w:color="auto"/>
            </w:tcBorders>
            <w:shd w:val="clear" w:color="auto" w:fill="auto"/>
            <w:vAlign w:val="center"/>
            <w:hideMark/>
          </w:tcPr>
          <w:p w14:paraId="48557F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REKOMANDIME E KËSHILLIT e datës 20 dhjetor 2012 për vlefshmërinë e të mësuarit joformal dhe joformal (2012/C 398/01)</w:t>
            </w:r>
          </w:p>
        </w:tc>
        <w:tc>
          <w:tcPr>
            <w:tcW w:w="668" w:type="pct"/>
            <w:tcBorders>
              <w:top w:val="nil"/>
              <w:left w:val="nil"/>
              <w:bottom w:val="single" w:sz="4" w:space="0" w:color="auto"/>
              <w:right w:val="single" w:sz="4" w:space="0" w:color="auto"/>
            </w:tcBorders>
            <w:shd w:val="clear" w:color="auto" w:fill="auto"/>
            <w:vAlign w:val="center"/>
            <w:hideMark/>
          </w:tcPr>
          <w:p w14:paraId="130777B6" w14:textId="77777777" w:rsidR="00482167" w:rsidRPr="006D6BE5" w:rsidRDefault="00E63D69" w:rsidP="00A7241A">
            <w:pPr>
              <w:rPr>
                <w:rFonts w:ascii="Arial" w:hAnsi="Arial" w:cs="Arial"/>
                <w:color w:val="0563C1"/>
                <w:sz w:val="4"/>
                <w:szCs w:val="8"/>
                <w:u w:val="single"/>
                <w:lang w:val="sq-AL"/>
              </w:rPr>
            </w:pPr>
            <w:hyperlink r:id="rId144" w:history="1">
              <w:r w:rsidR="00482167" w:rsidRPr="006D6BE5">
                <w:rPr>
                  <w:rFonts w:ascii="Arial" w:hAnsi="Arial" w:cs="Arial"/>
                  <w:color w:val="0563C1"/>
                  <w:sz w:val="4"/>
                  <w:szCs w:val="8"/>
                  <w:u w:val="single"/>
                  <w:lang w:val="sq-AL"/>
                </w:rPr>
                <w:t xml:space="preserve">https://eur-lex.europa.eu/legal-content/EN/TXT/?uri=celex%3A32012H1222%2801%29 </w:t>
              </w:r>
            </w:hyperlink>
          </w:p>
        </w:tc>
        <w:tc>
          <w:tcPr>
            <w:tcW w:w="506" w:type="pct"/>
            <w:tcBorders>
              <w:top w:val="nil"/>
              <w:left w:val="nil"/>
              <w:bottom w:val="single" w:sz="4" w:space="0" w:color="auto"/>
              <w:right w:val="single" w:sz="4" w:space="0" w:color="auto"/>
            </w:tcBorders>
            <w:shd w:val="clear" w:color="auto" w:fill="auto"/>
            <w:vAlign w:val="center"/>
            <w:hideMark/>
          </w:tcPr>
          <w:p w14:paraId="20882A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2C6EE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Urdhër për miratimin e procedurave të vlerësimit, certifikimit dhe akreditimit të ofruesve të NJNM </w:t>
            </w:r>
          </w:p>
        </w:tc>
        <w:tc>
          <w:tcPr>
            <w:tcW w:w="330" w:type="pct"/>
            <w:tcBorders>
              <w:top w:val="nil"/>
              <w:left w:val="nil"/>
              <w:bottom w:val="single" w:sz="4" w:space="0" w:color="auto"/>
              <w:right w:val="single" w:sz="4" w:space="0" w:color="auto"/>
            </w:tcBorders>
            <w:shd w:val="clear" w:color="auto" w:fill="auto"/>
            <w:vAlign w:val="center"/>
            <w:hideMark/>
          </w:tcPr>
          <w:p w14:paraId="44C6916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Procedurat e vlerësimit, certifikimit dhe akreditimit të ofruesve të NJNM</w:t>
            </w:r>
          </w:p>
        </w:tc>
        <w:tc>
          <w:tcPr>
            <w:tcW w:w="126" w:type="pct"/>
            <w:tcBorders>
              <w:top w:val="nil"/>
              <w:left w:val="nil"/>
              <w:bottom w:val="single" w:sz="4" w:space="0" w:color="auto"/>
              <w:right w:val="single" w:sz="4" w:space="0" w:color="auto"/>
            </w:tcBorders>
            <w:shd w:val="clear" w:color="auto" w:fill="auto"/>
            <w:vAlign w:val="center"/>
            <w:hideMark/>
          </w:tcPr>
          <w:p w14:paraId="10C576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auto" w:fill="auto"/>
            <w:vAlign w:val="center"/>
            <w:hideMark/>
          </w:tcPr>
          <w:p w14:paraId="025B76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09DDF1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auto" w:fill="auto"/>
            <w:vAlign w:val="center"/>
            <w:hideMark/>
          </w:tcPr>
          <w:p w14:paraId="228F55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6FD498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49ED6E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34B2C8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115</w:t>
            </w:r>
          </w:p>
        </w:tc>
        <w:tc>
          <w:tcPr>
            <w:tcW w:w="126" w:type="pct"/>
            <w:tcBorders>
              <w:top w:val="nil"/>
              <w:left w:val="nil"/>
              <w:bottom w:val="single" w:sz="4" w:space="0" w:color="auto"/>
              <w:right w:val="single" w:sz="4" w:space="0" w:color="auto"/>
            </w:tcBorders>
            <w:shd w:val="clear" w:color="auto" w:fill="auto"/>
            <w:vAlign w:val="center"/>
            <w:hideMark/>
          </w:tcPr>
          <w:p w14:paraId="49B0B2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auto" w:fill="auto"/>
            <w:vAlign w:val="center"/>
            <w:hideMark/>
          </w:tcPr>
          <w:p w14:paraId="1AC538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1B174E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11" w:type="pct"/>
            <w:tcBorders>
              <w:top w:val="nil"/>
              <w:left w:val="nil"/>
              <w:bottom w:val="single" w:sz="4" w:space="0" w:color="auto"/>
              <w:right w:val="single" w:sz="4" w:space="0" w:color="auto"/>
            </w:tcBorders>
            <w:shd w:val="clear" w:color="auto" w:fill="auto"/>
            <w:vAlign w:val="center"/>
            <w:hideMark/>
          </w:tcPr>
          <w:p w14:paraId="683685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35</w:t>
            </w:r>
          </w:p>
        </w:tc>
        <w:tc>
          <w:tcPr>
            <w:tcW w:w="111" w:type="pct"/>
            <w:tcBorders>
              <w:top w:val="nil"/>
              <w:left w:val="nil"/>
              <w:bottom w:val="single" w:sz="4" w:space="0" w:color="auto"/>
              <w:right w:val="single" w:sz="4" w:space="0" w:color="auto"/>
            </w:tcBorders>
            <w:shd w:val="clear" w:color="auto" w:fill="auto"/>
            <w:vAlign w:val="center"/>
            <w:hideMark/>
          </w:tcPr>
          <w:p w14:paraId="0EBA00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auto" w:fill="auto"/>
            <w:vAlign w:val="center"/>
            <w:hideMark/>
          </w:tcPr>
          <w:p w14:paraId="10B87F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D01D71E"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790EB5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26</w:t>
            </w:r>
          </w:p>
        </w:tc>
        <w:tc>
          <w:tcPr>
            <w:tcW w:w="144" w:type="pct"/>
            <w:tcBorders>
              <w:top w:val="nil"/>
              <w:left w:val="nil"/>
              <w:bottom w:val="single" w:sz="4" w:space="0" w:color="auto"/>
              <w:right w:val="single" w:sz="4" w:space="0" w:color="auto"/>
            </w:tcBorders>
            <w:shd w:val="clear" w:color="auto" w:fill="auto"/>
            <w:vAlign w:val="center"/>
            <w:hideMark/>
          </w:tcPr>
          <w:p w14:paraId="44485C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26FE6D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09AC57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Rinia</w:t>
            </w:r>
          </w:p>
        </w:tc>
        <w:tc>
          <w:tcPr>
            <w:tcW w:w="661" w:type="pct"/>
            <w:tcBorders>
              <w:top w:val="nil"/>
              <w:left w:val="nil"/>
              <w:bottom w:val="single" w:sz="4" w:space="0" w:color="auto"/>
              <w:right w:val="single" w:sz="4" w:space="0" w:color="auto"/>
            </w:tcBorders>
            <w:shd w:val="clear" w:color="auto" w:fill="auto"/>
            <w:vAlign w:val="center"/>
            <w:hideMark/>
          </w:tcPr>
          <w:p w14:paraId="3392DC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Rezolutat e Këshillit</w:t>
            </w:r>
            <w:r w:rsidRPr="006D6BE5">
              <w:rPr>
                <w:rFonts w:ascii="Arial" w:hAnsi="Arial" w:cs="Arial"/>
                <w:color w:val="000000"/>
                <w:sz w:val="4"/>
                <w:szCs w:val="8"/>
                <w:lang w:val="sq-AL"/>
              </w:rPr>
              <w:br/>
              <w:t>- Rezoluta e Këshillit dhe e Përfaqësuesve të Qeverive të Shteteve Anëtare që takohen në kuadër të Këshillit mbi Kornizën për krijimin e Agjendës Evropiane të Punës Rinore 2020/C 415/01</w:t>
            </w:r>
            <w:r w:rsidRPr="006D6BE5">
              <w:rPr>
                <w:rFonts w:ascii="Arial" w:hAnsi="Arial" w:cs="Arial"/>
                <w:color w:val="000000"/>
                <w:sz w:val="4"/>
                <w:szCs w:val="8"/>
                <w:lang w:val="sq-AL"/>
              </w:rPr>
              <w:br/>
              <w:t>OJ C 415, 1.12.2020, f. 1–8</w:t>
            </w:r>
            <w:r w:rsidRPr="006D6BE5">
              <w:rPr>
                <w:rFonts w:ascii="Arial" w:hAnsi="Arial" w:cs="Arial"/>
                <w:color w:val="000000"/>
                <w:sz w:val="4"/>
                <w:szCs w:val="8"/>
                <w:lang w:val="sq-AL"/>
              </w:rPr>
              <w:br/>
              <w:t>https://eur-lex.europa.eu/legal-content/EN/TXT/PDF/?uri=uriserv:OJ.C_.2020.415.01.0001.01.ENG</w:t>
            </w:r>
            <w:r w:rsidRPr="006D6BE5">
              <w:rPr>
                <w:rFonts w:ascii="Arial" w:hAnsi="Arial" w:cs="Arial"/>
                <w:color w:val="000000"/>
                <w:sz w:val="4"/>
                <w:szCs w:val="8"/>
                <w:lang w:val="sq-AL"/>
              </w:rPr>
              <w:br/>
              <w:t>- Rezoluta e Këshillit e 18 dhjetorit 2018 mbi një kornizë për bashkëpunimin evropian në fushën e rinisë: Strategjia e Bashkimit Evropian për Rininë 2019-2027</w:t>
            </w:r>
            <w:r w:rsidRPr="006D6BE5">
              <w:rPr>
                <w:rFonts w:ascii="Arial" w:hAnsi="Arial" w:cs="Arial"/>
                <w:color w:val="000000"/>
                <w:sz w:val="4"/>
                <w:szCs w:val="8"/>
                <w:lang w:val="sq-AL"/>
              </w:rPr>
              <w:br/>
              <w:t>- Rezoluta e Këshillit e datës 15 qershor 2017 për Dialogun e Strukturuar dhe zhvillimin e ardhshëm të dialogut me të rinjtë në kontekstin e politikave për bashkëpunim evropian në fushën rinore, pas vitit 2018</w:t>
            </w:r>
            <w:r w:rsidRPr="006D6BE5">
              <w:rPr>
                <w:rFonts w:ascii="Arial" w:hAnsi="Arial" w:cs="Arial"/>
                <w:color w:val="000000"/>
                <w:sz w:val="4"/>
                <w:szCs w:val="8"/>
                <w:lang w:val="sq-AL"/>
              </w:rPr>
              <w:br/>
              <w:t>- Rezoluta e Këshillit e 23 nëntorit 2015 mbi një plan të ri pune të Bashkimit Evropian për të rinjtë (2016-2018)</w:t>
            </w:r>
            <w:r w:rsidRPr="006D6BE5">
              <w:rPr>
                <w:rFonts w:ascii="Arial" w:hAnsi="Arial" w:cs="Arial"/>
                <w:color w:val="000000"/>
                <w:sz w:val="4"/>
                <w:szCs w:val="8"/>
                <w:lang w:val="sq-AL"/>
              </w:rPr>
              <w:br/>
              <w:t>- Rezoluta e Këshillit e 20 majit 2014 mbi një plan pune të Bashkimit Evropian për të rinjtë për 2014-2015</w:t>
            </w:r>
            <w:r w:rsidRPr="006D6BE5">
              <w:rPr>
                <w:rFonts w:ascii="Arial" w:hAnsi="Arial" w:cs="Arial"/>
                <w:color w:val="000000"/>
                <w:sz w:val="4"/>
                <w:szCs w:val="8"/>
                <w:lang w:val="sq-AL"/>
              </w:rPr>
              <w:br/>
              <w:t>- Rezoluta e Këshillit e datës 19 nëntor 2010 për punën me të rinjtë</w:t>
            </w:r>
            <w:r w:rsidRPr="006D6BE5">
              <w:rPr>
                <w:rFonts w:ascii="Arial" w:hAnsi="Arial" w:cs="Arial"/>
                <w:color w:val="000000"/>
                <w:sz w:val="4"/>
                <w:szCs w:val="8"/>
                <w:lang w:val="sq-AL"/>
              </w:rPr>
              <w:br/>
              <w:t>- Rezoluta e Këshillit e 27 nëntorit 2009 mbi një kornizë të rinovuar për bashkëpunimin evropian në fushën e rinisë (2010-2018)</w:t>
            </w:r>
            <w:r w:rsidRPr="006D6BE5">
              <w:rPr>
                <w:rFonts w:ascii="Arial" w:hAnsi="Arial" w:cs="Arial"/>
                <w:color w:val="000000"/>
                <w:sz w:val="4"/>
                <w:szCs w:val="8"/>
                <w:lang w:val="sq-AL"/>
              </w:rPr>
              <w:br/>
              <w:t>- Rezoluta e Këshillit e 20 korrikut 2006 mbi njohjen e vlerës së të mësuarit joformal dhe informal në fushën evropiane të të rinjve"</w:t>
            </w:r>
          </w:p>
        </w:tc>
        <w:tc>
          <w:tcPr>
            <w:tcW w:w="668" w:type="pct"/>
            <w:tcBorders>
              <w:top w:val="nil"/>
              <w:left w:val="nil"/>
              <w:bottom w:val="single" w:sz="4" w:space="0" w:color="auto"/>
              <w:right w:val="single" w:sz="4" w:space="0" w:color="auto"/>
            </w:tcBorders>
            <w:shd w:val="clear" w:color="auto" w:fill="auto"/>
            <w:vAlign w:val="center"/>
            <w:hideMark/>
          </w:tcPr>
          <w:p w14:paraId="241DBB0D" w14:textId="77777777" w:rsidR="00482167" w:rsidRPr="006D6BE5" w:rsidRDefault="00E63D69" w:rsidP="00A7241A">
            <w:pPr>
              <w:rPr>
                <w:rFonts w:ascii="Arial" w:hAnsi="Arial" w:cs="Arial"/>
                <w:color w:val="0563C1"/>
                <w:sz w:val="4"/>
                <w:szCs w:val="8"/>
                <w:u w:val="single"/>
                <w:lang w:val="sq-AL"/>
              </w:rPr>
            </w:pPr>
            <w:hyperlink r:id="rId145" w:history="1">
              <w:r w:rsidR="00482167" w:rsidRPr="006D6BE5">
                <w:rPr>
                  <w:rFonts w:ascii="Arial" w:hAnsi="Arial" w:cs="Arial"/>
                  <w:color w:val="0563C1"/>
                  <w:sz w:val="4"/>
                  <w:szCs w:val="8"/>
                  <w:u w:val="single"/>
                  <w:lang w:val="sq-AL"/>
                </w:rPr>
                <w:t>https://eur-lex.europa.eu/legal-content/EN/TXT/PDF/?uri=uriserv:OJ.C_.2020.415.01.0001.01.ENG</w:t>
              </w:r>
              <w:r w:rsidR="00482167" w:rsidRPr="006D6BE5">
                <w:rPr>
                  <w:rFonts w:ascii="Arial" w:hAnsi="Arial" w:cs="Arial"/>
                  <w:color w:val="0563C1"/>
                  <w:sz w:val="4"/>
                  <w:szCs w:val="8"/>
                  <w:u w:val="single"/>
                  <w:lang w:val="sq-AL"/>
                </w:rPr>
                <w:br/>
                <w:t>OJ C 157, 11.4.2022, p. 1–9</w:t>
              </w:r>
              <w:r w:rsidR="00482167" w:rsidRPr="006D6BE5">
                <w:rPr>
                  <w:rFonts w:ascii="Arial" w:hAnsi="Arial" w:cs="Arial"/>
                  <w:color w:val="0563C1"/>
                  <w:sz w:val="4"/>
                  <w:szCs w:val="8"/>
                  <w:u w:val="single"/>
                  <w:lang w:val="sq-AL"/>
                </w:rPr>
                <w:br/>
                <w:t>EUR-Lex - 32022H0411(01) - EN - EUR-Lex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239DA9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27F74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Ligji “Për disa shtesa dhe ndryshime në Ligjin nr. 75/2019 "Për Rininë"</w:t>
            </w:r>
          </w:p>
        </w:tc>
        <w:tc>
          <w:tcPr>
            <w:tcW w:w="330" w:type="pct"/>
            <w:tcBorders>
              <w:top w:val="nil"/>
              <w:left w:val="nil"/>
              <w:bottom w:val="single" w:sz="4" w:space="0" w:color="auto"/>
              <w:right w:val="single" w:sz="4" w:space="0" w:color="auto"/>
            </w:tcBorders>
            <w:shd w:val="clear" w:color="auto" w:fill="auto"/>
            <w:vAlign w:val="center"/>
            <w:hideMark/>
          </w:tcPr>
          <w:p w14:paraId="1E92DB2E"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Rinia</w:t>
            </w:r>
          </w:p>
        </w:tc>
        <w:tc>
          <w:tcPr>
            <w:tcW w:w="126" w:type="pct"/>
            <w:tcBorders>
              <w:top w:val="nil"/>
              <w:left w:val="nil"/>
              <w:bottom w:val="single" w:sz="4" w:space="0" w:color="auto"/>
              <w:right w:val="single" w:sz="4" w:space="0" w:color="auto"/>
            </w:tcBorders>
            <w:shd w:val="clear" w:color="auto" w:fill="auto"/>
            <w:vAlign w:val="center"/>
            <w:hideMark/>
          </w:tcPr>
          <w:p w14:paraId="02EF34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2DCA56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466809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MSHRF</w:t>
            </w:r>
          </w:p>
        </w:tc>
        <w:tc>
          <w:tcPr>
            <w:tcW w:w="113" w:type="pct"/>
            <w:tcBorders>
              <w:top w:val="nil"/>
              <w:left w:val="nil"/>
              <w:bottom w:val="single" w:sz="4" w:space="0" w:color="auto"/>
              <w:right w:val="single" w:sz="4" w:space="0" w:color="auto"/>
            </w:tcBorders>
            <w:shd w:val="clear" w:color="auto" w:fill="auto"/>
            <w:vAlign w:val="center"/>
            <w:hideMark/>
          </w:tcPr>
          <w:p w14:paraId="20479B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762332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3F4F09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639A6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1,527 </w:t>
            </w:r>
          </w:p>
        </w:tc>
        <w:tc>
          <w:tcPr>
            <w:tcW w:w="126" w:type="pct"/>
            <w:tcBorders>
              <w:top w:val="nil"/>
              <w:left w:val="nil"/>
              <w:bottom w:val="single" w:sz="4" w:space="0" w:color="auto"/>
              <w:right w:val="single" w:sz="4" w:space="0" w:color="auto"/>
            </w:tcBorders>
            <w:shd w:val="clear" w:color="auto" w:fill="auto"/>
            <w:vAlign w:val="center"/>
            <w:hideMark/>
          </w:tcPr>
          <w:p w14:paraId="7CB04A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350</w:t>
            </w:r>
          </w:p>
        </w:tc>
        <w:tc>
          <w:tcPr>
            <w:tcW w:w="117" w:type="pct"/>
            <w:tcBorders>
              <w:top w:val="nil"/>
              <w:left w:val="nil"/>
              <w:bottom w:val="single" w:sz="4" w:space="0" w:color="auto"/>
              <w:right w:val="single" w:sz="4" w:space="0" w:color="auto"/>
            </w:tcBorders>
            <w:shd w:val="clear" w:color="auto" w:fill="auto"/>
            <w:vAlign w:val="center"/>
            <w:hideMark/>
          </w:tcPr>
          <w:p w14:paraId="1226EE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7AAB15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11" w:type="pct"/>
            <w:tcBorders>
              <w:top w:val="nil"/>
              <w:left w:val="nil"/>
              <w:bottom w:val="single" w:sz="4" w:space="0" w:color="auto"/>
              <w:right w:val="single" w:sz="4" w:space="0" w:color="auto"/>
            </w:tcBorders>
            <w:shd w:val="clear" w:color="auto" w:fill="auto"/>
            <w:vAlign w:val="center"/>
            <w:hideMark/>
          </w:tcPr>
          <w:p w14:paraId="105E4B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228</w:t>
            </w:r>
          </w:p>
        </w:tc>
        <w:tc>
          <w:tcPr>
            <w:tcW w:w="111" w:type="pct"/>
            <w:tcBorders>
              <w:top w:val="nil"/>
              <w:left w:val="nil"/>
              <w:bottom w:val="single" w:sz="4" w:space="0" w:color="auto"/>
              <w:right w:val="single" w:sz="4" w:space="0" w:color="auto"/>
            </w:tcBorders>
            <w:shd w:val="clear" w:color="auto" w:fill="auto"/>
            <w:vAlign w:val="center"/>
            <w:hideMark/>
          </w:tcPr>
          <w:p w14:paraId="0C7A9D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01" w:type="pct"/>
            <w:tcBorders>
              <w:top w:val="nil"/>
              <w:left w:val="nil"/>
              <w:bottom w:val="single" w:sz="4" w:space="0" w:color="auto"/>
              <w:right w:val="single" w:sz="4" w:space="0" w:color="auto"/>
            </w:tcBorders>
            <w:shd w:val="clear" w:color="auto" w:fill="auto"/>
            <w:vAlign w:val="center"/>
            <w:hideMark/>
          </w:tcPr>
          <w:p w14:paraId="570319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E4D6D74"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AA66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26</w:t>
            </w:r>
          </w:p>
        </w:tc>
        <w:tc>
          <w:tcPr>
            <w:tcW w:w="144" w:type="pct"/>
            <w:tcBorders>
              <w:top w:val="nil"/>
              <w:left w:val="nil"/>
              <w:bottom w:val="single" w:sz="4" w:space="0" w:color="auto"/>
              <w:right w:val="single" w:sz="4" w:space="0" w:color="auto"/>
            </w:tcBorders>
            <w:shd w:val="clear" w:color="auto" w:fill="auto"/>
            <w:vAlign w:val="center"/>
            <w:hideMark/>
          </w:tcPr>
          <w:p w14:paraId="1CD2E0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w:t>
            </w:r>
          </w:p>
        </w:tc>
        <w:tc>
          <w:tcPr>
            <w:tcW w:w="165" w:type="pct"/>
            <w:tcBorders>
              <w:top w:val="nil"/>
              <w:left w:val="nil"/>
              <w:bottom w:val="single" w:sz="4" w:space="0" w:color="auto"/>
              <w:right w:val="single" w:sz="4" w:space="0" w:color="auto"/>
            </w:tcBorders>
            <w:shd w:val="clear" w:color="auto" w:fill="auto"/>
            <w:vAlign w:val="center"/>
            <w:hideMark/>
          </w:tcPr>
          <w:p w14:paraId="610BE1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auto" w:fill="auto"/>
            <w:vAlign w:val="center"/>
            <w:hideMark/>
          </w:tcPr>
          <w:p w14:paraId="1FD7D4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Rinia</w:t>
            </w:r>
          </w:p>
        </w:tc>
        <w:tc>
          <w:tcPr>
            <w:tcW w:w="661" w:type="pct"/>
            <w:tcBorders>
              <w:top w:val="nil"/>
              <w:left w:val="nil"/>
              <w:bottom w:val="single" w:sz="4" w:space="0" w:color="auto"/>
              <w:right w:val="single" w:sz="4" w:space="0" w:color="auto"/>
            </w:tcBorders>
            <w:shd w:val="clear" w:color="auto" w:fill="auto"/>
            <w:vAlign w:val="center"/>
            <w:hideMark/>
          </w:tcPr>
          <w:p w14:paraId="35FD58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Rekomandimet e Këshillit</w:t>
            </w:r>
            <w:r w:rsidRPr="006D6BE5">
              <w:rPr>
                <w:rFonts w:ascii="Arial" w:hAnsi="Arial" w:cs="Arial"/>
                <w:color w:val="000000"/>
                <w:sz w:val="4"/>
                <w:szCs w:val="8"/>
                <w:lang w:val="sq-AL"/>
              </w:rPr>
              <w:br/>
              <w:t>- Rekomandimi i Këshillit i 5 Prillit 2022 mbi Lëvizshmërinë e Vullnetarëve të Rinj në të gjithë BE-në</w:t>
            </w:r>
            <w:r w:rsidRPr="006D6BE5">
              <w:rPr>
                <w:rFonts w:ascii="Arial" w:hAnsi="Arial" w:cs="Arial"/>
                <w:color w:val="000000"/>
                <w:sz w:val="4"/>
                <w:szCs w:val="8"/>
                <w:lang w:val="sq-AL"/>
              </w:rPr>
              <w:br/>
              <w:t>OJ C 157, 11.4.2022, f. 1–9</w:t>
            </w:r>
            <w:r w:rsidRPr="006D6BE5">
              <w:rPr>
                <w:rFonts w:ascii="Arial" w:hAnsi="Arial" w:cs="Arial"/>
                <w:color w:val="000000"/>
                <w:sz w:val="4"/>
                <w:szCs w:val="8"/>
                <w:lang w:val="sq-AL"/>
              </w:rPr>
              <w:br/>
              <w:t>EUR-Lex - 32022H0411(01) - EN - EUR-Lex (europa.eu)</w:t>
            </w:r>
            <w:r w:rsidRPr="006D6BE5">
              <w:rPr>
                <w:rFonts w:ascii="Arial" w:hAnsi="Arial" w:cs="Arial"/>
                <w:color w:val="000000"/>
                <w:sz w:val="4"/>
                <w:szCs w:val="8"/>
                <w:lang w:val="sq-AL"/>
              </w:rPr>
              <w:br/>
              <w:t>- Rekomandimi i Këshillit i 28 qershorit 2011 "Të rinjtë në lëvizje" - promovimi i lëvizshmërisë së të mësuarit të të rinjve</w:t>
            </w:r>
            <w:r w:rsidRPr="006D6BE5">
              <w:rPr>
                <w:rFonts w:ascii="Arial" w:hAnsi="Arial" w:cs="Arial"/>
                <w:color w:val="000000"/>
                <w:sz w:val="4"/>
                <w:szCs w:val="8"/>
                <w:lang w:val="sq-AL"/>
              </w:rPr>
              <w:br/>
              <w:t>- Rekomandimi i Këshillit i 20 nëntorit 2008 mbi lëvizshmërinë e vullnetarëve të rinj në të gjithë Bashkimin Evropian</w:t>
            </w:r>
          </w:p>
        </w:tc>
        <w:tc>
          <w:tcPr>
            <w:tcW w:w="668" w:type="pct"/>
            <w:tcBorders>
              <w:top w:val="nil"/>
              <w:left w:val="nil"/>
              <w:bottom w:val="single" w:sz="4" w:space="0" w:color="auto"/>
              <w:right w:val="single" w:sz="4" w:space="0" w:color="auto"/>
            </w:tcBorders>
            <w:shd w:val="clear" w:color="auto" w:fill="auto"/>
            <w:vAlign w:val="center"/>
            <w:hideMark/>
          </w:tcPr>
          <w:p w14:paraId="5334419A" w14:textId="77777777" w:rsidR="00482167" w:rsidRPr="006D6BE5" w:rsidRDefault="00E63D69" w:rsidP="00A7241A">
            <w:pPr>
              <w:rPr>
                <w:rFonts w:ascii="Arial" w:hAnsi="Arial" w:cs="Arial"/>
                <w:color w:val="0563C1"/>
                <w:sz w:val="4"/>
                <w:szCs w:val="8"/>
                <w:u w:val="single"/>
                <w:lang w:val="sq-AL"/>
              </w:rPr>
            </w:pPr>
            <w:hyperlink r:id="rId146" w:history="1">
              <w:r w:rsidR="00482167" w:rsidRPr="006D6BE5">
                <w:rPr>
                  <w:rFonts w:ascii="Arial" w:hAnsi="Arial" w:cs="Arial"/>
                  <w:color w:val="0563C1"/>
                  <w:sz w:val="4"/>
                  <w:szCs w:val="8"/>
                  <w:u w:val="single"/>
                  <w:lang w:val="sq-AL"/>
                </w:rPr>
                <w:t>https://eur-lex.europa.eu/legal-content/EN/TXT/PDF/?uri=uriserv:OJ.C_.2020.415.01.0001.01.ENG</w:t>
              </w:r>
              <w:r w:rsidR="00482167" w:rsidRPr="006D6BE5">
                <w:rPr>
                  <w:rFonts w:ascii="Arial" w:hAnsi="Arial" w:cs="Arial"/>
                  <w:color w:val="0563C1"/>
                  <w:sz w:val="4"/>
                  <w:szCs w:val="8"/>
                  <w:u w:val="single"/>
                  <w:lang w:val="sq-AL"/>
                </w:rPr>
                <w:br/>
                <w:t>OJ C 157, 11.4.2022, p. 1–9</w:t>
              </w:r>
              <w:r w:rsidR="00482167" w:rsidRPr="006D6BE5">
                <w:rPr>
                  <w:rFonts w:ascii="Arial" w:hAnsi="Arial" w:cs="Arial"/>
                  <w:color w:val="0563C1"/>
                  <w:sz w:val="4"/>
                  <w:szCs w:val="8"/>
                  <w:u w:val="single"/>
                  <w:lang w:val="sq-AL"/>
                </w:rPr>
                <w:br/>
                <w:t>EUR-Lex - 32022H0411(01) - EN - EUR-Lex (europa.eu)</w:t>
              </w:r>
            </w:hyperlink>
          </w:p>
        </w:tc>
        <w:tc>
          <w:tcPr>
            <w:tcW w:w="506" w:type="pct"/>
            <w:tcBorders>
              <w:top w:val="nil"/>
              <w:left w:val="nil"/>
              <w:bottom w:val="single" w:sz="4" w:space="0" w:color="auto"/>
              <w:right w:val="single" w:sz="4" w:space="0" w:color="auto"/>
            </w:tcBorders>
            <w:shd w:val="clear" w:color="auto" w:fill="auto"/>
            <w:vAlign w:val="center"/>
            <w:hideMark/>
          </w:tcPr>
          <w:p w14:paraId="16C58B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39530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ligjit 45/2016 “Për vullnetarizmin"</w:t>
            </w:r>
          </w:p>
        </w:tc>
        <w:tc>
          <w:tcPr>
            <w:tcW w:w="330" w:type="pct"/>
            <w:tcBorders>
              <w:top w:val="nil"/>
              <w:left w:val="nil"/>
              <w:bottom w:val="single" w:sz="4" w:space="0" w:color="auto"/>
              <w:right w:val="single" w:sz="4" w:space="0" w:color="auto"/>
            </w:tcBorders>
            <w:shd w:val="clear" w:color="auto" w:fill="auto"/>
            <w:vAlign w:val="center"/>
            <w:hideMark/>
          </w:tcPr>
          <w:p w14:paraId="7D7C1E0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Rinia</w:t>
            </w:r>
          </w:p>
        </w:tc>
        <w:tc>
          <w:tcPr>
            <w:tcW w:w="126" w:type="pct"/>
            <w:tcBorders>
              <w:top w:val="nil"/>
              <w:left w:val="nil"/>
              <w:bottom w:val="single" w:sz="4" w:space="0" w:color="auto"/>
              <w:right w:val="single" w:sz="4" w:space="0" w:color="auto"/>
            </w:tcBorders>
            <w:shd w:val="clear" w:color="auto" w:fill="auto"/>
            <w:vAlign w:val="center"/>
            <w:hideMark/>
          </w:tcPr>
          <w:p w14:paraId="1D99AC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2B7E1A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auto" w:fill="auto"/>
            <w:vAlign w:val="center"/>
            <w:hideMark/>
          </w:tcPr>
          <w:p w14:paraId="1FC7D8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MSHRF/MFE</w:t>
            </w:r>
          </w:p>
        </w:tc>
        <w:tc>
          <w:tcPr>
            <w:tcW w:w="113" w:type="pct"/>
            <w:tcBorders>
              <w:top w:val="nil"/>
              <w:left w:val="nil"/>
              <w:bottom w:val="single" w:sz="4" w:space="0" w:color="auto"/>
              <w:right w:val="single" w:sz="4" w:space="0" w:color="auto"/>
            </w:tcBorders>
            <w:shd w:val="clear" w:color="auto" w:fill="auto"/>
            <w:vAlign w:val="center"/>
            <w:hideMark/>
          </w:tcPr>
          <w:p w14:paraId="50CB92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auto" w:fill="auto"/>
            <w:vAlign w:val="center"/>
            <w:hideMark/>
          </w:tcPr>
          <w:p w14:paraId="2CB008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auto" w:fill="auto"/>
            <w:vAlign w:val="center"/>
            <w:hideMark/>
          </w:tcPr>
          <w:p w14:paraId="7853F3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47A4AE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220</w:t>
            </w:r>
          </w:p>
        </w:tc>
        <w:tc>
          <w:tcPr>
            <w:tcW w:w="126" w:type="pct"/>
            <w:tcBorders>
              <w:top w:val="nil"/>
              <w:left w:val="nil"/>
              <w:bottom w:val="single" w:sz="4" w:space="0" w:color="auto"/>
              <w:right w:val="single" w:sz="4" w:space="0" w:color="auto"/>
            </w:tcBorders>
            <w:shd w:val="clear" w:color="auto" w:fill="auto"/>
            <w:vAlign w:val="center"/>
            <w:hideMark/>
          </w:tcPr>
          <w:p w14:paraId="13D4F9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198</w:t>
            </w:r>
          </w:p>
        </w:tc>
        <w:tc>
          <w:tcPr>
            <w:tcW w:w="117" w:type="pct"/>
            <w:tcBorders>
              <w:top w:val="nil"/>
              <w:left w:val="nil"/>
              <w:bottom w:val="single" w:sz="4" w:space="0" w:color="auto"/>
              <w:right w:val="single" w:sz="4" w:space="0" w:color="auto"/>
            </w:tcBorders>
            <w:shd w:val="clear" w:color="auto" w:fill="auto"/>
            <w:vAlign w:val="center"/>
            <w:hideMark/>
          </w:tcPr>
          <w:p w14:paraId="6C7B2D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auto" w:fill="auto"/>
            <w:vAlign w:val="center"/>
            <w:hideMark/>
          </w:tcPr>
          <w:p w14:paraId="4C99D8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11" w:type="pct"/>
            <w:tcBorders>
              <w:top w:val="nil"/>
              <w:left w:val="nil"/>
              <w:bottom w:val="single" w:sz="4" w:space="0" w:color="auto"/>
              <w:right w:val="single" w:sz="4" w:space="0" w:color="auto"/>
            </w:tcBorders>
            <w:shd w:val="clear" w:color="auto" w:fill="auto"/>
            <w:vAlign w:val="center"/>
            <w:hideMark/>
          </w:tcPr>
          <w:p w14:paraId="4514D4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690</w:t>
            </w:r>
          </w:p>
        </w:tc>
        <w:tc>
          <w:tcPr>
            <w:tcW w:w="111" w:type="pct"/>
            <w:tcBorders>
              <w:top w:val="nil"/>
              <w:left w:val="nil"/>
              <w:bottom w:val="single" w:sz="4" w:space="0" w:color="auto"/>
              <w:right w:val="single" w:sz="4" w:space="0" w:color="auto"/>
            </w:tcBorders>
            <w:shd w:val="clear" w:color="auto" w:fill="auto"/>
            <w:vAlign w:val="center"/>
            <w:hideMark/>
          </w:tcPr>
          <w:p w14:paraId="4B23D0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570</w:t>
            </w:r>
          </w:p>
        </w:tc>
        <w:tc>
          <w:tcPr>
            <w:tcW w:w="101" w:type="pct"/>
            <w:tcBorders>
              <w:top w:val="nil"/>
              <w:left w:val="nil"/>
              <w:bottom w:val="single" w:sz="4" w:space="0" w:color="auto"/>
              <w:right w:val="single" w:sz="4" w:space="0" w:color="auto"/>
            </w:tcBorders>
            <w:shd w:val="clear" w:color="auto" w:fill="auto"/>
            <w:vAlign w:val="center"/>
            <w:hideMark/>
          </w:tcPr>
          <w:p w14:paraId="37FEA0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6879C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B6CD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5989AE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120A7D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Procedurave</w:t>
            </w:r>
          </w:p>
        </w:tc>
        <w:tc>
          <w:tcPr>
            <w:tcW w:w="171" w:type="pct"/>
            <w:tcBorders>
              <w:top w:val="nil"/>
              <w:left w:val="nil"/>
              <w:bottom w:val="single" w:sz="4" w:space="0" w:color="auto"/>
              <w:right w:val="single" w:sz="4" w:space="0" w:color="auto"/>
            </w:tcBorders>
            <w:shd w:val="clear" w:color="FFFFFF" w:fill="FFFFFF"/>
            <w:vAlign w:val="center"/>
            <w:hideMark/>
          </w:tcPr>
          <w:p w14:paraId="3783E2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Pasurite Kulturore</w:t>
            </w:r>
          </w:p>
        </w:tc>
        <w:tc>
          <w:tcPr>
            <w:tcW w:w="661" w:type="pct"/>
            <w:tcBorders>
              <w:top w:val="nil"/>
              <w:left w:val="nil"/>
              <w:bottom w:val="single" w:sz="4" w:space="0" w:color="auto"/>
              <w:right w:val="single" w:sz="4" w:space="0" w:color="auto"/>
            </w:tcBorders>
            <w:shd w:val="clear" w:color="FFFFFF" w:fill="FFFFFF"/>
            <w:vAlign w:val="center"/>
            <w:hideMark/>
          </w:tcPr>
          <w:p w14:paraId="599869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Regullores së exportit 116/2009 of 18 December 2008 on the export of cultural goods</w:t>
            </w:r>
          </w:p>
        </w:tc>
        <w:tc>
          <w:tcPr>
            <w:tcW w:w="668" w:type="pct"/>
            <w:tcBorders>
              <w:top w:val="nil"/>
              <w:left w:val="nil"/>
              <w:bottom w:val="single" w:sz="4" w:space="0" w:color="auto"/>
              <w:right w:val="single" w:sz="4" w:space="0" w:color="auto"/>
            </w:tcBorders>
            <w:shd w:val="clear" w:color="auto" w:fill="auto"/>
            <w:vAlign w:val="center"/>
            <w:hideMark/>
          </w:tcPr>
          <w:p w14:paraId="471B4C92" w14:textId="77777777" w:rsidR="00482167" w:rsidRPr="006D6BE5" w:rsidRDefault="00E63D69" w:rsidP="00A7241A">
            <w:pPr>
              <w:rPr>
                <w:rFonts w:ascii="Arial" w:hAnsi="Arial" w:cs="Arial"/>
                <w:color w:val="0563C1"/>
                <w:sz w:val="4"/>
                <w:szCs w:val="8"/>
                <w:u w:val="single"/>
                <w:lang w:val="sq-AL"/>
              </w:rPr>
            </w:pPr>
            <w:hyperlink r:id="rId147" w:history="1">
              <w:r w:rsidR="00482167" w:rsidRPr="006D6BE5">
                <w:rPr>
                  <w:rFonts w:ascii="Arial" w:hAnsi="Arial" w:cs="Arial"/>
                  <w:color w:val="0563C1"/>
                  <w:sz w:val="4"/>
                  <w:szCs w:val="8"/>
                  <w:u w:val="single"/>
                  <w:lang w:val="sq-AL"/>
                </w:rPr>
                <w:t>http://data.europa.eu/eli/reg/2009/116/oj</w:t>
              </w:r>
            </w:hyperlink>
          </w:p>
        </w:tc>
        <w:tc>
          <w:tcPr>
            <w:tcW w:w="506" w:type="pct"/>
            <w:tcBorders>
              <w:top w:val="nil"/>
              <w:left w:val="nil"/>
              <w:bottom w:val="single" w:sz="4" w:space="0" w:color="auto"/>
              <w:right w:val="single" w:sz="4" w:space="0" w:color="auto"/>
            </w:tcBorders>
            <w:shd w:val="clear" w:color="auto" w:fill="auto"/>
            <w:vAlign w:val="center"/>
            <w:hideMark/>
          </w:tcPr>
          <w:p w14:paraId="7D5549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BED5E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27/2018 "Për trashëgiminë kulturore dhe muzetë"</w:t>
            </w:r>
          </w:p>
        </w:tc>
        <w:tc>
          <w:tcPr>
            <w:tcW w:w="330" w:type="pct"/>
            <w:tcBorders>
              <w:top w:val="nil"/>
              <w:left w:val="nil"/>
              <w:bottom w:val="single" w:sz="4" w:space="0" w:color="auto"/>
              <w:right w:val="single" w:sz="4" w:space="0" w:color="auto"/>
            </w:tcBorders>
            <w:shd w:val="clear" w:color="auto" w:fill="auto"/>
            <w:vAlign w:val="center"/>
            <w:hideMark/>
          </w:tcPr>
          <w:p w14:paraId="6C566C5D" w14:textId="55972663" w:rsidR="00482167" w:rsidRPr="006D6BE5" w:rsidRDefault="00482167" w:rsidP="00A7241A">
            <w:pPr>
              <w:rPr>
                <w:rFonts w:ascii="Arial" w:hAnsi="Arial" w:cs="Arial"/>
                <w:sz w:val="4"/>
                <w:szCs w:val="8"/>
                <w:lang w:val="sq-AL"/>
              </w:rPr>
            </w:pPr>
            <w:r w:rsidRPr="006D6BE5">
              <w:rPr>
                <w:rFonts w:ascii="Arial" w:hAnsi="Arial" w:cs="Arial"/>
                <w:sz w:val="4"/>
                <w:szCs w:val="8"/>
                <w:lang w:val="sq-AL"/>
              </w:rPr>
              <w:t>Përafrimi i Regullores së exportit 116/2009</w:t>
            </w:r>
            <w:r w:rsidR="006D6BE5">
              <w:rPr>
                <w:rFonts w:ascii="Arial" w:hAnsi="Arial" w:cs="Arial"/>
                <w:sz w:val="4"/>
                <w:szCs w:val="8"/>
                <w:lang w:val="sq-AL"/>
              </w:rPr>
              <w:t xml:space="preserve">   </w:t>
            </w:r>
            <w:r w:rsidRPr="006D6BE5">
              <w:rPr>
                <w:rFonts w:ascii="Arial" w:hAnsi="Arial" w:cs="Arial"/>
                <w:sz w:val="4"/>
                <w:szCs w:val="8"/>
                <w:lang w:val="sq-AL"/>
              </w:rPr>
              <w:t>Pasuritë Kulturore</w:t>
            </w:r>
          </w:p>
        </w:tc>
        <w:tc>
          <w:tcPr>
            <w:tcW w:w="126" w:type="pct"/>
            <w:tcBorders>
              <w:top w:val="nil"/>
              <w:left w:val="nil"/>
              <w:bottom w:val="single" w:sz="4" w:space="0" w:color="auto"/>
              <w:right w:val="single" w:sz="4" w:space="0" w:color="auto"/>
            </w:tcBorders>
            <w:shd w:val="clear" w:color="auto" w:fill="auto"/>
            <w:vAlign w:val="center"/>
            <w:hideMark/>
          </w:tcPr>
          <w:p w14:paraId="4A8811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10A28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DCFF4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MK</w:t>
            </w:r>
          </w:p>
        </w:tc>
        <w:tc>
          <w:tcPr>
            <w:tcW w:w="113" w:type="pct"/>
            <w:tcBorders>
              <w:top w:val="nil"/>
              <w:left w:val="nil"/>
              <w:bottom w:val="single" w:sz="4" w:space="0" w:color="auto"/>
              <w:right w:val="single" w:sz="4" w:space="0" w:color="auto"/>
            </w:tcBorders>
            <w:shd w:val="clear" w:color="FFFFFF" w:fill="FFFFFF"/>
            <w:vAlign w:val="center"/>
            <w:hideMark/>
          </w:tcPr>
          <w:p w14:paraId="0DDBBA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19F4C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756DB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A2A72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97C36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D53CA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2918C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D960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4E81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8D8FC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541B16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E13BD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464870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4180F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Procedurave</w:t>
            </w:r>
          </w:p>
        </w:tc>
        <w:tc>
          <w:tcPr>
            <w:tcW w:w="171" w:type="pct"/>
            <w:tcBorders>
              <w:top w:val="nil"/>
              <w:left w:val="nil"/>
              <w:bottom w:val="single" w:sz="4" w:space="0" w:color="auto"/>
              <w:right w:val="single" w:sz="4" w:space="0" w:color="auto"/>
            </w:tcBorders>
            <w:shd w:val="clear" w:color="FFFFFF" w:fill="FFFFFF"/>
            <w:vAlign w:val="center"/>
            <w:hideMark/>
          </w:tcPr>
          <w:p w14:paraId="0A1348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Pasurite Kulturore</w:t>
            </w:r>
          </w:p>
        </w:tc>
        <w:tc>
          <w:tcPr>
            <w:tcW w:w="661" w:type="pct"/>
            <w:tcBorders>
              <w:top w:val="nil"/>
              <w:left w:val="nil"/>
              <w:bottom w:val="single" w:sz="4" w:space="0" w:color="auto"/>
              <w:right w:val="single" w:sz="4" w:space="0" w:color="auto"/>
            </w:tcBorders>
            <w:shd w:val="clear" w:color="FFFFFF" w:fill="FFFFFF"/>
            <w:vAlign w:val="center"/>
            <w:hideMark/>
          </w:tcPr>
          <w:p w14:paraId="20BFAA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Regullores së importit 880/2019</w:t>
            </w:r>
          </w:p>
        </w:tc>
        <w:tc>
          <w:tcPr>
            <w:tcW w:w="668" w:type="pct"/>
            <w:tcBorders>
              <w:top w:val="nil"/>
              <w:left w:val="nil"/>
              <w:bottom w:val="single" w:sz="4" w:space="0" w:color="auto"/>
              <w:right w:val="single" w:sz="4" w:space="0" w:color="auto"/>
            </w:tcBorders>
            <w:shd w:val="clear" w:color="auto" w:fill="auto"/>
            <w:vAlign w:val="center"/>
            <w:hideMark/>
          </w:tcPr>
          <w:p w14:paraId="73F28A46" w14:textId="77777777" w:rsidR="00482167" w:rsidRPr="006D6BE5" w:rsidRDefault="00E63D69" w:rsidP="00A7241A">
            <w:pPr>
              <w:rPr>
                <w:rFonts w:ascii="Arial" w:hAnsi="Arial" w:cs="Arial"/>
                <w:color w:val="0563C1"/>
                <w:sz w:val="4"/>
                <w:szCs w:val="8"/>
                <w:u w:val="single"/>
                <w:lang w:val="sq-AL"/>
              </w:rPr>
            </w:pPr>
            <w:hyperlink r:id="rId148" w:history="1">
              <w:r w:rsidR="00482167" w:rsidRPr="006D6BE5">
                <w:rPr>
                  <w:rFonts w:ascii="Arial" w:hAnsi="Arial" w:cs="Arial"/>
                  <w:color w:val="0563C1"/>
                  <w:sz w:val="4"/>
                  <w:szCs w:val="8"/>
                  <w:u w:val="single"/>
                  <w:lang w:val="sq-AL"/>
                </w:rPr>
                <w:t>http://data.europa.eu/eli/reg/2019/880/oj</w:t>
              </w:r>
            </w:hyperlink>
          </w:p>
        </w:tc>
        <w:tc>
          <w:tcPr>
            <w:tcW w:w="506" w:type="pct"/>
            <w:tcBorders>
              <w:top w:val="nil"/>
              <w:left w:val="nil"/>
              <w:bottom w:val="single" w:sz="4" w:space="0" w:color="auto"/>
              <w:right w:val="single" w:sz="4" w:space="0" w:color="auto"/>
            </w:tcBorders>
            <w:shd w:val="clear" w:color="auto" w:fill="auto"/>
            <w:vAlign w:val="center"/>
            <w:hideMark/>
          </w:tcPr>
          <w:p w14:paraId="3AAF8E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BF6B9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nr. 27/2018 "Për trashëgiminë kulturore dhe muzetë"</w:t>
            </w:r>
          </w:p>
        </w:tc>
        <w:tc>
          <w:tcPr>
            <w:tcW w:w="330" w:type="pct"/>
            <w:tcBorders>
              <w:top w:val="nil"/>
              <w:left w:val="nil"/>
              <w:bottom w:val="single" w:sz="4" w:space="0" w:color="auto"/>
              <w:right w:val="single" w:sz="4" w:space="0" w:color="auto"/>
            </w:tcBorders>
            <w:shd w:val="clear" w:color="auto" w:fill="auto"/>
            <w:vAlign w:val="center"/>
            <w:hideMark/>
          </w:tcPr>
          <w:p w14:paraId="43313A16" w14:textId="515E4C15" w:rsidR="00482167" w:rsidRPr="006D6BE5" w:rsidRDefault="00482167" w:rsidP="00A7241A">
            <w:pPr>
              <w:rPr>
                <w:rFonts w:ascii="Arial" w:hAnsi="Arial" w:cs="Arial"/>
                <w:sz w:val="4"/>
                <w:szCs w:val="8"/>
                <w:lang w:val="sq-AL"/>
              </w:rPr>
            </w:pPr>
            <w:r w:rsidRPr="006D6BE5">
              <w:rPr>
                <w:rFonts w:ascii="Arial" w:hAnsi="Arial" w:cs="Arial"/>
                <w:sz w:val="4"/>
                <w:szCs w:val="8"/>
                <w:lang w:val="sq-AL"/>
              </w:rPr>
              <w:t>Përafrimi i Regullores së importit 880/2019</w:t>
            </w:r>
            <w:r w:rsidR="006D6BE5">
              <w:rPr>
                <w:rFonts w:ascii="Arial" w:hAnsi="Arial" w:cs="Arial"/>
                <w:sz w:val="4"/>
                <w:szCs w:val="8"/>
                <w:lang w:val="sq-AL"/>
              </w:rPr>
              <w:t xml:space="preserve">   </w:t>
            </w:r>
            <w:r w:rsidRPr="006D6BE5">
              <w:rPr>
                <w:rFonts w:ascii="Arial" w:hAnsi="Arial" w:cs="Arial"/>
                <w:sz w:val="4"/>
                <w:szCs w:val="8"/>
                <w:lang w:val="sq-AL"/>
              </w:rPr>
              <w:t>Pasuritë Kulturore</w:t>
            </w:r>
          </w:p>
        </w:tc>
        <w:tc>
          <w:tcPr>
            <w:tcW w:w="126" w:type="pct"/>
            <w:tcBorders>
              <w:top w:val="nil"/>
              <w:left w:val="nil"/>
              <w:bottom w:val="single" w:sz="4" w:space="0" w:color="auto"/>
              <w:right w:val="single" w:sz="4" w:space="0" w:color="auto"/>
            </w:tcBorders>
            <w:shd w:val="clear" w:color="auto" w:fill="auto"/>
            <w:vAlign w:val="center"/>
            <w:hideMark/>
          </w:tcPr>
          <w:p w14:paraId="528E45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6FAA1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80A70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MK</w:t>
            </w:r>
          </w:p>
        </w:tc>
        <w:tc>
          <w:tcPr>
            <w:tcW w:w="113" w:type="pct"/>
            <w:tcBorders>
              <w:top w:val="nil"/>
              <w:left w:val="nil"/>
              <w:bottom w:val="single" w:sz="4" w:space="0" w:color="auto"/>
              <w:right w:val="single" w:sz="4" w:space="0" w:color="auto"/>
            </w:tcBorders>
            <w:shd w:val="clear" w:color="FFFFFF" w:fill="FFFFFF"/>
            <w:vAlign w:val="center"/>
            <w:hideMark/>
          </w:tcPr>
          <w:p w14:paraId="5398DE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2A9AA7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A1A10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500A7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51C5F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C8295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8B9A3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4BC91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1E4B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25580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E373D8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4400B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27F2AA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376B2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BA4D6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Organizimi. Rregullat e Përgjithshme Doganore. </w:t>
            </w:r>
          </w:p>
        </w:tc>
        <w:tc>
          <w:tcPr>
            <w:tcW w:w="661" w:type="pct"/>
            <w:tcBorders>
              <w:top w:val="nil"/>
              <w:left w:val="nil"/>
              <w:bottom w:val="single" w:sz="4" w:space="0" w:color="auto"/>
              <w:right w:val="single" w:sz="4" w:space="0" w:color="auto"/>
            </w:tcBorders>
            <w:shd w:val="clear" w:color="FFFFFF" w:fill="FFFFFF"/>
            <w:vAlign w:val="center"/>
            <w:hideMark/>
          </w:tcPr>
          <w:p w14:paraId="1DD141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952/2013 e Parlamentit Evropian dhe e Këshillit e datës 9 tetor 2013 që përcakton Kodin Doganor të Bashkimit (riformuar)</w:t>
            </w:r>
          </w:p>
        </w:tc>
        <w:tc>
          <w:tcPr>
            <w:tcW w:w="668" w:type="pct"/>
            <w:tcBorders>
              <w:top w:val="nil"/>
              <w:left w:val="nil"/>
              <w:bottom w:val="single" w:sz="4" w:space="0" w:color="auto"/>
              <w:right w:val="single" w:sz="4" w:space="0" w:color="auto"/>
            </w:tcBorders>
            <w:shd w:val="clear" w:color="auto" w:fill="auto"/>
            <w:vAlign w:val="center"/>
            <w:hideMark/>
          </w:tcPr>
          <w:p w14:paraId="7FC9B856" w14:textId="77777777" w:rsidR="00482167" w:rsidRPr="006D6BE5" w:rsidRDefault="00E63D69" w:rsidP="00A7241A">
            <w:pPr>
              <w:rPr>
                <w:rFonts w:ascii="Arial" w:hAnsi="Arial" w:cs="Arial"/>
                <w:color w:val="0563C1"/>
                <w:sz w:val="4"/>
                <w:szCs w:val="8"/>
                <w:u w:val="single"/>
                <w:lang w:val="sq-AL"/>
              </w:rPr>
            </w:pPr>
            <w:hyperlink r:id="rId149" w:history="1">
              <w:r w:rsidR="00482167" w:rsidRPr="006D6BE5">
                <w:rPr>
                  <w:rFonts w:ascii="Arial" w:hAnsi="Arial" w:cs="Arial"/>
                  <w:color w:val="0563C1"/>
                  <w:sz w:val="4"/>
                  <w:szCs w:val="8"/>
                  <w:u w:val="single"/>
                  <w:lang w:val="sq-AL"/>
                </w:rPr>
                <w:t>https://eur-lex.europa.eu/legal-content/EN/TXT/?uri=CELEX%3A02013R0952-20200101</w:t>
              </w:r>
            </w:hyperlink>
          </w:p>
        </w:tc>
        <w:tc>
          <w:tcPr>
            <w:tcW w:w="506" w:type="pct"/>
            <w:tcBorders>
              <w:top w:val="nil"/>
              <w:left w:val="nil"/>
              <w:bottom w:val="single" w:sz="4" w:space="0" w:color="auto"/>
              <w:right w:val="single" w:sz="4" w:space="0" w:color="auto"/>
            </w:tcBorders>
            <w:shd w:val="clear" w:color="auto" w:fill="auto"/>
            <w:vAlign w:val="center"/>
            <w:hideMark/>
          </w:tcPr>
          <w:p w14:paraId="78B1C5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56EC45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Projektligji nr. 102/2014, datë 31.07.2014 “Kodi Doganor i Republikës së Shqipërisë” </w:t>
            </w:r>
          </w:p>
        </w:tc>
        <w:tc>
          <w:tcPr>
            <w:tcW w:w="330" w:type="pct"/>
            <w:tcBorders>
              <w:top w:val="nil"/>
              <w:left w:val="nil"/>
              <w:bottom w:val="single" w:sz="4" w:space="0" w:color="auto"/>
              <w:right w:val="single" w:sz="4" w:space="0" w:color="auto"/>
            </w:tcBorders>
            <w:shd w:val="clear" w:color="auto" w:fill="auto"/>
            <w:vAlign w:val="center"/>
            <w:hideMark/>
          </w:tcPr>
          <w:p w14:paraId="41235CE5" w14:textId="68F77872" w:rsidR="00482167" w:rsidRPr="006D6BE5" w:rsidRDefault="00482167" w:rsidP="00A7241A">
            <w:pPr>
              <w:rPr>
                <w:rFonts w:ascii="Arial" w:hAnsi="Arial" w:cs="Arial"/>
                <w:sz w:val="4"/>
                <w:szCs w:val="8"/>
                <w:lang w:val="sq-AL"/>
              </w:rPr>
            </w:pPr>
            <w:r w:rsidRPr="006D6BE5">
              <w:rPr>
                <w:rFonts w:ascii="Arial" w:hAnsi="Arial" w:cs="Arial"/>
                <w:sz w:val="4"/>
                <w:szCs w:val="8"/>
                <w:lang w:val="sq-AL"/>
              </w:rPr>
              <w:t>Organizimi</w:t>
            </w:r>
            <w:r w:rsidR="006D6BE5">
              <w:rPr>
                <w:rFonts w:ascii="Arial" w:hAnsi="Arial" w:cs="Arial"/>
                <w:sz w:val="4"/>
                <w:szCs w:val="8"/>
                <w:lang w:val="sq-AL"/>
              </w:rPr>
              <w:t xml:space="preserve">        </w:t>
            </w:r>
            <w:r w:rsidRPr="006D6BE5">
              <w:rPr>
                <w:rFonts w:ascii="Arial" w:hAnsi="Arial" w:cs="Arial"/>
                <w:sz w:val="4"/>
                <w:szCs w:val="8"/>
                <w:lang w:val="sq-AL"/>
              </w:rPr>
              <w:t xml:space="preserve">Rregullat e Përgjithshme Doganore </w:t>
            </w:r>
          </w:p>
        </w:tc>
        <w:tc>
          <w:tcPr>
            <w:tcW w:w="126" w:type="pct"/>
            <w:tcBorders>
              <w:top w:val="nil"/>
              <w:left w:val="nil"/>
              <w:bottom w:val="single" w:sz="4" w:space="0" w:color="auto"/>
              <w:right w:val="single" w:sz="4" w:space="0" w:color="auto"/>
            </w:tcBorders>
            <w:shd w:val="clear" w:color="auto" w:fill="auto"/>
            <w:vAlign w:val="center"/>
            <w:hideMark/>
          </w:tcPr>
          <w:p w14:paraId="04AF99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F9AFB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7B1DC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D6F25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BECE8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AA6C1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A5A8C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ED8F9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4EF54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C7D96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FC9C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E0838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C615C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A3049E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84126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766787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CCA16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FFFFFF" w:fill="FFFFFF"/>
            <w:vAlign w:val="center"/>
            <w:hideMark/>
          </w:tcPr>
          <w:p w14:paraId="6FC0D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Rregullat e Përgjithshme Doganore.</w:t>
            </w:r>
          </w:p>
        </w:tc>
        <w:tc>
          <w:tcPr>
            <w:tcW w:w="661" w:type="pct"/>
            <w:tcBorders>
              <w:top w:val="nil"/>
              <w:left w:val="nil"/>
              <w:bottom w:val="single" w:sz="4" w:space="0" w:color="auto"/>
              <w:right w:val="single" w:sz="4" w:space="0" w:color="auto"/>
            </w:tcBorders>
            <w:shd w:val="clear" w:color="FFFFFF" w:fill="FFFFFF"/>
            <w:vAlign w:val="center"/>
            <w:hideMark/>
          </w:tcPr>
          <w:p w14:paraId="53E14C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Deleguar e Komisionit (BE) 2015/2446 e datës 28 korrik 2015 që plotëson Rregulloren (BE) Nr. 952/2013 i Parlamentit Evropian dhe i Këshillit në lidhje me rregullat e detajuara në lidhje me disa dispozita të Kodit Doganor të Bashkimit</w:t>
            </w:r>
          </w:p>
        </w:tc>
        <w:tc>
          <w:tcPr>
            <w:tcW w:w="668" w:type="pct"/>
            <w:tcBorders>
              <w:top w:val="nil"/>
              <w:left w:val="nil"/>
              <w:bottom w:val="single" w:sz="4" w:space="0" w:color="auto"/>
              <w:right w:val="single" w:sz="4" w:space="0" w:color="auto"/>
            </w:tcBorders>
            <w:shd w:val="clear" w:color="auto" w:fill="auto"/>
            <w:vAlign w:val="center"/>
            <w:hideMark/>
          </w:tcPr>
          <w:p w14:paraId="054B38DA" w14:textId="77777777" w:rsidR="00482167" w:rsidRPr="006D6BE5" w:rsidRDefault="00E63D69" w:rsidP="00A7241A">
            <w:pPr>
              <w:rPr>
                <w:rFonts w:ascii="Arial" w:hAnsi="Arial" w:cs="Arial"/>
                <w:color w:val="0563C1"/>
                <w:sz w:val="4"/>
                <w:szCs w:val="8"/>
                <w:u w:val="single"/>
                <w:lang w:val="sq-AL"/>
              </w:rPr>
            </w:pPr>
            <w:hyperlink r:id="rId150" w:history="1">
              <w:r w:rsidR="00482167" w:rsidRPr="006D6BE5">
                <w:rPr>
                  <w:rFonts w:ascii="Arial" w:hAnsi="Arial" w:cs="Arial"/>
                  <w:color w:val="0563C1"/>
                  <w:sz w:val="4"/>
                  <w:szCs w:val="8"/>
                  <w:u w:val="single"/>
                  <w:lang w:val="sq-AL"/>
                </w:rPr>
                <w:t>https://eur-lex.europa.eu/legal-content/EN/TXT/?uri=CELEX%3A02015R2446-20220101</w:t>
              </w:r>
            </w:hyperlink>
          </w:p>
        </w:tc>
        <w:tc>
          <w:tcPr>
            <w:tcW w:w="506" w:type="pct"/>
            <w:tcBorders>
              <w:top w:val="nil"/>
              <w:left w:val="nil"/>
              <w:bottom w:val="single" w:sz="4" w:space="0" w:color="auto"/>
              <w:right w:val="single" w:sz="4" w:space="0" w:color="auto"/>
            </w:tcBorders>
            <w:shd w:val="clear" w:color="auto" w:fill="auto"/>
            <w:vAlign w:val="center"/>
            <w:hideMark/>
          </w:tcPr>
          <w:p w14:paraId="31D0AC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D72E7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VKM Nr.651, datë 10.11.2017 “Për Dispozitat Zbatuese të ligjit nr.102/2014, datë 31.07.2014”</w:t>
            </w:r>
          </w:p>
        </w:tc>
        <w:tc>
          <w:tcPr>
            <w:tcW w:w="330" w:type="pct"/>
            <w:tcBorders>
              <w:top w:val="nil"/>
              <w:left w:val="nil"/>
              <w:bottom w:val="single" w:sz="4" w:space="0" w:color="auto"/>
              <w:right w:val="single" w:sz="4" w:space="0" w:color="auto"/>
            </w:tcBorders>
            <w:shd w:val="clear" w:color="auto" w:fill="auto"/>
            <w:vAlign w:val="center"/>
            <w:hideMark/>
          </w:tcPr>
          <w:p w14:paraId="2C364AE7" w14:textId="3437AD50" w:rsidR="00482167" w:rsidRPr="006D6BE5" w:rsidRDefault="00482167" w:rsidP="00A7241A">
            <w:pPr>
              <w:rPr>
                <w:rFonts w:ascii="Arial" w:hAnsi="Arial" w:cs="Arial"/>
                <w:sz w:val="4"/>
                <w:szCs w:val="8"/>
                <w:lang w:val="sq-AL"/>
              </w:rPr>
            </w:pPr>
            <w:r w:rsidRPr="006D6BE5">
              <w:rPr>
                <w:rFonts w:ascii="Arial" w:hAnsi="Arial" w:cs="Arial"/>
                <w:sz w:val="4"/>
                <w:szCs w:val="8"/>
                <w:lang w:val="sq-AL"/>
              </w:rPr>
              <w:t>Në përgjithësi</w:t>
            </w:r>
            <w:r w:rsidR="006D6BE5">
              <w:rPr>
                <w:rFonts w:ascii="Arial" w:hAnsi="Arial" w:cs="Arial"/>
                <w:sz w:val="4"/>
                <w:szCs w:val="8"/>
                <w:lang w:val="sq-AL"/>
              </w:rPr>
              <w:t xml:space="preserve"> </w:t>
            </w:r>
            <w:r w:rsidRPr="006D6BE5">
              <w:rPr>
                <w:rFonts w:ascii="Arial" w:hAnsi="Arial" w:cs="Arial"/>
                <w:sz w:val="4"/>
                <w:szCs w:val="8"/>
                <w:lang w:val="sq-AL"/>
              </w:rPr>
              <w:t>projektvendimi “Për disa shtesa dhe ndryshime në Vendimin e Këshillit të Ministrave nr. 651, datë 10.11.2017 “Për dispozitat zbatuese të ligjit nr. 102/2014, “Kodi Doganor i Republikës së Shqipërisë”” të ndryshuar del i nevojshëm në kuadër të përafrimit të ndryshimeve që i janë bërë ndër vite dispozitave zbatuese dhe akteve të deleguara të Rregullores së Parlamentit Europian dhe Këshillit (BE) nr. 952/2013, “Mbi përcaktimin e Kodit Doganor të BE”.</w:t>
            </w:r>
            <w:r w:rsidRPr="006D6BE5">
              <w:rPr>
                <w:rFonts w:ascii="Arial" w:hAnsi="Arial" w:cs="Arial"/>
                <w:sz w:val="4"/>
                <w:szCs w:val="8"/>
                <w:lang w:val="sq-AL"/>
              </w:rPr>
              <w:br/>
              <w:t>Konkretisht projektvendimi ka përparësi dhe efekt të pritshëm përmirësimin, plotësimin, sqarimin dhe korigjimin e disa dispozitave që kanë të bëjnë me:</w:t>
            </w:r>
            <w:r w:rsidRPr="006D6BE5">
              <w:rPr>
                <w:rFonts w:ascii="Arial" w:hAnsi="Arial" w:cs="Arial"/>
                <w:sz w:val="4"/>
                <w:szCs w:val="8"/>
                <w:lang w:val="sq-AL"/>
              </w:rPr>
              <w:br/>
            </w:r>
            <w:r w:rsidRPr="006D6BE5">
              <w:rPr>
                <w:rFonts w:ascii="Arial" w:hAnsi="Arial" w:cs="Arial"/>
                <w:sz w:val="4"/>
                <w:szCs w:val="8"/>
                <w:lang w:val="sq-AL"/>
              </w:rPr>
              <w:br/>
              <w:t>- përkufizimet;</w:t>
            </w:r>
            <w:r w:rsidRPr="006D6BE5">
              <w:rPr>
                <w:rFonts w:ascii="Arial" w:hAnsi="Arial" w:cs="Arial"/>
                <w:sz w:val="4"/>
                <w:szCs w:val="8"/>
                <w:lang w:val="sq-AL"/>
              </w:rPr>
              <w:br/>
              <w:t>- origjinën preferenciale;</w:t>
            </w:r>
            <w:r w:rsidRPr="006D6BE5">
              <w:rPr>
                <w:rFonts w:ascii="Arial" w:hAnsi="Arial" w:cs="Arial"/>
                <w:sz w:val="4"/>
                <w:szCs w:val="8"/>
                <w:lang w:val="sq-AL"/>
              </w:rPr>
              <w:br/>
              <w:t>- regjimin e përpunimit aktiv;</w:t>
            </w:r>
            <w:r w:rsidRPr="006D6BE5">
              <w:rPr>
                <w:rFonts w:ascii="Arial" w:hAnsi="Arial" w:cs="Arial"/>
                <w:sz w:val="4"/>
                <w:szCs w:val="8"/>
                <w:lang w:val="sq-AL"/>
              </w:rPr>
              <w:br/>
              <w:t>- transitin;</w:t>
            </w:r>
            <w:r w:rsidRPr="006D6BE5">
              <w:rPr>
                <w:rFonts w:ascii="Arial" w:hAnsi="Arial" w:cs="Arial"/>
                <w:sz w:val="4"/>
                <w:szCs w:val="8"/>
                <w:lang w:val="sq-AL"/>
              </w:rPr>
              <w:br/>
              <w:t>- deklaratën përmbledhëse të hyrjes;</w:t>
            </w:r>
            <w:r w:rsidRPr="006D6BE5">
              <w:rPr>
                <w:rFonts w:ascii="Arial" w:hAnsi="Arial" w:cs="Arial"/>
                <w:sz w:val="4"/>
                <w:szCs w:val="8"/>
                <w:lang w:val="sq-AL"/>
              </w:rPr>
              <w:br/>
              <w:t>- magazinimin e përkohshëm;</w:t>
            </w:r>
            <w:r w:rsidRPr="006D6BE5">
              <w:rPr>
                <w:rFonts w:ascii="Arial" w:hAnsi="Arial" w:cs="Arial"/>
                <w:sz w:val="4"/>
                <w:szCs w:val="8"/>
                <w:lang w:val="sq-AL"/>
              </w:rPr>
              <w:br/>
              <w:t>- magazinimin;</w:t>
            </w:r>
            <w:r w:rsidRPr="006D6BE5">
              <w:rPr>
                <w:rFonts w:ascii="Arial" w:hAnsi="Arial" w:cs="Arial"/>
                <w:sz w:val="4"/>
                <w:szCs w:val="8"/>
                <w:lang w:val="sq-AL"/>
              </w:rPr>
              <w:br/>
              <w:t>- lejimin e përkohshëm;</w:t>
            </w:r>
            <w:r w:rsidRPr="006D6BE5">
              <w:rPr>
                <w:rFonts w:ascii="Arial" w:hAnsi="Arial" w:cs="Arial"/>
                <w:sz w:val="4"/>
                <w:szCs w:val="8"/>
                <w:lang w:val="sq-AL"/>
              </w:rPr>
              <w:br/>
              <w:t xml:space="preserve">- rieksportin; </w:t>
            </w:r>
            <w:r w:rsidRPr="006D6BE5">
              <w:rPr>
                <w:rFonts w:ascii="Arial" w:hAnsi="Arial" w:cs="Arial"/>
                <w:sz w:val="4"/>
                <w:szCs w:val="8"/>
                <w:lang w:val="sq-AL"/>
              </w:rPr>
              <w:br/>
              <w:t>- bashkëpunimin me qëllim vjeljen e borxhit doganor;</w:t>
            </w:r>
            <w:r w:rsidRPr="006D6BE5">
              <w:rPr>
                <w:rFonts w:ascii="Arial" w:hAnsi="Arial" w:cs="Arial"/>
                <w:sz w:val="4"/>
                <w:szCs w:val="8"/>
                <w:lang w:val="sq-AL"/>
              </w:rPr>
              <w:br/>
              <w:t>- pronësinë intelektuale;</w:t>
            </w:r>
            <w:r w:rsidRPr="006D6BE5">
              <w:rPr>
                <w:rFonts w:ascii="Arial" w:hAnsi="Arial" w:cs="Arial"/>
                <w:sz w:val="4"/>
                <w:szCs w:val="8"/>
                <w:lang w:val="sq-AL"/>
              </w:rPr>
              <w:br/>
            </w:r>
            <w:r w:rsidRPr="006D6BE5">
              <w:rPr>
                <w:rFonts w:ascii="Arial" w:hAnsi="Arial" w:cs="Arial"/>
                <w:sz w:val="4"/>
                <w:szCs w:val="8"/>
                <w:lang w:val="sq-AL"/>
              </w:rPr>
              <w:br/>
              <w:t>etj, çështje të cilat korigjohen edhe në kuadër të përafrimit.</w:t>
            </w:r>
            <w:r w:rsidR="006D6BE5">
              <w:rPr>
                <w:rFonts w:ascii="Arial" w:hAnsi="Arial" w:cs="Arial"/>
                <w:sz w:val="4"/>
                <w:szCs w:val="8"/>
                <w:lang w:val="sq-AL"/>
              </w:rPr>
              <w:t xml:space="preserve">       </w:t>
            </w:r>
            <w:r w:rsidRPr="006D6BE5">
              <w:rPr>
                <w:rFonts w:ascii="Arial" w:hAnsi="Arial" w:cs="Arial"/>
                <w:sz w:val="4"/>
                <w:szCs w:val="8"/>
                <w:lang w:val="sq-AL"/>
              </w:rPr>
              <w:t xml:space="preserve"> </w:t>
            </w:r>
          </w:p>
        </w:tc>
        <w:tc>
          <w:tcPr>
            <w:tcW w:w="126" w:type="pct"/>
            <w:tcBorders>
              <w:top w:val="nil"/>
              <w:left w:val="nil"/>
              <w:bottom w:val="single" w:sz="4" w:space="0" w:color="auto"/>
              <w:right w:val="single" w:sz="4" w:space="0" w:color="auto"/>
            </w:tcBorders>
            <w:shd w:val="clear" w:color="auto" w:fill="auto"/>
            <w:vAlign w:val="center"/>
            <w:hideMark/>
          </w:tcPr>
          <w:p w14:paraId="39E441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4A563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7E994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36E1C9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F0AB3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883CC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34139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848D9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DCE79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5215C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E537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90A2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EA926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A593D5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98FA6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66FF64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6EBECA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FFFFFF" w:fill="FFFFFF"/>
            <w:vAlign w:val="center"/>
            <w:hideMark/>
          </w:tcPr>
          <w:p w14:paraId="286F62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Rregullat e Përgjithshme Doganore.</w:t>
            </w:r>
          </w:p>
        </w:tc>
        <w:tc>
          <w:tcPr>
            <w:tcW w:w="661" w:type="pct"/>
            <w:tcBorders>
              <w:top w:val="nil"/>
              <w:left w:val="nil"/>
              <w:bottom w:val="single" w:sz="4" w:space="0" w:color="auto"/>
              <w:right w:val="single" w:sz="4" w:space="0" w:color="auto"/>
            </w:tcBorders>
            <w:shd w:val="clear" w:color="FFFFFF" w:fill="FFFFFF"/>
            <w:vAlign w:val="center"/>
            <w:hideMark/>
          </w:tcPr>
          <w:p w14:paraId="542EC2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2015/2447 e datës 24 nëntor 2015 që përcakton rregulla të detajuara për zbatimin e disa dispozitave të Rregullores (BE) Nr. 952/2013 të Parlamentit Evropian dhe të Këshillit që përcakton Kodin Doganor të Bashkimit</w:t>
            </w:r>
          </w:p>
        </w:tc>
        <w:tc>
          <w:tcPr>
            <w:tcW w:w="668" w:type="pct"/>
            <w:tcBorders>
              <w:top w:val="nil"/>
              <w:left w:val="nil"/>
              <w:bottom w:val="single" w:sz="4" w:space="0" w:color="auto"/>
              <w:right w:val="single" w:sz="4" w:space="0" w:color="auto"/>
            </w:tcBorders>
            <w:shd w:val="clear" w:color="auto" w:fill="auto"/>
            <w:vAlign w:val="center"/>
            <w:hideMark/>
          </w:tcPr>
          <w:p w14:paraId="20F886CB" w14:textId="77777777" w:rsidR="00482167" w:rsidRPr="006D6BE5" w:rsidRDefault="00E63D69" w:rsidP="00A7241A">
            <w:pPr>
              <w:rPr>
                <w:rFonts w:ascii="Arial" w:hAnsi="Arial" w:cs="Arial"/>
                <w:color w:val="0563C1"/>
                <w:sz w:val="4"/>
                <w:szCs w:val="8"/>
                <w:u w:val="single"/>
                <w:lang w:val="sq-AL"/>
              </w:rPr>
            </w:pPr>
            <w:hyperlink r:id="rId151" w:history="1">
              <w:r w:rsidR="00482167" w:rsidRPr="006D6BE5">
                <w:rPr>
                  <w:rFonts w:ascii="Arial" w:hAnsi="Arial" w:cs="Arial"/>
                  <w:color w:val="0563C1"/>
                  <w:sz w:val="4"/>
                  <w:szCs w:val="8"/>
                  <w:u w:val="single"/>
                  <w:lang w:val="sq-AL"/>
                </w:rPr>
                <w:t>https://eur-lex.europa.eu/legal-content/EN/TXT/?uri=CELEX%3A02015R2447-20210315</w:t>
              </w:r>
            </w:hyperlink>
          </w:p>
        </w:tc>
        <w:tc>
          <w:tcPr>
            <w:tcW w:w="506" w:type="pct"/>
            <w:tcBorders>
              <w:top w:val="nil"/>
              <w:left w:val="nil"/>
              <w:bottom w:val="single" w:sz="4" w:space="0" w:color="auto"/>
              <w:right w:val="single" w:sz="4" w:space="0" w:color="auto"/>
            </w:tcBorders>
            <w:shd w:val="clear" w:color="auto" w:fill="auto"/>
            <w:vAlign w:val="center"/>
            <w:hideMark/>
          </w:tcPr>
          <w:p w14:paraId="7957CF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38D050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VKM Nr.651, datë 10.11.2017 “Për Dispozitat Zbatuese të ligjit nr.102/2014, datë 31.07.2014”</w:t>
            </w:r>
          </w:p>
        </w:tc>
        <w:tc>
          <w:tcPr>
            <w:tcW w:w="330" w:type="pct"/>
            <w:tcBorders>
              <w:top w:val="nil"/>
              <w:left w:val="nil"/>
              <w:bottom w:val="single" w:sz="4" w:space="0" w:color="auto"/>
              <w:right w:val="single" w:sz="4" w:space="0" w:color="auto"/>
            </w:tcBorders>
            <w:shd w:val="clear" w:color="auto" w:fill="auto"/>
            <w:vAlign w:val="center"/>
            <w:hideMark/>
          </w:tcPr>
          <w:p w14:paraId="2AB5A7D8" w14:textId="3EC920C2" w:rsidR="00482167" w:rsidRPr="006D6BE5" w:rsidRDefault="00482167" w:rsidP="00A7241A">
            <w:pPr>
              <w:rPr>
                <w:rFonts w:ascii="Arial" w:hAnsi="Arial" w:cs="Arial"/>
                <w:sz w:val="4"/>
                <w:szCs w:val="8"/>
                <w:lang w:val="sq-AL"/>
              </w:rPr>
            </w:pPr>
            <w:r w:rsidRPr="006D6BE5">
              <w:rPr>
                <w:rFonts w:ascii="Arial" w:hAnsi="Arial" w:cs="Arial"/>
                <w:sz w:val="4"/>
                <w:szCs w:val="8"/>
                <w:lang w:val="sq-AL"/>
              </w:rPr>
              <w:t>Organizimi</w:t>
            </w:r>
            <w:r w:rsidR="006D6BE5">
              <w:rPr>
                <w:rFonts w:ascii="Arial" w:hAnsi="Arial" w:cs="Arial"/>
                <w:sz w:val="4"/>
                <w:szCs w:val="8"/>
                <w:lang w:val="sq-AL"/>
              </w:rPr>
              <w:t xml:space="preserve">        </w:t>
            </w:r>
            <w:r w:rsidRPr="006D6BE5">
              <w:rPr>
                <w:rFonts w:ascii="Arial" w:hAnsi="Arial" w:cs="Arial"/>
                <w:sz w:val="4"/>
                <w:szCs w:val="8"/>
                <w:lang w:val="sq-AL"/>
              </w:rPr>
              <w:t xml:space="preserve"> Rregullat e Përgjithshme Doganore</w:t>
            </w:r>
          </w:p>
        </w:tc>
        <w:tc>
          <w:tcPr>
            <w:tcW w:w="126" w:type="pct"/>
            <w:tcBorders>
              <w:top w:val="nil"/>
              <w:left w:val="nil"/>
              <w:bottom w:val="single" w:sz="4" w:space="0" w:color="auto"/>
              <w:right w:val="single" w:sz="4" w:space="0" w:color="auto"/>
            </w:tcBorders>
            <w:shd w:val="clear" w:color="auto" w:fill="auto"/>
            <w:vAlign w:val="center"/>
            <w:hideMark/>
          </w:tcPr>
          <w:p w14:paraId="15F4CC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B5FE6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912D7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42EE1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2F971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675BE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127C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63DE2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F152F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ADDCF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60DC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F3BE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1D744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68751F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C9253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64A978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54852B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FFFFFF" w:fill="FFFFFF"/>
            <w:vAlign w:val="center"/>
            <w:hideMark/>
          </w:tcPr>
          <w:p w14:paraId="13F4E2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Sistemet e TI-së të lidhura me doganën në funksionim.</w:t>
            </w:r>
            <w:r w:rsidRPr="006D6BE5">
              <w:rPr>
                <w:rFonts w:ascii="Arial" w:hAnsi="Arial" w:cs="Arial"/>
                <w:color w:val="000000"/>
                <w:sz w:val="4"/>
                <w:szCs w:val="8"/>
                <w:lang w:val="sq-AL"/>
              </w:rPr>
              <w:br/>
              <w:t>Planifikon të zbatojë planin e punës të UCC IT.</w:t>
            </w:r>
          </w:p>
        </w:tc>
        <w:tc>
          <w:tcPr>
            <w:tcW w:w="661" w:type="pct"/>
            <w:tcBorders>
              <w:top w:val="nil"/>
              <w:left w:val="nil"/>
              <w:bottom w:val="single" w:sz="4" w:space="0" w:color="auto"/>
              <w:right w:val="single" w:sz="4" w:space="0" w:color="auto"/>
            </w:tcBorders>
            <w:shd w:val="clear" w:color="FFFFFF" w:fill="FFFFFF"/>
            <w:vAlign w:val="center"/>
            <w:hideMark/>
          </w:tcPr>
          <w:p w14:paraId="34AF6E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deleguar e Komisionit (BE) 2016/341 e datës 17 dhjetor 2015 që plotëson Rregulloren (BE) Nr. 952/2013 të Parlamentit Evropian dhe Këshillit në lidhje me rregullat kalimtare për disa dispozita të Kodit Doganor të Bashkimit ku sistemet përkatëse elektronike nuk janë ende operacionale dhe ndryshimin e Rregullores së deleguar (BE) 2015/2446</w:t>
            </w:r>
          </w:p>
        </w:tc>
        <w:tc>
          <w:tcPr>
            <w:tcW w:w="668" w:type="pct"/>
            <w:tcBorders>
              <w:top w:val="nil"/>
              <w:left w:val="nil"/>
              <w:bottom w:val="single" w:sz="4" w:space="0" w:color="auto"/>
              <w:right w:val="single" w:sz="4" w:space="0" w:color="auto"/>
            </w:tcBorders>
            <w:shd w:val="clear" w:color="auto" w:fill="auto"/>
            <w:vAlign w:val="center"/>
            <w:hideMark/>
          </w:tcPr>
          <w:p w14:paraId="4922C243" w14:textId="77777777" w:rsidR="00482167" w:rsidRPr="006D6BE5" w:rsidRDefault="00E63D69" w:rsidP="00A7241A">
            <w:pPr>
              <w:rPr>
                <w:rFonts w:ascii="Arial" w:hAnsi="Arial" w:cs="Arial"/>
                <w:color w:val="0563C1"/>
                <w:sz w:val="4"/>
                <w:szCs w:val="8"/>
                <w:u w:val="single"/>
                <w:lang w:val="sq-AL"/>
              </w:rPr>
            </w:pPr>
            <w:hyperlink r:id="rId152" w:history="1">
              <w:r w:rsidR="00482167" w:rsidRPr="006D6BE5">
                <w:rPr>
                  <w:rFonts w:ascii="Arial" w:hAnsi="Arial" w:cs="Arial"/>
                  <w:color w:val="0563C1"/>
                  <w:sz w:val="4"/>
                  <w:szCs w:val="8"/>
                  <w:u w:val="single"/>
                  <w:lang w:val="sq-AL"/>
                </w:rPr>
                <w:t>https://eur-lex.europa.eu/legal-content/EN/AUTO/?uri=CELEX:02016R0341-20210315&amp;qid=1669800611800</w:t>
              </w:r>
            </w:hyperlink>
          </w:p>
        </w:tc>
        <w:tc>
          <w:tcPr>
            <w:tcW w:w="506" w:type="pct"/>
            <w:tcBorders>
              <w:top w:val="nil"/>
              <w:left w:val="nil"/>
              <w:bottom w:val="single" w:sz="4" w:space="0" w:color="auto"/>
              <w:right w:val="single" w:sz="4" w:space="0" w:color="auto"/>
            </w:tcBorders>
            <w:shd w:val="clear" w:color="auto" w:fill="auto"/>
            <w:vAlign w:val="center"/>
            <w:hideMark/>
          </w:tcPr>
          <w:p w14:paraId="55835F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BE91A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VKM Nr.651, datë 10.11.2017 “Për Dispozitat Zbatuese të ligjit nr.102/2014, datë 31.07.2014”</w:t>
            </w:r>
          </w:p>
        </w:tc>
        <w:tc>
          <w:tcPr>
            <w:tcW w:w="330" w:type="pct"/>
            <w:tcBorders>
              <w:top w:val="nil"/>
              <w:left w:val="nil"/>
              <w:bottom w:val="single" w:sz="4" w:space="0" w:color="auto"/>
              <w:right w:val="single" w:sz="4" w:space="0" w:color="auto"/>
            </w:tcBorders>
            <w:shd w:val="clear" w:color="auto" w:fill="auto"/>
            <w:vAlign w:val="center"/>
            <w:hideMark/>
          </w:tcPr>
          <w:p w14:paraId="28AD3F7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Sistemet e TI-së të lidhura me doganën në funksionim</w:t>
            </w:r>
            <w:r w:rsidRPr="006D6BE5">
              <w:rPr>
                <w:rFonts w:ascii="Arial" w:hAnsi="Arial" w:cs="Arial"/>
                <w:sz w:val="4"/>
                <w:szCs w:val="8"/>
                <w:lang w:val="sq-AL"/>
              </w:rPr>
              <w:br/>
              <w:t>Planifikon të zbatojë planin e punës të UCC IT</w:t>
            </w:r>
          </w:p>
        </w:tc>
        <w:tc>
          <w:tcPr>
            <w:tcW w:w="126" w:type="pct"/>
            <w:tcBorders>
              <w:top w:val="nil"/>
              <w:left w:val="nil"/>
              <w:bottom w:val="single" w:sz="4" w:space="0" w:color="auto"/>
              <w:right w:val="single" w:sz="4" w:space="0" w:color="auto"/>
            </w:tcBorders>
            <w:shd w:val="clear" w:color="auto" w:fill="auto"/>
            <w:vAlign w:val="center"/>
            <w:hideMark/>
          </w:tcPr>
          <w:p w14:paraId="196865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5047B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7FF96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3351C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7A28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23260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1ADCF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40C53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7F256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6E6CF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C090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98486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C26C6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AE7689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05F06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288684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B8980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51373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Tarifa doganore Klasifikimi i mallrave.</w:t>
            </w:r>
          </w:p>
        </w:tc>
        <w:tc>
          <w:tcPr>
            <w:tcW w:w="661" w:type="pct"/>
            <w:tcBorders>
              <w:top w:val="nil"/>
              <w:left w:val="nil"/>
              <w:bottom w:val="single" w:sz="4" w:space="0" w:color="auto"/>
              <w:right w:val="single" w:sz="4" w:space="0" w:color="auto"/>
            </w:tcBorders>
            <w:shd w:val="clear" w:color="FFFFFF" w:fill="FFFFFF"/>
            <w:vAlign w:val="center"/>
            <w:hideMark/>
          </w:tcPr>
          <w:p w14:paraId="063A87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(EEC) Nr. 2658/87 e datës 23 korrik 1987 mbi tarifat dhe nomenklaturën statistikore dhe mbi tarifën e përbashkët doganore</w:t>
            </w:r>
          </w:p>
        </w:tc>
        <w:tc>
          <w:tcPr>
            <w:tcW w:w="668" w:type="pct"/>
            <w:tcBorders>
              <w:top w:val="nil"/>
              <w:left w:val="nil"/>
              <w:bottom w:val="single" w:sz="4" w:space="0" w:color="auto"/>
              <w:right w:val="single" w:sz="4" w:space="0" w:color="auto"/>
            </w:tcBorders>
            <w:shd w:val="clear" w:color="auto" w:fill="auto"/>
            <w:vAlign w:val="center"/>
            <w:hideMark/>
          </w:tcPr>
          <w:p w14:paraId="0E7198F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https://eur-lex.europa.eu/legal-content/EN/AUTO/?uri=CELEX:01987R2658-20221013</w:t>
            </w:r>
          </w:p>
        </w:tc>
        <w:tc>
          <w:tcPr>
            <w:tcW w:w="506" w:type="pct"/>
            <w:tcBorders>
              <w:top w:val="nil"/>
              <w:left w:val="nil"/>
              <w:bottom w:val="single" w:sz="4" w:space="0" w:color="auto"/>
              <w:right w:val="single" w:sz="4" w:space="0" w:color="auto"/>
            </w:tcBorders>
            <w:shd w:val="clear" w:color="auto" w:fill="auto"/>
            <w:vAlign w:val="center"/>
            <w:hideMark/>
          </w:tcPr>
          <w:p w14:paraId="3706B4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173BA1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dhe publikimin zyrtar të Nomenklaturës së Kombinuar të Mallrave 2025"</w:t>
            </w:r>
          </w:p>
        </w:tc>
        <w:tc>
          <w:tcPr>
            <w:tcW w:w="330" w:type="pct"/>
            <w:tcBorders>
              <w:top w:val="nil"/>
              <w:left w:val="nil"/>
              <w:bottom w:val="single" w:sz="4" w:space="0" w:color="auto"/>
              <w:right w:val="single" w:sz="4" w:space="0" w:color="auto"/>
            </w:tcBorders>
            <w:shd w:val="clear" w:color="auto" w:fill="auto"/>
            <w:vAlign w:val="center"/>
            <w:hideMark/>
          </w:tcPr>
          <w:p w14:paraId="65BFF10A" w14:textId="7AF5EFA0" w:rsidR="00482167" w:rsidRPr="006D6BE5" w:rsidRDefault="00482167" w:rsidP="00A7241A">
            <w:pPr>
              <w:rPr>
                <w:rFonts w:ascii="Arial" w:hAnsi="Arial" w:cs="Arial"/>
                <w:sz w:val="4"/>
                <w:szCs w:val="8"/>
                <w:lang w:val="sq-AL"/>
              </w:rPr>
            </w:pPr>
            <w:r w:rsidRPr="006D6BE5">
              <w:rPr>
                <w:rFonts w:ascii="Arial" w:hAnsi="Arial" w:cs="Arial"/>
                <w:sz w:val="4"/>
                <w:szCs w:val="8"/>
                <w:lang w:val="sq-AL"/>
              </w:rPr>
              <w:t>Tarifa Doganore</w:t>
            </w:r>
            <w:r w:rsidR="006D6BE5">
              <w:rPr>
                <w:rFonts w:ascii="Arial" w:hAnsi="Arial" w:cs="Arial"/>
                <w:sz w:val="4"/>
                <w:szCs w:val="8"/>
                <w:lang w:val="sq-AL"/>
              </w:rPr>
              <w:t xml:space="preserve">   </w:t>
            </w:r>
            <w:r w:rsidRPr="006D6BE5">
              <w:rPr>
                <w:rFonts w:ascii="Arial" w:hAnsi="Arial" w:cs="Arial"/>
                <w:sz w:val="4"/>
                <w:szCs w:val="8"/>
                <w:lang w:val="sq-AL"/>
              </w:rPr>
              <w:t xml:space="preserve"> Klasifikimi i mallrave</w:t>
            </w:r>
          </w:p>
        </w:tc>
        <w:tc>
          <w:tcPr>
            <w:tcW w:w="126" w:type="pct"/>
            <w:tcBorders>
              <w:top w:val="nil"/>
              <w:left w:val="nil"/>
              <w:bottom w:val="single" w:sz="4" w:space="0" w:color="auto"/>
              <w:right w:val="single" w:sz="4" w:space="0" w:color="auto"/>
            </w:tcBorders>
            <w:shd w:val="clear" w:color="auto" w:fill="auto"/>
            <w:vAlign w:val="center"/>
            <w:hideMark/>
          </w:tcPr>
          <w:p w14:paraId="0F8EF4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A4EA9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6B86E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C64CA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1BBDE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F5241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199C7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38B9B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DC99F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AE638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0869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6C92D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EF152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535947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AA53F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7084E3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52659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B48F5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Tarifa doganore Klasifikimi i mallrave.</w:t>
            </w:r>
          </w:p>
        </w:tc>
        <w:tc>
          <w:tcPr>
            <w:tcW w:w="661" w:type="pct"/>
            <w:tcBorders>
              <w:top w:val="nil"/>
              <w:left w:val="nil"/>
              <w:bottom w:val="single" w:sz="4" w:space="0" w:color="auto"/>
              <w:right w:val="single" w:sz="4" w:space="0" w:color="auto"/>
            </w:tcBorders>
            <w:shd w:val="clear" w:color="FFFFFF" w:fill="FFFFFF"/>
            <w:vAlign w:val="center"/>
            <w:hideMark/>
          </w:tcPr>
          <w:p w14:paraId="58FBB6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(EEC) Nr. 2658/87 e datës 23 korrik 1987 mbi tarifat dhe nomenklaturën statistikore dhe mbi tarifën e përbashkët doganore</w:t>
            </w:r>
          </w:p>
        </w:tc>
        <w:tc>
          <w:tcPr>
            <w:tcW w:w="668" w:type="pct"/>
            <w:tcBorders>
              <w:top w:val="nil"/>
              <w:left w:val="nil"/>
              <w:bottom w:val="single" w:sz="4" w:space="0" w:color="auto"/>
              <w:right w:val="single" w:sz="4" w:space="0" w:color="auto"/>
            </w:tcBorders>
            <w:shd w:val="clear" w:color="auto" w:fill="auto"/>
            <w:vAlign w:val="center"/>
            <w:hideMark/>
          </w:tcPr>
          <w:p w14:paraId="4B907D08"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https://eur-lex.europa.eu/legal-content/EN/AUTO/?uri=CELEX:01987R2658-20221014</w:t>
            </w:r>
          </w:p>
        </w:tc>
        <w:tc>
          <w:tcPr>
            <w:tcW w:w="506" w:type="pct"/>
            <w:tcBorders>
              <w:top w:val="nil"/>
              <w:left w:val="nil"/>
              <w:bottom w:val="single" w:sz="4" w:space="0" w:color="auto"/>
              <w:right w:val="single" w:sz="4" w:space="0" w:color="auto"/>
            </w:tcBorders>
            <w:shd w:val="clear" w:color="auto" w:fill="auto"/>
            <w:vAlign w:val="center"/>
            <w:hideMark/>
          </w:tcPr>
          <w:p w14:paraId="011974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8A753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dhe publikimin zyrtar të Nomenklaturës së Kombinuar të Mallrave 2026"</w:t>
            </w:r>
          </w:p>
        </w:tc>
        <w:tc>
          <w:tcPr>
            <w:tcW w:w="330" w:type="pct"/>
            <w:tcBorders>
              <w:top w:val="nil"/>
              <w:left w:val="nil"/>
              <w:bottom w:val="single" w:sz="4" w:space="0" w:color="auto"/>
              <w:right w:val="single" w:sz="4" w:space="0" w:color="auto"/>
            </w:tcBorders>
            <w:shd w:val="clear" w:color="auto" w:fill="auto"/>
            <w:vAlign w:val="center"/>
            <w:hideMark/>
          </w:tcPr>
          <w:p w14:paraId="563A760B" w14:textId="08B0D0B8" w:rsidR="00482167" w:rsidRPr="006D6BE5" w:rsidRDefault="00482167" w:rsidP="00A7241A">
            <w:pPr>
              <w:rPr>
                <w:rFonts w:ascii="Arial" w:hAnsi="Arial" w:cs="Arial"/>
                <w:sz w:val="4"/>
                <w:szCs w:val="8"/>
                <w:lang w:val="sq-AL"/>
              </w:rPr>
            </w:pPr>
            <w:r w:rsidRPr="006D6BE5">
              <w:rPr>
                <w:rFonts w:ascii="Arial" w:hAnsi="Arial" w:cs="Arial"/>
                <w:sz w:val="4"/>
                <w:szCs w:val="8"/>
                <w:lang w:val="sq-AL"/>
              </w:rPr>
              <w:t>Tarifa Doganore</w:t>
            </w:r>
            <w:r w:rsidR="006D6BE5">
              <w:rPr>
                <w:rFonts w:ascii="Arial" w:hAnsi="Arial" w:cs="Arial"/>
                <w:sz w:val="4"/>
                <w:szCs w:val="8"/>
                <w:lang w:val="sq-AL"/>
              </w:rPr>
              <w:t xml:space="preserve">   </w:t>
            </w:r>
            <w:r w:rsidRPr="006D6BE5">
              <w:rPr>
                <w:rFonts w:ascii="Arial" w:hAnsi="Arial" w:cs="Arial"/>
                <w:sz w:val="4"/>
                <w:szCs w:val="8"/>
                <w:lang w:val="sq-AL"/>
              </w:rPr>
              <w:t xml:space="preserve"> Klasifikimi i mallrave</w:t>
            </w:r>
          </w:p>
        </w:tc>
        <w:tc>
          <w:tcPr>
            <w:tcW w:w="126" w:type="pct"/>
            <w:tcBorders>
              <w:top w:val="nil"/>
              <w:left w:val="nil"/>
              <w:bottom w:val="single" w:sz="4" w:space="0" w:color="auto"/>
              <w:right w:val="single" w:sz="4" w:space="0" w:color="auto"/>
            </w:tcBorders>
            <w:shd w:val="clear" w:color="auto" w:fill="auto"/>
            <w:vAlign w:val="center"/>
            <w:hideMark/>
          </w:tcPr>
          <w:p w14:paraId="1BCF59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CABD3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6E8A4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05ED65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F5110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3EE16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FE049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A6D49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D9E97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823FF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04EF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06F8C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27DF5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CB2461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38CEC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505C93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A8DB6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9962E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Tarifa doganore Klasifikimi i mallrave.</w:t>
            </w:r>
          </w:p>
        </w:tc>
        <w:tc>
          <w:tcPr>
            <w:tcW w:w="661" w:type="pct"/>
            <w:tcBorders>
              <w:top w:val="nil"/>
              <w:left w:val="nil"/>
              <w:bottom w:val="single" w:sz="4" w:space="0" w:color="auto"/>
              <w:right w:val="single" w:sz="4" w:space="0" w:color="auto"/>
            </w:tcBorders>
            <w:shd w:val="clear" w:color="FFFFFF" w:fill="FFFFFF"/>
            <w:vAlign w:val="center"/>
            <w:hideMark/>
          </w:tcPr>
          <w:p w14:paraId="119563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(EEC) Nr. 2658/87 e datës 23 korrik 1987 mbi tarifat dhe nomenklaturën statistikore dhe mbi tarifën e përbashkët doganore</w:t>
            </w:r>
          </w:p>
        </w:tc>
        <w:tc>
          <w:tcPr>
            <w:tcW w:w="668" w:type="pct"/>
            <w:tcBorders>
              <w:top w:val="nil"/>
              <w:left w:val="nil"/>
              <w:bottom w:val="single" w:sz="4" w:space="0" w:color="auto"/>
              <w:right w:val="single" w:sz="4" w:space="0" w:color="auto"/>
            </w:tcBorders>
            <w:shd w:val="clear" w:color="auto" w:fill="auto"/>
            <w:vAlign w:val="center"/>
            <w:hideMark/>
          </w:tcPr>
          <w:p w14:paraId="2B05939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https://eur-lex.europa.eu/legal-content/EN/AUTO/?uri=CELEX:01987R2658-20221015</w:t>
            </w:r>
          </w:p>
        </w:tc>
        <w:tc>
          <w:tcPr>
            <w:tcW w:w="506" w:type="pct"/>
            <w:tcBorders>
              <w:top w:val="nil"/>
              <w:left w:val="nil"/>
              <w:bottom w:val="single" w:sz="4" w:space="0" w:color="auto"/>
              <w:right w:val="single" w:sz="4" w:space="0" w:color="auto"/>
            </w:tcBorders>
            <w:shd w:val="clear" w:color="auto" w:fill="auto"/>
            <w:vAlign w:val="center"/>
            <w:hideMark/>
          </w:tcPr>
          <w:p w14:paraId="0FFC8F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6723AE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dhe publikimin zyrtar të Nomenklaturës së Kombinuar të Mallrave 2027"</w:t>
            </w:r>
          </w:p>
        </w:tc>
        <w:tc>
          <w:tcPr>
            <w:tcW w:w="330" w:type="pct"/>
            <w:tcBorders>
              <w:top w:val="nil"/>
              <w:left w:val="nil"/>
              <w:bottom w:val="single" w:sz="4" w:space="0" w:color="auto"/>
              <w:right w:val="single" w:sz="4" w:space="0" w:color="auto"/>
            </w:tcBorders>
            <w:shd w:val="clear" w:color="auto" w:fill="auto"/>
            <w:vAlign w:val="center"/>
            <w:hideMark/>
          </w:tcPr>
          <w:p w14:paraId="5EFA0BA4" w14:textId="06421072" w:rsidR="00482167" w:rsidRPr="006D6BE5" w:rsidRDefault="00482167" w:rsidP="00A7241A">
            <w:pPr>
              <w:rPr>
                <w:rFonts w:ascii="Arial" w:hAnsi="Arial" w:cs="Arial"/>
                <w:sz w:val="4"/>
                <w:szCs w:val="8"/>
                <w:lang w:val="sq-AL"/>
              </w:rPr>
            </w:pPr>
            <w:r w:rsidRPr="006D6BE5">
              <w:rPr>
                <w:rFonts w:ascii="Arial" w:hAnsi="Arial" w:cs="Arial"/>
                <w:sz w:val="4"/>
                <w:szCs w:val="8"/>
                <w:lang w:val="sq-AL"/>
              </w:rPr>
              <w:t>Tarifa Doganore</w:t>
            </w:r>
            <w:r w:rsidR="006D6BE5">
              <w:rPr>
                <w:rFonts w:ascii="Arial" w:hAnsi="Arial" w:cs="Arial"/>
                <w:sz w:val="4"/>
                <w:szCs w:val="8"/>
                <w:lang w:val="sq-AL"/>
              </w:rPr>
              <w:t xml:space="preserve">   </w:t>
            </w:r>
            <w:r w:rsidRPr="006D6BE5">
              <w:rPr>
                <w:rFonts w:ascii="Arial" w:hAnsi="Arial" w:cs="Arial"/>
                <w:sz w:val="4"/>
                <w:szCs w:val="8"/>
                <w:lang w:val="sq-AL"/>
              </w:rPr>
              <w:t xml:space="preserve"> Klasifikimi i mallrave</w:t>
            </w:r>
          </w:p>
        </w:tc>
        <w:tc>
          <w:tcPr>
            <w:tcW w:w="126" w:type="pct"/>
            <w:tcBorders>
              <w:top w:val="nil"/>
              <w:left w:val="nil"/>
              <w:bottom w:val="single" w:sz="4" w:space="0" w:color="auto"/>
              <w:right w:val="single" w:sz="4" w:space="0" w:color="auto"/>
            </w:tcBorders>
            <w:shd w:val="clear" w:color="auto" w:fill="auto"/>
            <w:vAlign w:val="center"/>
            <w:hideMark/>
          </w:tcPr>
          <w:p w14:paraId="399D7B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9887D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437BE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59925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E7DC3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9BD21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7C3AC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8CF7C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AD92C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87D5A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F958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D06B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1C7E5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C5528B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E373C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29</w:t>
            </w:r>
          </w:p>
        </w:tc>
        <w:tc>
          <w:tcPr>
            <w:tcW w:w="144" w:type="pct"/>
            <w:tcBorders>
              <w:top w:val="nil"/>
              <w:left w:val="nil"/>
              <w:bottom w:val="single" w:sz="4" w:space="0" w:color="auto"/>
              <w:right w:val="single" w:sz="4" w:space="0" w:color="auto"/>
            </w:tcBorders>
            <w:shd w:val="clear" w:color="FFFFFF" w:fill="FFFFFF"/>
            <w:vAlign w:val="center"/>
            <w:hideMark/>
          </w:tcPr>
          <w:p w14:paraId="0825DA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F3664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71" w:type="pct"/>
            <w:tcBorders>
              <w:top w:val="nil"/>
              <w:left w:val="nil"/>
              <w:bottom w:val="single" w:sz="4" w:space="0" w:color="auto"/>
              <w:right w:val="single" w:sz="4" w:space="0" w:color="auto"/>
            </w:tcBorders>
            <w:shd w:val="clear" w:color="FFFFFF" w:fill="FFFFFF"/>
            <w:vAlign w:val="center"/>
            <w:hideMark/>
          </w:tcPr>
          <w:p w14:paraId="54C59F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Tranzit</w:t>
            </w:r>
          </w:p>
        </w:tc>
        <w:tc>
          <w:tcPr>
            <w:tcW w:w="661" w:type="pct"/>
            <w:tcBorders>
              <w:top w:val="nil"/>
              <w:left w:val="nil"/>
              <w:bottom w:val="single" w:sz="4" w:space="0" w:color="auto"/>
              <w:right w:val="single" w:sz="4" w:space="0" w:color="auto"/>
            </w:tcBorders>
            <w:shd w:val="clear" w:color="FFFFFF" w:fill="FFFFFF"/>
            <w:vAlign w:val="center"/>
            <w:hideMark/>
          </w:tcPr>
          <w:p w14:paraId="3C7697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Konventa ndërmjet Komunitetit Ekonomik Evropian, Republikës së Austrisë, Republikës së Finlandës, Republikës së Islandës, Mbretërisë së Norvegjisë, Mbretërisë së Suedisë dhe Konfederatës Zvicerane për një procedurë të përbashkët tranziti</w:t>
            </w:r>
          </w:p>
        </w:tc>
        <w:tc>
          <w:tcPr>
            <w:tcW w:w="668" w:type="pct"/>
            <w:tcBorders>
              <w:top w:val="nil"/>
              <w:left w:val="nil"/>
              <w:bottom w:val="single" w:sz="4" w:space="0" w:color="auto"/>
              <w:right w:val="single" w:sz="4" w:space="0" w:color="auto"/>
            </w:tcBorders>
            <w:shd w:val="clear" w:color="auto" w:fill="auto"/>
            <w:vAlign w:val="center"/>
            <w:hideMark/>
          </w:tcPr>
          <w:p w14:paraId="2CA27D8F" w14:textId="77777777" w:rsidR="00482167" w:rsidRPr="006D6BE5" w:rsidRDefault="00E63D69" w:rsidP="00A7241A">
            <w:pPr>
              <w:rPr>
                <w:rFonts w:ascii="Arial" w:hAnsi="Arial" w:cs="Arial"/>
                <w:color w:val="0563C1"/>
                <w:sz w:val="4"/>
                <w:szCs w:val="8"/>
                <w:u w:val="single"/>
                <w:lang w:val="sq-AL"/>
              </w:rPr>
            </w:pPr>
            <w:hyperlink r:id="rId153" w:history="1">
              <w:r w:rsidR="00482167" w:rsidRPr="006D6BE5">
                <w:rPr>
                  <w:rFonts w:ascii="Arial" w:hAnsi="Arial" w:cs="Arial"/>
                  <w:color w:val="0563C1"/>
                  <w:sz w:val="4"/>
                  <w:szCs w:val="8"/>
                  <w:u w:val="single"/>
                  <w:lang w:val="sq-AL"/>
                </w:rPr>
                <w:t>https://eur-lex.europa.eu/legal-content/EN/AUTO/?uri=CELEX:01987A0813(01)-20220825</w:t>
              </w:r>
            </w:hyperlink>
          </w:p>
        </w:tc>
        <w:tc>
          <w:tcPr>
            <w:tcW w:w="506" w:type="pct"/>
            <w:tcBorders>
              <w:top w:val="nil"/>
              <w:left w:val="nil"/>
              <w:bottom w:val="single" w:sz="4" w:space="0" w:color="auto"/>
              <w:right w:val="single" w:sz="4" w:space="0" w:color="auto"/>
            </w:tcBorders>
            <w:shd w:val="clear" w:color="auto" w:fill="auto"/>
            <w:vAlign w:val="center"/>
            <w:hideMark/>
          </w:tcPr>
          <w:p w14:paraId="70B79A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4EB04D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procedurën e tranzitit të përbashkët"</w:t>
            </w:r>
          </w:p>
        </w:tc>
        <w:tc>
          <w:tcPr>
            <w:tcW w:w="330" w:type="pct"/>
            <w:tcBorders>
              <w:top w:val="nil"/>
              <w:left w:val="nil"/>
              <w:bottom w:val="single" w:sz="4" w:space="0" w:color="auto"/>
              <w:right w:val="single" w:sz="4" w:space="0" w:color="auto"/>
            </w:tcBorders>
            <w:shd w:val="clear" w:color="auto" w:fill="auto"/>
            <w:vAlign w:val="center"/>
            <w:hideMark/>
          </w:tcPr>
          <w:p w14:paraId="5C98A40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Tranzit i mallrave</w:t>
            </w:r>
          </w:p>
        </w:tc>
        <w:tc>
          <w:tcPr>
            <w:tcW w:w="126" w:type="pct"/>
            <w:tcBorders>
              <w:top w:val="nil"/>
              <w:left w:val="nil"/>
              <w:bottom w:val="single" w:sz="4" w:space="0" w:color="auto"/>
              <w:right w:val="single" w:sz="4" w:space="0" w:color="auto"/>
            </w:tcBorders>
            <w:shd w:val="clear" w:color="auto" w:fill="auto"/>
            <w:vAlign w:val="center"/>
            <w:hideMark/>
          </w:tcPr>
          <w:p w14:paraId="66D953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A5976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533A9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9E755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AC6A8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24389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4050B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0852E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061B3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F315D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3E90C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A34B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98AC9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7814B9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A075B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74697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A4127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Rrugor</w:t>
            </w:r>
          </w:p>
        </w:tc>
        <w:tc>
          <w:tcPr>
            <w:tcW w:w="171" w:type="pct"/>
            <w:tcBorders>
              <w:top w:val="nil"/>
              <w:left w:val="nil"/>
              <w:bottom w:val="single" w:sz="4" w:space="0" w:color="auto"/>
              <w:right w:val="single" w:sz="4" w:space="0" w:color="auto"/>
            </w:tcBorders>
            <w:shd w:val="clear" w:color="FFFFFF" w:fill="FFFFFF"/>
            <w:vAlign w:val="center"/>
            <w:hideMark/>
          </w:tcPr>
          <w:p w14:paraId="20856B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98B5E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2009/33/EC e Parlamentit Evropian dhe e Këshillit e datës 23 Prill 2009 për promovimin e mjeteve të transportit rrugor të pastër në mbështetje të lëvizshmërisë me emetim të ulët.</w:t>
            </w:r>
          </w:p>
        </w:tc>
        <w:tc>
          <w:tcPr>
            <w:tcW w:w="668" w:type="pct"/>
            <w:tcBorders>
              <w:top w:val="nil"/>
              <w:left w:val="nil"/>
              <w:bottom w:val="single" w:sz="4" w:space="0" w:color="auto"/>
              <w:right w:val="single" w:sz="4" w:space="0" w:color="auto"/>
            </w:tcBorders>
            <w:shd w:val="clear" w:color="auto" w:fill="auto"/>
            <w:vAlign w:val="center"/>
            <w:hideMark/>
          </w:tcPr>
          <w:p w14:paraId="32AB0189" w14:textId="77777777" w:rsidR="00482167" w:rsidRPr="006D6BE5" w:rsidRDefault="00E63D69" w:rsidP="00A7241A">
            <w:pPr>
              <w:rPr>
                <w:rFonts w:ascii="Arial" w:hAnsi="Arial" w:cs="Arial"/>
                <w:color w:val="0563C1"/>
                <w:sz w:val="4"/>
                <w:szCs w:val="8"/>
                <w:u w:val="single"/>
                <w:lang w:val="sq-AL"/>
              </w:rPr>
            </w:pPr>
            <w:hyperlink r:id="rId154" w:history="1">
              <w:r w:rsidR="00482167" w:rsidRPr="006D6BE5">
                <w:rPr>
                  <w:rFonts w:ascii="Arial" w:hAnsi="Arial" w:cs="Arial"/>
                  <w:color w:val="0563C1"/>
                  <w:sz w:val="4"/>
                  <w:szCs w:val="8"/>
                  <w:u w:val="single"/>
                  <w:lang w:val="sq-AL"/>
                </w:rPr>
                <w:t xml:space="preserve">https://eur-lex.europa.eu/legal-content/EN/ALL/?uri=celex%3A32009L0033 </w:t>
              </w:r>
            </w:hyperlink>
          </w:p>
        </w:tc>
        <w:tc>
          <w:tcPr>
            <w:tcW w:w="506" w:type="pct"/>
            <w:tcBorders>
              <w:top w:val="nil"/>
              <w:left w:val="nil"/>
              <w:bottom w:val="single" w:sz="4" w:space="0" w:color="auto"/>
              <w:right w:val="single" w:sz="4" w:space="0" w:color="auto"/>
            </w:tcBorders>
            <w:shd w:val="clear" w:color="FFFFFF" w:fill="FFFFFF"/>
            <w:vAlign w:val="center"/>
            <w:hideMark/>
          </w:tcPr>
          <w:p w14:paraId="6566A1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D418B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 Për promovimin e mjeteve të pastra të transportit rrugor"</w:t>
            </w:r>
          </w:p>
        </w:tc>
        <w:tc>
          <w:tcPr>
            <w:tcW w:w="330" w:type="pct"/>
            <w:tcBorders>
              <w:top w:val="nil"/>
              <w:left w:val="nil"/>
              <w:bottom w:val="single" w:sz="4" w:space="0" w:color="auto"/>
              <w:right w:val="single" w:sz="4" w:space="0" w:color="auto"/>
            </w:tcBorders>
            <w:shd w:val="clear" w:color="FFFFFF" w:fill="FFFFFF"/>
            <w:vAlign w:val="center"/>
            <w:hideMark/>
          </w:tcPr>
          <w:p w14:paraId="4684D2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harmonizojnë praktikat dhe tendencat në sektorin e transportit rrugor me objektivat më të gjera të promovimit të qëndrueshmërisë dhe efikasitetit të energjisë</w:t>
            </w:r>
          </w:p>
        </w:tc>
        <w:tc>
          <w:tcPr>
            <w:tcW w:w="126" w:type="pct"/>
            <w:tcBorders>
              <w:top w:val="nil"/>
              <w:left w:val="nil"/>
              <w:bottom w:val="single" w:sz="4" w:space="0" w:color="auto"/>
              <w:right w:val="single" w:sz="4" w:space="0" w:color="auto"/>
            </w:tcBorders>
            <w:shd w:val="clear" w:color="FFFFFF" w:fill="FFFFFF"/>
            <w:vAlign w:val="center"/>
            <w:hideMark/>
          </w:tcPr>
          <w:p w14:paraId="7085B4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47C10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368045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1F12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BAC51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CB41E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501AE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7C94D9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559EE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6280A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1DE1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4F01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3F635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E8F75A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63E2A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A03EF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4132E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Rrugor</w:t>
            </w:r>
          </w:p>
        </w:tc>
        <w:tc>
          <w:tcPr>
            <w:tcW w:w="171" w:type="pct"/>
            <w:tcBorders>
              <w:top w:val="nil"/>
              <w:left w:val="nil"/>
              <w:bottom w:val="single" w:sz="4" w:space="0" w:color="auto"/>
              <w:right w:val="single" w:sz="4" w:space="0" w:color="auto"/>
            </w:tcBorders>
            <w:shd w:val="clear" w:color="FFFFFF" w:fill="FFFFFF"/>
            <w:vAlign w:val="center"/>
            <w:hideMark/>
          </w:tcPr>
          <w:p w14:paraId="0EE49E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3A78C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2019/1161 e Parlamentit Evropian dhe e Këshillit e datës 20 qershor 2019 që ndryshon Direktivën 2009/33/KE për promovimin e mjeteve të transportit rrugor të pastra dhe me efikasitet energjetik."</w:t>
            </w:r>
          </w:p>
        </w:tc>
        <w:tc>
          <w:tcPr>
            <w:tcW w:w="668" w:type="pct"/>
            <w:tcBorders>
              <w:top w:val="nil"/>
              <w:left w:val="nil"/>
              <w:bottom w:val="single" w:sz="4" w:space="0" w:color="auto"/>
              <w:right w:val="single" w:sz="4" w:space="0" w:color="auto"/>
            </w:tcBorders>
            <w:shd w:val="clear" w:color="auto" w:fill="auto"/>
            <w:vAlign w:val="center"/>
            <w:hideMark/>
          </w:tcPr>
          <w:p w14:paraId="7DD6C154" w14:textId="77777777" w:rsidR="00482167" w:rsidRPr="006D6BE5" w:rsidRDefault="00E63D69" w:rsidP="00A7241A">
            <w:pPr>
              <w:rPr>
                <w:rFonts w:ascii="Arial" w:hAnsi="Arial" w:cs="Arial"/>
                <w:color w:val="0563C1"/>
                <w:sz w:val="4"/>
                <w:szCs w:val="8"/>
                <w:u w:val="single"/>
                <w:lang w:val="sq-AL"/>
              </w:rPr>
            </w:pPr>
            <w:hyperlink r:id="rId155" w:history="1">
              <w:r w:rsidR="00482167" w:rsidRPr="006D6BE5">
                <w:rPr>
                  <w:rFonts w:ascii="Arial" w:hAnsi="Arial" w:cs="Arial"/>
                  <w:color w:val="0563C1"/>
                  <w:sz w:val="4"/>
                  <w:szCs w:val="8"/>
                  <w:u w:val="single"/>
                  <w:lang w:val="sq-AL"/>
                </w:rPr>
                <w:t>https://eur-lex.europa.eu/legal-content/en/ALL/?uri=CELEX%3A32019L1161</w:t>
              </w:r>
            </w:hyperlink>
          </w:p>
        </w:tc>
        <w:tc>
          <w:tcPr>
            <w:tcW w:w="506" w:type="pct"/>
            <w:tcBorders>
              <w:top w:val="nil"/>
              <w:left w:val="nil"/>
              <w:bottom w:val="single" w:sz="4" w:space="0" w:color="auto"/>
              <w:right w:val="single" w:sz="4" w:space="0" w:color="auto"/>
            </w:tcBorders>
            <w:shd w:val="clear" w:color="FFFFFF" w:fill="FFFFFF"/>
            <w:vAlign w:val="center"/>
            <w:hideMark/>
          </w:tcPr>
          <w:p w14:paraId="32C3B4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8E96A8F" w14:textId="7F7EFE9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promovimin e mjeteve të pastra të transportit rrugor"</w:t>
            </w:r>
          </w:p>
        </w:tc>
        <w:tc>
          <w:tcPr>
            <w:tcW w:w="330" w:type="pct"/>
            <w:tcBorders>
              <w:top w:val="nil"/>
              <w:left w:val="nil"/>
              <w:bottom w:val="single" w:sz="4" w:space="0" w:color="auto"/>
              <w:right w:val="single" w:sz="4" w:space="0" w:color="auto"/>
            </w:tcBorders>
            <w:shd w:val="clear" w:color="FFFFFF" w:fill="FFFFFF"/>
            <w:vAlign w:val="center"/>
            <w:hideMark/>
          </w:tcPr>
          <w:p w14:paraId="4DA9AF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Të harmonizojnë praktikat dhe tendencat në sektorin e transportit rrugor me objektivat më të gjera të promovimit të qëndrueshmërisë dhe efikasitetit të energjisë</w:t>
            </w:r>
          </w:p>
        </w:tc>
        <w:tc>
          <w:tcPr>
            <w:tcW w:w="126" w:type="pct"/>
            <w:tcBorders>
              <w:top w:val="nil"/>
              <w:left w:val="nil"/>
              <w:bottom w:val="single" w:sz="4" w:space="0" w:color="auto"/>
              <w:right w:val="single" w:sz="4" w:space="0" w:color="auto"/>
            </w:tcBorders>
            <w:shd w:val="clear" w:color="FFFFFF" w:fill="FFFFFF"/>
            <w:vAlign w:val="center"/>
            <w:hideMark/>
          </w:tcPr>
          <w:p w14:paraId="01B869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ABC1B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3D6764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429970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37853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A21E2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109CD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001884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79114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3D680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1D67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1B84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0AED7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E187FC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0A0EA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84C17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A2F67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Rrugor</w:t>
            </w:r>
          </w:p>
        </w:tc>
        <w:tc>
          <w:tcPr>
            <w:tcW w:w="171" w:type="pct"/>
            <w:tcBorders>
              <w:top w:val="nil"/>
              <w:left w:val="nil"/>
              <w:bottom w:val="single" w:sz="4" w:space="0" w:color="auto"/>
              <w:right w:val="single" w:sz="4" w:space="0" w:color="auto"/>
            </w:tcBorders>
            <w:shd w:val="clear" w:color="FFFFFF" w:fill="FFFFFF"/>
            <w:vAlign w:val="center"/>
            <w:hideMark/>
          </w:tcPr>
          <w:p w14:paraId="57AD90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89693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2014/94/BE e Parlamentit Evropian dhe e Këshillit e datës 22 tetor 2014 mbi vendosjen e infrastrukturës së karburanteve alternative.</w:t>
            </w:r>
          </w:p>
        </w:tc>
        <w:tc>
          <w:tcPr>
            <w:tcW w:w="668" w:type="pct"/>
            <w:tcBorders>
              <w:top w:val="nil"/>
              <w:left w:val="nil"/>
              <w:bottom w:val="single" w:sz="4" w:space="0" w:color="auto"/>
              <w:right w:val="single" w:sz="4" w:space="0" w:color="auto"/>
            </w:tcBorders>
            <w:shd w:val="clear" w:color="auto" w:fill="auto"/>
            <w:vAlign w:val="center"/>
            <w:hideMark/>
          </w:tcPr>
          <w:p w14:paraId="0397251F" w14:textId="77777777" w:rsidR="00482167" w:rsidRPr="006D6BE5" w:rsidRDefault="00E63D69" w:rsidP="00A7241A">
            <w:pPr>
              <w:rPr>
                <w:rFonts w:ascii="Arial" w:hAnsi="Arial" w:cs="Arial"/>
                <w:color w:val="0563C1"/>
                <w:sz w:val="4"/>
                <w:szCs w:val="8"/>
                <w:u w:val="single"/>
                <w:lang w:val="sq-AL"/>
              </w:rPr>
            </w:pPr>
            <w:hyperlink r:id="rId156" w:history="1">
              <w:r w:rsidR="00482167" w:rsidRPr="006D6BE5">
                <w:rPr>
                  <w:rFonts w:ascii="Arial" w:hAnsi="Arial" w:cs="Arial"/>
                  <w:color w:val="0563C1"/>
                  <w:sz w:val="4"/>
                  <w:szCs w:val="8"/>
                  <w:u w:val="single"/>
                  <w:lang w:val="sq-AL"/>
                </w:rPr>
                <w:t>https://eur-lex.europa.eu/legal-content/en/TXT/?uri=CELEX%3A32014L0094</w:t>
              </w:r>
            </w:hyperlink>
          </w:p>
        </w:tc>
        <w:tc>
          <w:tcPr>
            <w:tcW w:w="506" w:type="pct"/>
            <w:tcBorders>
              <w:top w:val="nil"/>
              <w:left w:val="nil"/>
              <w:bottom w:val="single" w:sz="4" w:space="0" w:color="auto"/>
              <w:right w:val="single" w:sz="4" w:space="0" w:color="auto"/>
            </w:tcBorders>
            <w:shd w:val="clear" w:color="FFFFFF" w:fill="FFFFFF"/>
            <w:vAlign w:val="center"/>
            <w:hideMark/>
          </w:tcPr>
          <w:p w14:paraId="5877B8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3E847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udhëzim i Ministrit të Infrastrukturës dhe Energjisë "Për Transportin e qëndrueshëm: Zbatimi në infrastrukturën e karburanteve alternative"</w:t>
            </w:r>
          </w:p>
        </w:tc>
        <w:tc>
          <w:tcPr>
            <w:tcW w:w="330" w:type="pct"/>
            <w:tcBorders>
              <w:top w:val="nil"/>
              <w:left w:val="nil"/>
              <w:bottom w:val="single" w:sz="4" w:space="0" w:color="auto"/>
              <w:right w:val="single" w:sz="4" w:space="0" w:color="auto"/>
            </w:tcBorders>
            <w:shd w:val="clear" w:color="auto" w:fill="auto"/>
            <w:vAlign w:val="center"/>
            <w:hideMark/>
          </w:tcPr>
          <w:p w14:paraId="010584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Hartimi i një akti nënligjor për karburantet alternative mund të kontribuojë ndjeshëm në promovimin e praktikave të qëndrueshme dhe miqësore me mjedisin në komunitetin. Synohet të përcaktohet një kuadër të përbashkët masash për vendosjen e infrastrukturës së karburanteve alternative me qëllim minimizimin e varësisë nga nafta dhe zbutjen e ndikimit mjedisor të transportit. Përcakton kërkesat minimale për ndërtimin e infrastrukturës së karburanteve alternative, duke përfshirë pikat e rimbushjes për automjetet elektrike dhe pikat e karburantit për gazin natyror dhe hidrogjenin, si dhe specifikimet teknike të përbashkëta për pika të tilla rimbushjeje dhe karburanti, dhe kërkesat e informacionit të përdoruesit.</w:t>
            </w:r>
          </w:p>
        </w:tc>
        <w:tc>
          <w:tcPr>
            <w:tcW w:w="126" w:type="pct"/>
            <w:tcBorders>
              <w:top w:val="nil"/>
              <w:left w:val="nil"/>
              <w:bottom w:val="single" w:sz="4" w:space="0" w:color="auto"/>
              <w:right w:val="single" w:sz="4" w:space="0" w:color="auto"/>
            </w:tcBorders>
            <w:shd w:val="clear" w:color="FFFFFF" w:fill="FFFFFF"/>
            <w:vAlign w:val="center"/>
            <w:hideMark/>
          </w:tcPr>
          <w:p w14:paraId="4BBE25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58A7DF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3B31EE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589F4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865A0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DB8CA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53277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C10C39D" w14:textId="0E9F170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3,600 </w:t>
            </w:r>
          </w:p>
        </w:tc>
        <w:tc>
          <w:tcPr>
            <w:tcW w:w="117" w:type="pct"/>
            <w:tcBorders>
              <w:top w:val="nil"/>
              <w:left w:val="nil"/>
              <w:bottom w:val="single" w:sz="4" w:space="0" w:color="auto"/>
              <w:right w:val="single" w:sz="4" w:space="0" w:color="auto"/>
            </w:tcBorders>
            <w:shd w:val="clear" w:color="FFFFFF" w:fill="FFFFFF"/>
            <w:vAlign w:val="center"/>
            <w:hideMark/>
          </w:tcPr>
          <w:p w14:paraId="2A2D58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8B065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31D7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2DF5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736D8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5C4E29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CEA83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BCA7F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280C0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Rrugor</w:t>
            </w:r>
          </w:p>
        </w:tc>
        <w:tc>
          <w:tcPr>
            <w:tcW w:w="171" w:type="pct"/>
            <w:tcBorders>
              <w:top w:val="nil"/>
              <w:left w:val="nil"/>
              <w:bottom w:val="single" w:sz="4" w:space="0" w:color="auto"/>
              <w:right w:val="single" w:sz="4" w:space="0" w:color="auto"/>
            </w:tcBorders>
            <w:shd w:val="clear" w:color="FFFFFF" w:fill="FFFFFF"/>
            <w:vAlign w:val="center"/>
            <w:hideMark/>
          </w:tcPr>
          <w:p w14:paraId="406F3B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63834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165/2014 e Parlamentit Evropian dhe e Këshillit e datës 4 shkurt 2014 mbi tahografët në transportin rrugor, duke shfuqizuar Rregulloren e Këshillit (EEC) Nr. 3821/85 për pajisjet e regjistrimit në transportin rrugor dhe duke ndryshuar Rregulloren (KE) Nr. /2006 e Parlamentit Evropian dhe e Këshillit për harmonizimin e legjislacionit të caktuar social në lidhje me transportin rrugor.</w:t>
            </w:r>
          </w:p>
        </w:tc>
        <w:tc>
          <w:tcPr>
            <w:tcW w:w="668" w:type="pct"/>
            <w:tcBorders>
              <w:top w:val="nil"/>
              <w:left w:val="nil"/>
              <w:bottom w:val="single" w:sz="4" w:space="0" w:color="auto"/>
              <w:right w:val="single" w:sz="4" w:space="0" w:color="auto"/>
            </w:tcBorders>
            <w:shd w:val="clear" w:color="auto" w:fill="auto"/>
            <w:vAlign w:val="center"/>
            <w:hideMark/>
          </w:tcPr>
          <w:p w14:paraId="35483ACA" w14:textId="77777777" w:rsidR="00482167" w:rsidRPr="006D6BE5" w:rsidRDefault="00E63D69" w:rsidP="00A7241A">
            <w:pPr>
              <w:rPr>
                <w:rFonts w:ascii="Arial" w:hAnsi="Arial" w:cs="Arial"/>
                <w:color w:val="0563C1"/>
                <w:sz w:val="4"/>
                <w:szCs w:val="8"/>
                <w:u w:val="single"/>
                <w:lang w:val="sq-AL"/>
              </w:rPr>
            </w:pPr>
            <w:hyperlink r:id="rId157" w:history="1">
              <w:r w:rsidR="00482167" w:rsidRPr="006D6BE5">
                <w:rPr>
                  <w:rFonts w:ascii="Arial" w:hAnsi="Arial" w:cs="Arial"/>
                  <w:color w:val="0563C1"/>
                  <w:sz w:val="4"/>
                  <w:szCs w:val="8"/>
                  <w:u w:val="single"/>
                  <w:lang w:val="sq-AL"/>
                </w:rPr>
                <w:t xml:space="preserve">https://eur-lex.europa.eu/eli/reg/2014/165/oj </w:t>
              </w:r>
            </w:hyperlink>
          </w:p>
        </w:tc>
        <w:tc>
          <w:tcPr>
            <w:tcW w:w="506" w:type="pct"/>
            <w:tcBorders>
              <w:top w:val="nil"/>
              <w:left w:val="nil"/>
              <w:bottom w:val="single" w:sz="4" w:space="0" w:color="auto"/>
              <w:right w:val="single" w:sz="4" w:space="0" w:color="auto"/>
            </w:tcBorders>
            <w:shd w:val="clear" w:color="FFFFFF" w:fill="FFFFFF"/>
            <w:vAlign w:val="center"/>
            <w:hideMark/>
          </w:tcPr>
          <w:p w14:paraId="2F042E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E7C8D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udhëzim i Ministrit të Infrastrukturës dhe Energjisë "Për disa shtesa dhe ndryshime në Udhëzimin nr. 4, datë 27.05.2014 “Mbi kërkesat teknike dhe standardet e operimit të ofiçinës (Qendrës Teknike) së autorizuar të Tahografit"</w:t>
            </w:r>
          </w:p>
        </w:tc>
        <w:tc>
          <w:tcPr>
            <w:tcW w:w="330" w:type="pct"/>
            <w:tcBorders>
              <w:top w:val="nil"/>
              <w:left w:val="nil"/>
              <w:bottom w:val="single" w:sz="4" w:space="0" w:color="auto"/>
              <w:right w:val="single" w:sz="4" w:space="0" w:color="auto"/>
            </w:tcBorders>
            <w:shd w:val="clear" w:color="FFFFFF" w:fill="FFFFFF"/>
            <w:vAlign w:val="center"/>
            <w:hideMark/>
          </w:tcPr>
          <w:p w14:paraId="1B5CCD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Standardet teknike dhe kriteret operacionale për Ofiçinat e autorizuara të tahografit (Qendrat teknike) në përputhje me avancimet e tahografit inteligjent</w:t>
            </w:r>
          </w:p>
        </w:tc>
        <w:tc>
          <w:tcPr>
            <w:tcW w:w="126" w:type="pct"/>
            <w:tcBorders>
              <w:top w:val="nil"/>
              <w:left w:val="nil"/>
              <w:bottom w:val="single" w:sz="4" w:space="0" w:color="auto"/>
              <w:right w:val="single" w:sz="4" w:space="0" w:color="auto"/>
            </w:tcBorders>
            <w:shd w:val="clear" w:color="FFFFFF" w:fill="FFFFFF"/>
            <w:vAlign w:val="center"/>
            <w:hideMark/>
          </w:tcPr>
          <w:p w14:paraId="5242C2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630FB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00263D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 / DPSHTRR</w:t>
            </w:r>
          </w:p>
        </w:tc>
        <w:tc>
          <w:tcPr>
            <w:tcW w:w="113" w:type="pct"/>
            <w:tcBorders>
              <w:top w:val="nil"/>
              <w:left w:val="nil"/>
              <w:bottom w:val="single" w:sz="4" w:space="0" w:color="auto"/>
              <w:right w:val="single" w:sz="4" w:space="0" w:color="auto"/>
            </w:tcBorders>
            <w:shd w:val="clear" w:color="FFFFFF" w:fill="FFFFFF"/>
            <w:vAlign w:val="center"/>
            <w:hideMark/>
          </w:tcPr>
          <w:p w14:paraId="5600E1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7AD429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85374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4B228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1B6D6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E3CE4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3,600 </w:t>
            </w:r>
          </w:p>
        </w:tc>
        <w:tc>
          <w:tcPr>
            <w:tcW w:w="129" w:type="pct"/>
            <w:tcBorders>
              <w:top w:val="nil"/>
              <w:left w:val="nil"/>
              <w:bottom w:val="single" w:sz="4" w:space="0" w:color="auto"/>
              <w:right w:val="single" w:sz="4" w:space="0" w:color="auto"/>
            </w:tcBorders>
            <w:shd w:val="clear" w:color="FFFFFF" w:fill="FFFFFF"/>
            <w:vAlign w:val="center"/>
            <w:hideMark/>
          </w:tcPr>
          <w:p w14:paraId="511960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594EF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DB864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5ED90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EB5693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366D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C0C6C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3AF48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rrugore</w:t>
            </w:r>
          </w:p>
        </w:tc>
        <w:tc>
          <w:tcPr>
            <w:tcW w:w="171" w:type="pct"/>
            <w:tcBorders>
              <w:top w:val="nil"/>
              <w:left w:val="nil"/>
              <w:bottom w:val="single" w:sz="4" w:space="0" w:color="auto"/>
              <w:right w:val="single" w:sz="4" w:space="0" w:color="auto"/>
            </w:tcBorders>
            <w:shd w:val="clear" w:color="FFFFFF" w:fill="FFFFFF"/>
            <w:vAlign w:val="center"/>
            <w:hideMark/>
          </w:tcPr>
          <w:p w14:paraId="4674C1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81F1A32" w14:textId="7FD24B6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Keshillit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96/53/EC e 25 Korrik 1996 qe percakton per disa lloje mjetesh qe qarkullojne brenda Komunitetit dimensionet maksimale te autorizuara ne trafikun kombetar dhe nderkombetar dhe peshat maksimale te autorizuara ne trafikun nderkombetar </w:t>
            </w:r>
          </w:p>
        </w:tc>
        <w:tc>
          <w:tcPr>
            <w:tcW w:w="668" w:type="pct"/>
            <w:tcBorders>
              <w:top w:val="nil"/>
              <w:left w:val="nil"/>
              <w:bottom w:val="single" w:sz="4" w:space="0" w:color="auto"/>
              <w:right w:val="single" w:sz="4" w:space="0" w:color="auto"/>
            </w:tcBorders>
            <w:shd w:val="clear" w:color="auto" w:fill="auto"/>
            <w:vAlign w:val="center"/>
            <w:hideMark/>
          </w:tcPr>
          <w:p w14:paraId="2C3C970E" w14:textId="77777777" w:rsidR="00482167" w:rsidRPr="006D6BE5" w:rsidRDefault="00E63D69" w:rsidP="00A7241A">
            <w:pPr>
              <w:rPr>
                <w:rFonts w:ascii="Arial" w:hAnsi="Arial" w:cs="Arial"/>
                <w:color w:val="0563C1"/>
                <w:sz w:val="4"/>
                <w:szCs w:val="8"/>
                <w:u w:val="single"/>
                <w:lang w:val="sq-AL"/>
              </w:rPr>
            </w:pPr>
            <w:hyperlink r:id="rId158" w:history="1">
              <w:r w:rsidR="00482167" w:rsidRPr="006D6BE5">
                <w:rPr>
                  <w:rFonts w:ascii="Arial" w:hAnsi="Arial" w:cs="Arial"/>
                  <w:color w:val="0563C1"/>
                  <w:sz w:val="4"/>
                  <w:szCs w:val="8"/>
                  <w:u w:val="single"/>
                  <w:lang w:val="sq-AL"/>
                </w:rPr>
                <w:t xml:space="preserve">https://eur-lex.europa.eu/legal-content/EN/TXT/?uri=CELEX%3A01996L0053-20190814 </w:t>
              </w:r>
            </w:hyperlink>
          </w:p>
        </w:tc>
        <w:tc>
          <w:tcPr>
            <w:tcW w:w="506" w:type="pct"/>
            <w:tcBorders>
              <w:top w:val="nil"/>
              <w:left w:val="nil"/>
              <w:bottom w:val="single" w:sz="4" w:space="0" w:color="auto"/>
              <w:right w:val="single" w:sz="4" w:space="0" w:color="auto"/>
            </w:tcBorders>
            <w:shd w:val="clear" w:color="FFFFFF" w:fill="FFFFFF"/>
            <w:vAlign w:val="center"/>
            <w:hideMark/>
          </w:tcPr>
          <w:p w14:paraId="2B7BB1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3679F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disa ndryshime ne ligjin No. 8378, date 22.7.1998, "Kodi Rrugor I Republikes se Shqiperise ", I ndryshuar</w:t>
            </w:r>
          </w:p>
        </w:tc>
        <w:tc>
          <w:tcPr>
            <w:tcW w:w="330" w:type="pct"/>
            <w:tcBorders>
              <w:top w:val="nil"/>
              <w:left w:val="nil"/>
              <w:bottom w:val="single" w:sz="4" w:space="0" w:color="auto"/>
              <w:right w:val="single" w:sz="4" w:space="0" w:color="auto"/>
            </w:tcBorders>
            <w:shd w:val="clear" w:color="FFFFFF" w:fill="FFFFFF"/>
            <w:vAlign w:val="center"/>
            <w:hideMark/>
          </w:tcPr>
          <w:p w14:paraId="794BEB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dispozitiva të Kodit ne lidhje me permasat gabarite dhe peshat</w:t>
            </w:r>
          </w:p>
        </w:tc>
        <w:tc>
          <w:tcPr>
            <w:tcW w:w="126" w:type="pct"/>
            <w:tcBorders>
              <w:top w:val="nil"/>
              <w:left w:val="nil"/>
              <w:bottom w:val="single" w:sz="4" w:space="0" w:color="auto"/>
              <w:right w:val="single" w:sz="4" w:space="0" w:color="auto"/>
            </w:tcBorders>
            <w:shd w:val="clear" w:color="FFFFFF" w:fill="FFFFFF"/>
            <w:vAlign w:val="center"/>
            <w:hideMark/>
          </w:tcPr>
          <w:p w14:paraId="709F8D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407FB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14D09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36904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EDFFA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19E93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B8EA6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A8B75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32F5F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B7139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C073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191B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13378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7DBE21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0930F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4B8CA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04E6A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rrugore</w:t>
            </w:r>
          </w:p>
        </w:tc>
        <w:tc>
          <w:tcPr>
            <w:tcW w:w="171" w:type="pct"/>
            <w:tcBorders>
              <w:top w:val="nil"/>
              <w:left w:val="nil"/>
              <w:bottom w:val="single" w:sz="4" w:space="0" w:color="auto"/>
              <w:right w:val="single" w:sz="4" w:space="0" w:color="auto"/>
            </w:tcBorders>
            <w:shd w:val="clear" w:color="FFFFFF" w:fill="FFFFFF"/>
            <w:vAlign w:val="center"/>
            <w:hideMark/>
          </w:tcPr>
          <w:p w14:paraId="2B65E4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F09F0E9" w14:textId="37001C8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Keshillit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96/53/EC e 25 Korrik 1996 qe percakton per disa lloje mjetesh qe qarkullojne brenda Komunitetit dimensionet maksimale te autorizuara ne trafikun kombetar dhe nderkombetar dhe peshat maksimale te autorizuara ne trafikun nderkombetar </w:t>
            </w:r>
          </w:p>
        </w:tc>
        <w:tc>
          <w:tcPr>
            <w:tcW w:w="668" w:type="pct"/>
            <w:tcBorders>
              <w:top w:val="nil"/>
              <w:left w:val="nil"/>
              <w:bottom w:val="single" w:sz="4" w:space="0" w:color="auto"/>
              <w:right w:val="single" w:sz="4" w:space="0" w:color="auto"/>
            </w:tcBorders>
            <w:shd w:val="clear" w:color="auto" w:fill="auto"/>
            <w:vAlign w:val="center"/>
            <w:hideMark/>
          </w:tcPr>
          <w:p w14:paraId="3B6C19CC" w14:textId="77777777" w:rsidR="00482167" w:rsidRPr="006D6BE5" w:rsidRDefault="00E63D69" w:rsidP="00A7241A">
            <w:pPr>
              <w:rPr>
                <w:rFonts w:ascii="Arial" w:hAnsi="Arial" w:cs="Arial"/>
                <w:color w:val="0563C1"/>
                <w:sz w:val="4"/>
                <w:szCs w:val="8"/>
                <w:u w:val="single"/>
                <w:lang w:val="sq-AL"/>
              </w:rPr>
            </w:pPr>
            <w:hyperlink r:id="rId159" w:history="1">
              <w:r w:rsidR="00482167" w:rsidRPr="006D6BE5">
                <w:rPr>
                  <w:rFonts w:ascii="Arial" w:hAnsi="Arial" w:cs="Arial"/>
                  <w:color w:val="0563C1"/>
                  <w:sz w:val="4"/>
                  <w:szCs w:val="8"/>
                  <w:u w:val="single"/>
                  <w:lang w:val="sq-AL"/>
                </w:rPr>
                <w:t xml:space="preserve">https://eur-lex.europa.eu/legal-content/EN/TXT/?uri=CELEX%3A01996L0053-20190814 </w:t>
              </w:r>
            </w:hyperlink>
          </w:p>
        </w:tc>
        <w:tc>
          <w:tcPr>
            <w:tcW w:w="506" w:type="pct"/>
            <w:tcBorders>
              <w:top w:val="nil"/>
              <w:left w:val="nil"/>
              <w:bottom w:val="single" w:sz="4" w:space="0" w:color="auto"/>
              <w:right w:val="single" w:sz="4" w:space="0" w:color="auto"/>
            </w:tcBorders>
            <w:shd w:val="clear" w:color="FFFFFF" w:fill="FFFFFF"/>
            <w:vAlign w:val="center"/>
            <w:hideMark/>
          </w:tcPr>
          <w:p w14:paraId="3D268A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A97EB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"Per disa ndryshime ne VKM Nr.153, datë 7.4.2000 “Për miratimin e rregullores së zbatimit të Kodit Rrugor të Republikës së Shqipërisë”, e ndryshuar</w:t>
            </w:r>
          </w:p>
        </w:tc>
        <w:tc>
          <w:tcPr>
            <w:tcW w:w="330" w:type="pct"/>
            <w:tcBorders>
              <w:top w:val="nil"/>
              <w:left w:val="nil"/>
              <w:bottom w:val="single" w:sz="4" w:space="0" w:color="auto"/>
              <w:right w:val="single" w:sz="4" w:space="0" w:color="auto"/>
            </w:tcBorders>
            <w:shd w:val="clear" w:color="FFFFFF" w:fill="FFFFFF"/>
            <w:vAlign w:val="center"/>
            <w:hideMark/>
          </w:tcPr>
          <w:p w14:paraId="013850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dispozitiva te Kodit ne lidhje me permasat gabarite dhe peshat</w:t>
            </w:r>
          </w:p>
        </w:tc>
        <w:tc>
          <w:tcPr>
            <w:tcW w:w="126" w:type="pct"/>
            <w:tcBorders>
              <w:top w:val="nil"/>
              <w:left w:val="nil"/>
              <w:bottom w:val="single" w:sz="4" w:space="0" w:color="auto"/>
              <w:right w:val="single" w:sz="4" w:space="0" w:color="auto"/>
            </w:tcBorders>
            <w:shd w:val="clear" w:color="FFFFFF" w:fill="FFFFFF"/>
            <w:vAlign w:val="center"/>
            <w:hideMark/>
          </w:tcPr>
          <w:p w14:paraId="688411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DAF5A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B32C3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5886F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E3023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7DEEE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E7BEE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38662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58580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DAD60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F513E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D98A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6B1A3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8D46DD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97E4B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D2252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8B46D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6CDBF7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DA130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2015/10 e datës 6 janar 2015 mbi kriteret për aplikantët për kapacitetin e infrastrukturës hekurudhore dhe shfuqizimin e Rregullores Zbatuese (BE) Nr. 870/2014,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3BD40714" w14:textId="77777777" w:rsidR="00482167" w:rsidRPr="006D6BE5" w:rsidRDefault="00E63D69" w:rsidP="00A7241A">
            <w:pPr>
              <w:rPr>
                <w:rFonts w:ascii="Arial" w:hAnsi="Arial" w:cs="Arial"/>
                <w:color w:val="0563C1"/>
                <w:sz w:val="4"/>
                <w:szCs w:val="8"/>
                <w:u w:val="single"/>
                <w:lang w:val="sq-AL"/>
              </w:rPr>
            </w:pPr>
            <w:hyperlink r:id="rId160" w:history="1">
              <w:r w:rsidR="00482167" w:rsidRPr="006D6BE5">
                <w:rPr>
                  <w:rFonts w:ascii="Arial" w:hAnsi="Arial" w:cs="Arial"/>
                  <w:color w:val="0563C1"/>
                  <w:sz w:val="4"/>
                  <w:szCs w:val="8"/>
                  <w:u w:val="single"/>
                  <w:lang w:val="sq-AL"/>
                </w:rPr>
                <w:t xml:space="preserve">https://eur-lex.europa.eu/legal-content/EN/TXT/?qid=1558539726276&amp;uri=CELEX:32015R0010 </w:t>
              </w:r>
            </w:hyperlink>
          </w:p>
        </w:tc>
        <w:tc>
          <w:tcPr>
            <w:tcW w:w="506" w:type="pct"/>
            <w:tcBorders>
              <w:top w:val="nil"/>
              <w:left w:val="nil"/>
              <w:bottom w:val="single" w:sz="4" w:space="0" w:color="auto"/>
              <w:right w:val="single" w:sz="4" w:space="0" w:color="auto"/>
            </w:tcBorders>
            <w:shd w:val="clear" w:color="FFFFFF" w:fill="FFFFFF"/>
            <w:vAlign w:val="center"/>
            <w:hideMark/>
          </w:tcPr>
          <w:p w14:paraId="50205B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046860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kriteret e aplikantëve për kapacitetet e infrastrukturës hekurudhore”</w:t>
            </w:r>
          </w:p>
        </w:tc>
        <w:tc>
          <w:tcPr>
            <w:tcW w:w="330" w:type="pct"/>
            <w:tcBorders>
              <w:top w:val="nil"/>
              <w:left w:val="nil"/>
              <w:bottom w:val="single" w:sz="4" w:space="0" w:color="auto"/>
              <w:right w:val="single" w:sz="4" w:space="0" w:color="auto"/>
            </w:tcBorders>
            <w:shd w:val="clear" w:color="auto" w:fill="auto"/>
            <w:vAlign w:val="center"/>
            <w:hideMark/>
          </w:tcPr>
          <w:p w14:paraId="333B57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në zbatim të Kodit Hekurudhor për vendosjen e kritereve për kapaciteteve të infrastrukturës hekurudhore</w:t>
            </w:r>
          </w:p>
        </w:tc>
        <w:tc>
          <w:tcPr>
            <w:tcW w:w="126" w:type="pct"/>
            <w:tcBorders>
              <w:top w:val="nil"/>
              <w:left w:val="nil"/>
              <w:bottom w:val="single" w:sz="4" w:space="0" w:color="auto"/>
              <w:right w:val="single" w:sz="4" w:space="0" w:color="auto"/>
            </w:tcBorders>
            <w:shd w:val="clear" w:color="FFFFFF" w:fill="FFFFFF"/>
            <w:vAlign w:val="center"/>
            <w:hideMark/>
          </w:tcPr>
          <w:p w14:paraId="0695E1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EEDD5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512ED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230ED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A1164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84212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9C313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6BC229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2BF73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5CBAC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19D5A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AC06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E70CF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C6310A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886FC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DA469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7825D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1F3CB0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64671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2016/545 e datës 7 Prill 2016 mbi procedurat dhe kriteret në lidhje me marrëveshjet kuadër për shpërndarjen e kapaciteteve të infrastrukturës hekurudhore (C/2016/1954),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07761D9A" w14:textId="77777777" w:rsidR="00482167" w:rsidRPr="006D6BE5" w:rsidRDefault="00E63D69" w:rsidP="00A7241A">
            <w:pPr>
              <w:rPr>
                <w:rFonts w:ascii="Arial" w:hAnsi="Arial" w:cs="Arial"/>
                <w:color w:val="0563C1"/>
                <w:sz w:val="4"/>
                <w:szCs w:val="8"/>
                <w:u w:val="single"/>
                <w:lang w:val="sq-AL"/>
              </w:rPr>
            </w:pPr>
            <w:hyperlink r:id="rId161" w:history="1">
              <w:r w:rsidR="00482167" w:rsidRPr="006D6BE5">
                <w:rPr>
                  <w:rFonts w:ascii="Arial" w:hAnsi="Arial" w:cs="Arial"/>
                  <w:color w:val="0563C1"/>
                  <w:sz w:val="4"/>
                  <w:szCs w:val="8"/>
                  <w:u w:val="single"/>
                  <w:lang w:val="sq-AL"/>
                </w:rPr>
                <w:t xml:space="preserve">https://eur-lex.europa.eu/legal-content/EN/TXT/?qid=1558539726276&amp;uri=CELEX:32016R0545 </w:t>
              </w:r>
            </w:hyperlink>
          </w:p>
        </w:tc>
        <w:tc>
          <w:tcPr>
            <w:tcW w:w="506" w:type="pct"/>
            <w:tcBorders>
              <w:top w:val="nil"/>
              <w:left w:val="nil"/>
              <w:bottom w:val="single" w:sz="4" w:space="0" w:color="auto"/>
              <w:right w:val="single" w:sz="4" w:space="0" w:color="auto"/>
            </w:tcBorders>
            <w:shd w:val="clear" w:color="FFFFFF" w:fill="FFFFFF"/>
            <w:vAlign w:val="center"/>
            <w:hideMark/>
          </w:tcPr>
          <w:p w14:paraId="595A43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76CC67EC" w14:textId="32F9946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procedurat dhe kriteret në lidhje me marrëveshjet kuadër për ndarjen e kapaciteteve të infrastrukturës hekurudhore”</w:t>
            </w:r>
          </w:p>
        </w:tc>
        <w:tc>
          <w:tcPr>
            <w:tcW w:w="330" w:type="pct"/>
            <w:tcBorders>
              <w:top w:val="nil"/>
              <w:left w:val="nil"/>
              <w:bottom w:val="single" w:sz="4" w:space="0" w:color="auto"/>
              <w:right w:val="single" w:sz="4" w:space="0" w:color="auto"/>
            </w:tcBorders>
            <w:shd w:val="clear" w:color="auto" w:fill="auto"/>
            <w:vAlign w:val="center"/>
            <w:hideMark/>
          </w:tcPr>
          <w:p w14:paraId="1ABBCD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procedurat dhe kriteret në lidhje me marrëveshjet kuadër për ndarjen e kapaciteteve të infrastrukturës hekurudhore.</w:t>
            </w:r>
          </w:p>
        </w:tc>
        <w:tc>
          <w:tcPr>
            <w:tcW w:w="126" w:type="pct"/>
            <w:tcBorders>
              <w:top w:val="nil"/>
              <w:left w:val="nil"/>
              <w:bottom w:val="single" w:sz="4" w:space="0" w:color="auto"/>
              <w:right w:val="single" w:sz="4" w:space="0" w:color="auto"/>
            </w:tcBorders>
            <w:shd w:val="clear" w:color="FFFFFF" w:fill="FFFFFF"/>
            <w:vAlign w:val="center"/>
            <w:hideMark/>
          </w:tcPr>
          <w:p w14:paraId="31B969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1188B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59B9D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DF757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4E4B5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50CF3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CDC4C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3A8094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1DF92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8FBCA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E84D0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5149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18A29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35E999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F82FE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F7335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1E6F2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33FD51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83904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2018/1795 e datës 20 nëntor 2018 që përcakton procedurën dhe kriteret për aplikimin e testit të ekuilibrit ekonomik në përputhje me nenin 11 të Direktivës 2012/34/BE të Parlamentit Evropian dhe të Këshillit (C/2018/ 7569),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5E5DAFAE" w14:textId="77777777" w:rsidR="00482167" w:rsidRPr="006D6BE5" w:rsidRDefault="00E63D69" w:rsidP="00A7241A">
            <w:pPr>
              <w:rPr>
                <w:rFonts w:ascii="Arial" w:hAnsi="Arial" w:cs="Arial"/>
                <w:color w:val="0563C1"/>
                <w:sz w:val="4"/>
                <w:szCs w:val="8"/>
                <w:u w:val="single"/>
                <w:lang w:val="sq-AL"/>
              </w:rPr>
            </w:pPr>
            <w:hyperlink r:id="rId162" w:history="1">
              <w:r w:rsidR="00482167" w:rsidRPr="006D6BE5">
                <w:rPr>
                  <w:rFonts w:ascii="Arial" w:hAnsi="Arial" w:cs="Arial"/>
                  <w:color w:val="0563C1"/>
                  <w:sz w:val="4"/>
                  <w:szCs w:val="8"/>
                  <w:u w:val="single"/>
                  <w:lang w:val="sq-AL"/>
                </w:rPr>
                <w:t xml:space="preserve">https://eur-lex.europa.eu/legal-content/EN/TXT/?qid=1558446968526&amp;uri=CELEX:32018R1795 </w:t>
              </w:r>
            </w:hyperlink>
          </w:p>
        </w:tc>
        <w:tc>
          <w:tcPr>
            <w:tcW w:w="506" w:type="pct"/>
            <w:tcBorders>
              <w:top w:val="nil"/>
              <w:left w:val="nil"/>
              <w:bottom w:val="single" w:sz="4" w:space="0" w:color="auto"/>
              <w:right w:val="single" w:sz="4" w:space="0" w:color="auto"/>
            </w:tcBorders>
            <w:shd w:val="clear" w:color="FFFFFF" w:fill="FFFFFF"/>
            <w:vAlign w:val="center"/>
            <w:hideMark/>
          </w:tcPr>
          <w:p w14:paraId="4B2986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30DF9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përcaktimin e procedurës dhe kritereve për zbatimin e testit të bilancit ekonomik për shërbimet e pasagjerëve”</w:t>
            </w:r>
          </w:p>
        </w:tc>
        <w:tc>
          <w:tcPr>
            <w:tcW w:w="330" w:type="pct"/>
            <w:tcBorders>
              <w:top w:val="nil"/>
              <w:left w:val="nil"/>
              <w:bottom w:val="single" w:sz="4" w:space="0" w:color="auto"/>
              <w:right w:val="single" w:sz="4" w:space="0" w:color="auto"/>
            </w:tcBorders>
            <w:shd w:val="clear" w:color="auto" w:fill="auto"/>
            <w:vAlign w:val="center"/>
            <w:hideMark/>
          </w:tcPr>
          <w:p w14:paraId="1A349B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per përcaktimin e procedurës dhe kritereve për zbatimin e testit të bilancit ekonomik për shërbimet e pasagjerëve</w:t>
            </w:r>
          </w:p>
        </w:tc>
        <w:tc>
          <w:tcPr>
            <w:tcW w:w="126" w:type="pct"/>
            <w:tcBorders>
              <w:top w:val="nil"/>
              <w:left w:val="nil"/>
              <w:bottom w:val="single" w:sz="4" w:space="0" w:color="auto"/>
              <w:right w:val="single" w:sz="4" w:space="0" w:color="auto"/>
            </w:tcBorders>
            <w:shd w:val="clear" w:color="FFFFFF" w:fill="FFFFFF"/>
            <w:vAlign w:val="center"/>
            <w:hideMark/>
          </w:tcPr>
          <w:p w14:paraId="6F2F94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F6010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3687B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A5486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7A77F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FC230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7C0E9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3EC5EC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A11C8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741DA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47009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92C32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F9E34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8D7F8D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F36FC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B73B3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0AA54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16BD5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0DD29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deleguar e Komisionit (BE) 2018/761 e datës 16 shkurt 2018 që vendos metoda të përbashkëta sigurie për mbikëqyrjen nga autoritetet kombëtare të sigurisë pas lëshimit të një certifikate të vetme sigurie ose një autorizimi sigurie në përputhje me Direktivën (BE) 2016/798 të Parlamentit Evropian dhe të Këshilli dhe shfuqizimi i Rregullores së Komisionit (BE) Nr. 1077/2012, Teksti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5F95FE36" w14:textId="19BEB33D" w:rsidR="00482167" w:rsidRPr="006D6BE5" w:rsidRDefault="00E63D69" w:rsidP="00A7241A">
            <w:pPr>
              <w:rPr>
                <w:rFonts w:ascii="Arial" w:hAnsi="Arial" w:cs="Arial"/>
                <w:color w:val="0563C1"/>
                <w:sz w:val="4"/>
                <w:szCs w:val="8"/>
                <w:u w:val="single"/>
                <w:lang w:val="sq-AL"/>
              </w:rPr>
            </w:pPr>
            <w:hyperlink r:id="rId163" w:history="1">
              <w:r w:rsidR="00482167" w:rsidRPr="006D6BE5">
                <w:rPr>
                  <w:rFonts w:ascii="Arial" w:hAnsi="Arial" w:cs="Arial"/>
                  <w:color w:val="0563C1"/>
                  <w:sz w:val="4"/>
                  <w:szCs w:val="8"/>
                  <w:u w:val="single"/>
                  <w:lang w:val="sq-AL"/>
                </w:rPr>
                <w:t>https://eur-lex.europa.eu/legal-content/EN/TXT/?uri=celex:32018R0761</w:t>
              </w:r>
              <w:r w:rsidR="006D6BE5">
                <w:rPr>
                  <w:rFonts w:ascii="Arial" w:hAnsi="Arial" w:cs="Arial"/>
                  <w:color w:val="0563C1"/>
                  <w:sz w:val="4"/>
                  <w:szCs w:val="8"/>
                  <w:u w:val="single"/>
                  <w:lang w:val="sq-AL"/>
                </w:rPr>
                <w:t xml:space="preserve">   </w:t>
              </w:r>
              <w:r w:rsidR="00482167" w:rsidRP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84653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5D0A5430" w14:textId="3CF42F7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metodat e përbashkëta të sigurisë për mbikëqyrjen nga autoritetet kombëtare të sigurisë pas lëshimit të një certifikate të vetme sigurie ose një autorizimi sigurie"</w:t>
            </w:r>
          </w:p>
        </w:tc>
        <w:tc>
          <w:tcPr>
            <w:tcW w:w="330" w:type="pct"/>
            <w:tcBorders>
              <w:top w:val="nil"/>
              <w:left w:val="nil"/>
              <w:bottom w:val="single" w:sz="4" w:space="0" w:color="auto"/>
              <w:right w:val="single" w:sz="4" w:space="0" w:color="auto"/>
            </w:tcBorders>
            <w:shd w:val="clear" w:color="auto" w:fill="auto"/>
            <w:vAlign w:val="center"/>
            <w:hideMark/>
          </w:tcPr>
          <w:p w14:paraId="704C98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metodat e përbashkëta të sigurisë për mbikëqyrjen nga autoritetet kombëtare të sigurisë pas lëshimit të një certifikate të vetme sigurie ose një autorizimi sigurie.</w:t>
            </w:r>
          </w:p>
        </w:tc>
        <w:tc>
          <w:tcPr>
            <w:tcW w:w="126" w:type="pct"/>
            <w:tcBorders>
              <w:top w:val="nil"/>
              <w:left w:val="nil"/>
              <w:bottom w:val="single" w:sz="4" w:space="0" w:color="auto"/>
              <w:right w:val="single" w:sz="4" w:space="0" w:color="auto"/>
            </w:tcBorders>
            <w:shd w:val="clear" w:color="FFFFFF" w:fill="FFFFFF"/>
            <w:vAlign w:val="center"/>
            <w:hideMark/>
          </w:tcPr>
          <w:p w14:paraId="458018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E3FED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57EB8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9817B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772A0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37D49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8673F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2C0C2B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9E54E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CFCEE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E5C49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7B61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5479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DD2A79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072DA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13A09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A9080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348DDB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128AB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2015/909 e datës 12 qershor 2015 mbi modalitetet për llogaritjen e kostos që shkaktohet drejtpërdrejt si rezultat i funksionimit të shërbimit të trenit (C/2015/3766),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5042C76E" w14:textId="5DAE3C28" w:rsidR="00482167" w:rsidRPr="006D6BE5" w:rsidRDefault="00E63D69" w:rsidP="00A7241A">
            <w:pPr>
              <w:rPr>
                <w:rFonts w:ascii="Arial" w:hAnsi="Arial" w:cs="Arial"/>
                <w:color w:val="0563C1"/>
                <w:sz w:val="4"/>
                <w:szCs w:val="8"/>
                <w:u w:val="single"/>
                <w:lang w:val="sq-AL"/>
              </w:rPr>
            </w:pPr>
            <w:hyperlink r:id="rId164" w:history="1">
              <w:r w:rsidR="00482167" w:rsidRPr="006D6BE5">
                <w:rPr>
                  <w:rFonts w:ascii="Arial" w:hAnsi="Arial" w:cs="Arial"/>
                  <w:color w:val="0563C1"/>
                  <w:sz w:val="4"/>
                  <w:szCs w:val="8"/>
                  <w:u w:val="single"/>
                  <w:lang w:val="sq-AL"/>
                </w:rPr>
                <w:t>https://eur-lex.europa.eu/legal-content/EN/TXT/?qid=1558539726276&amp;uri=CELEX:32015R0909</w:t>
              </w:r>
              <w:r w:rsidR="006D6BE5">
                <w:rPr>
                  <w:rFonts w:ascii="Arial" w:hAnsi="Arial" w:cs="Arial"/>
                  <w:color w:val="0563C1"/>
                  <w:sz w:val="4"/>
                  <w:szCs w:val="8"/>
                  <w:u w:val="single"/>
                  <w:lang w:val="sq-AL"/>
                </w:rPr>
                <w:t xml:space="preserve"> </w:t>
              </w:r>
              <w:r w:rsidR="00482167" w:rsidRP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2CE9AD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BA214F0" w14:textId="320E175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metodat e përbashkëta të sigurisë për mbikëqyrjen nga autoritetet kombëtare të sigurisë pas lëshimit të një certifikate të vetme sigurie ose një autorizimi sigurie"</w:t>
            </w:r>
          </w:p>
        </w:tc>
        <w:tc>
          <w:tcPr>
            <w:tcW w:w="330" w:type="pct"/>
            <w:tcBorders>
              <w:top w:val="nil"/>
              <w:left w:val="nil"/>
              <w:bottom w:val="single" w:sz="4" w:space="0" w:color="auto"/>
              <w:right w:val="single" w:sz="4" w:space="0" w:color="auto"/>
            </w:tcBorders>
            <w:shd w:val="clear" w:color="auto" w:fill="auto"/>
            <w:vAlign w:val="center"/>
            <w:hideMark/>
          </w:tcPr>
          <w:p w14:paraId="3409FC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metodat e përbashkëta të sigurisë për mbikëqyrjen nga autoritetet të metodave të përbashkëta të sigurisë për mbikëqyrjen nga autoritetet kombëtare të sigurisë pas lëshimit të një certifikate të vetme sigurie ose një autorizimi sigurie</w:t>
            </w:r>
          </w:p>
        </w:tc>
        <w:tc>
          <w:tcPr>
            <w:tcW w:w="126" w:type="pct"/>
            <w:tcBorders>
              <w:top w:val="nil"/>
              <w:left w:val="nil"/>
              <w:bottom w:val="single" w:sz="4" w:space="0" w:color="auto"/>
              <w:right w:val="single" w:sz="4" w:space="0" w:color="auto"/>
            </w:tcBorders>
            <w:shd w:val="clear" w:color="FFFFFF" w:fill="FFFFFF"/>
            <w:vAlign w:val="center"/>
            <w:hideMark/>
          </w:tcPr>
          <w:p w14:paraId="7E37E8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1ED09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D953B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11945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18AD2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5BA64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AAA66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761C1D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FB150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06308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48C3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C86B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67190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5D2034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57472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F6A8A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53D04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40F209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05510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2015/429 e datës 13 mars 2015 që përcakton modalitetet që duhen ndjekur për aplikimin e tarifimit për koston e efekteve të zhurmës,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7A67E734" w14:textId="77777777" w:rsidR="00482167" w:rsidRPr="006D6BE5" w:rsidRDefault="00E63D69" w:rsidP="00A7241A">
            <w:pPr>
              <w:rPr>
                <w:rFonts w:ascii="Arial" w:hAnsi="Arial" w:cs="Arial"/>
                <w:color w:val="0563C1"/>
                <w:sz w:val="4"/>
                <w:szCs w:val="8"/>
                <w:u w:val="single"/>
                <w:lang w:val="sq-AL"/>
              </w:rPr>
            </w:pPr>
            <w:hyperlink r:id="rId165" w:history="1">
              <w:r w:rsidR="00482167" w:rsidRPr="006D6BE5">
                <w:rPr>
                  <w:rFonts w:ascii="Arial" w:hAnsi="Arial" w:cs="Arial"/>
                  <w:color w:val="0563C1"/>
                  <w:sz w:val="4"/>
                  <w:szCs w:val="8"/>
                  <w:u w:val="single"/>
                  <w:lang w:val="sq-AL"/>
                </w:rPr>
                <w:t xml:space="preserve">https://eur-lex.europa.eu/legal-content/EN/TXT/?qid=1558539726276&amp;uri=CELEX:32015R0429 </w:t>
              </w:r>
            </w:hyperlink>
          </w:p>
        </w:tc>
        <w:tc>
          <w:tcPr>
            <w:tcW w:w="506" w:type="pct"/>
            <w:tcBorders>
              <w:top w:val="nil"/>
              <w:left w:val="nil"/>
              <w:bottom w:val="single" w:sz="4" w:space="0" w:color="auto"/>
              <w:right w:val="single" w:sz="4" w:space="0" w:color="auto"/>
            </w:tcBorders>
            <w:shd w:val="clear" w:color="FFFFFF" w:fill="FFFFFF"/>
            <w:vAlign w:val="center"/>
            <w:hideMark/>
          </w:tcPr>
          <w:p w14:paraId="7F1D9F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E86EF02" w14:textId="0B5008E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modalitetet e përllogaritjes së kostos që shkaktohet drejtpërdrejt si rezultat i funksionimit të shërbimit të trenave dhe aplikimit të tarifimit për koston e efekteve të zhurmës"</w:t>
            </w:r>
          </w:p>
        </w:tc>
        <w:tc>
          <w:tcPr>
            <w:tcW w:w="330" w:type="pct"/>
            <w:tcBorders>
              <w:top w:val="nil"/>
              <w:left w:val="nil"/>
              <w:bottom w:val="single" w:sz="4" w:space="0" w:color="auto"/>
              <w:right w:val="single" w:sz="4" w:space="0" w:color="auto"/>
            </w:tcBorders>
            <w:shd w:val="clear" w:color="auto" w:fill="auto"/>
            <w:vAlign w:val="center"/>
            <w:hideMark/>
          </w:tcPr>
          <w:p w14:paraId="098BDA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modalitetet e përllogaritjes së kostos që shkaktohet drejtpërdrej si rezultat i funksionimit të shërbimit të trenave dhe aplikimit të tarifimit për koston e efekteve të zhurmës</w:t>
            </w:r>
          </w:p>
        </w:tc>
        <w:tc>
          <w:tcPr>
            <w:tcW w:w="126" w:type="pct"/>
            <w:tcBorders>
              <w:top w:val="nil"/>
              <w:left w:val="nil"/>
              <w:bottom w:val="single" w:sz="4" w:space="0" w:color="auto"/>
              <w:right w:val="single" w:sz="4" w:space="0" w:color="auto"/>
            </w:tcBorders>
            <w:shd w:val="clear" w:color="FFFFFF" w:fill="FFFFFF"/>
            <w:vAlign w:val="center"/>
            <w:hideMark/>
          </w:tcPr>
          <w:p w14:paraId="554077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531A6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CCA6E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D04BC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9CD3D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1BA56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4A055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05F193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FA991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73910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2854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4827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2B22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F664C7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4D3BA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9ACF4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B3596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1CD54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D3F88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2015/1100 e datës 7 korrik 2015 mbi detyrimet e raportimit të Shteteve Anëtare në kuadrin e monitorimit të tregut hekurudhor,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49692005" w14:textId="4D67441A" w:rsidR="00482167" w:rsidRPr="006D6BE5" w:rsidRDefault="00E63D69" w:rsidP="00A7241A">
            <w:pPr>
              <w:rPr>
                <w:rFonts w:ascii="Arial" w:hAnsi="Arial" w:cs="Arial"/>
                <w:color w:val="0563C1"/>
                <w:sz w:val="4"/>
                <w:szCs w:val="8"/>
                <w:u w:val="single"/>
                <w:lang w:val="sq-AL"/>
              </w:rPr>
            </w:pPr>
            <w:hyperlink r:id="rId166" w:history="1">
              <w:r w:rsidR="00482167" w:rsidRPr="006D6BE5">
                <w:rPr>
                  <w:rFonts w:ascii="Arial" w:hAnsi="Arial" w:cs="Arial"/>
                  <w:color w:val="0563C1"/>
                  <w:sz w:val="4"/>
                  <w:szCs w:val="8"/>
                  <w:u w:val="single"/>
                  <w:lang w:val="sq-AL"/>
                </w:rPr>
                <w:t>https://eur-lex.europa.eu/legal-content/EN/TXT/?qid=1558539726276&amp;uri=CELEX:32015R1100</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60FE2B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1DD2BE4" w14:textId="2CBB3E9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Për miratimin e rregullores “Për detyrimet raportuese në kuadër të monitorimit të tregut hekurudhor”</w:t>
            </w:r>
          </w:p>
        </w:tc>
        <w:tc>
          <w:tcPr>
            <w:tcW w:w="330" w:type="pct"/>
            <w:tcBorders>
              <w:top w:val="nil"/>
              <w:left w:val="nil"/>
              <w:bottom w:val="single" w:sz="4" w:space="0" w:color="auto"/>
              <w:right w:val="single" w:sz="4" w:space="0" w:color="auto"/>
            </w:tcBorders>
            <w:shd w:val="clear" w:color="auto" w:fill="auto"/>
            <w:vAlign w:val="center"/>
            <w:hideMark/>
          </w:tcPr>
          <w:p w14:paraId="6CE980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detyrimet raportuese në kuadër të monitorimit të tregut hekurudhor</w:t>
            </w:r>
          </w:p>
        </w:tc>
        <w:tc>
          <w:tcPr>
            <w:tcW w:w="126" w:type="pct"/>
            <w:tcBorders>
              <w:top w:val="nil"/>
              <w:left w:val="nil"/>
              <w:bottom w:val="single" w:sz="4" w:space="0" w:color="auto"/>
              <w:right w:val="single" w:sz="4" w:space="0" w:color="auto"/>
            </w:tcBorders>
            <w:shd w:val="clear" w:color="FFFFFF" w:fill="FFFFFF"/>
            <w:vAlign w:val="center"/>
            <w:hideMark/>
          </w:tcPr>
          <w:p w14:paraId="54E905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A96A6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08EB5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DE536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D6EBF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CBFC2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38C21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1F62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7AECA7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3D82E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8AC9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262E3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6D047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D03CD4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28F3F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5C9250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422C1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74758F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D1DD0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2017/2177 e datës 22 nëntor 2017 mbi aksesin në objektet e shërbimit dhe shërbimet e lidhura me hekurudhat (C/2017/7692), Tekst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5BDC701E" w14:textId="400BB9EA" w:rsidR="00482167" w:rsidRPr="006D6BE5" w:rsidRDefault="00E63D69" w:rsidP="00A7241A">
            <w:pPr>
              <w:rPr>
                <w:rFonts w:ascii="Arial" w:hAnsi="Arial" w:cs="Arial"/>
                <w:color w:val="0563C1"/>
                <w:sz w:val="4"/>
                <w:szCs w:val="8"/>
                <w:u w:val="single"/>
                <w:lang w:val="sq-AL"/>
              </w:rPr>
            </w:pPr>
            <w:hyperlink r:id="rId167" w:history="1">
              <w:r w:rsidR="00482167" w:rsidRPr="006D6BE5">
                <w:rPr>
                  <w:rFonts w:ascii="Arial" w:hAnsi="Arial" w:cs="Arial"/>
                  <w:color w:val="0563C1"/>
                  <w:sz w:val="4"/>
                  <w:szCs w:val="8"/>
                  <w:u w:val="single"/>
                  <w:lang w:val="sq-AL"/>
                </w:rPr>
                <w:t>https://eur-lex.europa.eu/legal-content/EN/TXT/?qid=1558446968526&amp;uri=CELEX:32017R2177</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32C60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72752A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aksesin në objektet e shërbimit dhe shërbimet e lidhura me hekurudhat"</w:t>
            </w:r>
          </w:p>
        </w:tc>
        <w:tc>
          <w:tcPr>
            <w:tcW w:w="330" w:type="pct"/>
            <w:tcBorders>
              <w:top w:val="nil"/>
              <w:left w:val="nil"/>
              <w:bottom w:val="single" w:sz="4" w:space="0" w:color="auto"/>
              <w:right w:val="single" w:sz="4" w:space="0" w:color="auto"/>
            </w:tcBorders>
            <w:shd w:val="clear" w:color="auto" w:fill="auto"/>
            <w:vAlign w:val="center"/>
            <w:hideMark/>
          </w:tcPr>
          <w:p w14:paraId="13E826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aksesin në objektet e shërbimit dhe shërbimet e lidhura me hekurudhat</w:t>
            </w:r>
          </w:p>
        </w:tc>
        <w:tc>
          <w:tcPr>
            <w:tcW w:w="126" w:type="pct"/>
            <w:tcBorders>
              <w:top w:val="nil"/>
              <w:left w:val="nil"/>
              <w:bottom w:val="single" w:sz="4" w:space="0" w:color="auto"/>
              <w:right w:val="single" w:sz="4" w:space="0" w:color="auto"/>
            </w:tcBorders>
            <w:shd w:val="clear" w:color="FFFFFF" w:fill="FFFFFF"/>
            <w:vAlign w:val="center"/>
            <w:hideMark/>
          </w:tcPr>
          <w:p w14:paraId="4C1EC2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3121A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890C3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4ABB5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A4C59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E1C32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AC0CC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1627E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7A99D1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A041F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3F60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7719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2A76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0A5DCC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5E7C4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76E73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33EE1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3E5DDA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18788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1300/2014 e datës 18 nëntor 2014 mbi specifikimet teknike për ndërveprueshmërinë në lidhje me aksesueshmërinë e sistemit hekurudhor të Bashkimit për personat me aftësi të kufizuara dhe personat me lëvizshmëri të reduktuar</w:t>
            </w:r>
          </w:p>
        </w:tc>
        <w:tc>
          <w:tcPr>
            <w:tcW w:w="668" w:type="pct"/>
            <w:tcBorders>
              <w:top w:val="nil"/>
              <w:left w:val="nil"/>
              <w:bottom w:val="single" w:sz="4" w:space="0" w:color="auto"/>
              <w:right w:val="single" w:sz="4" w:space="0" w:color="auto"/>
            </w:tcBorders>
            <w:shd w:val="clear" w:color="auto" w:fill="auto"/>
            <w:vAlign w:val="center"/>
            <w:hideMark/>
          </w:tcPr>
          <w:p w14:paraId="3785B6CA" w14:textId="112E8D17" w:rsidR="00482167" w:rsidRPr="006D6BE5" w:rsidRDefault="00E63D69" w:rsidP="00A7241A">
            <w:pPr>
              <w:rPr>
                <w:rFonts w:ascii="Arial" w:hAnsi="Arial" w:cs="Arial"/>
                <w:color w:val="0563C1"/>
                <w:sz w:val="4"/>
                <w:szCs w:val="8"/>
                <w:u w:val="single"/>
                <w:lang w:val="sq-AL"/>
              </w:rPr>
            </w:pPr>
            <w:hyperlink r:id="rId168" w:history="1">
              <w:r w:rsidR="00482167" w:rsidRPr="006D6BE5">
                <w:rPr>
                  <w:rFonts w:ascii="Arial" w:hAnsi="Arial" w:cs="Arial"/>
                  <w:color w:val="0563C1"/>
                  <w:sz w:val="4"/>
                  <w:szCs w:val="8"/>
                  <w:u w:val="single"/>
                  <w:lang w:val="sq-AL"/>
                </w:rPr>
                <w:t>https://eur-lex.europa.eu/legal-content/EN/TXT/?qid=1558623907428&amp;uri=CELEX:32014R1300</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FC226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76524C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ndëroperueshmërinë në lidhje me aksesueshmërinë e sistemit hekurudhor për personat me aftësi të kufizuara dhe personat me lëvizshmëri të reduktuar, identifikimin e barrierave, monitorimin dhe raportimin e progresit të aksesueshmërisë"</w:t>
            </w:r>
          </w:p>
        </w:tc>
        <w:tc>
          <w:tcPr>
            <w:tcW w:w="330" w:type="pct"/>
            <w:tcBorders>
              <w:top w:val="nil"/>
              <w:left w:val="nil"/>
              <w:bottom w:val="single" w:sz="4" w:space="0" w:color="auto"/>
              <w:right w:val="single" w:sz="4" w:space="0" w:color="auto"/>
            </w:tcBorders>
            <w:shd w:val="clear" w:color="auto" w:fill="auto"/>
            <w:vAlign w:val="center"/>
            <w:hideMark/>
          </w:tcPr>
          <w:p w14:paraId="4E4632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pecifikimet teknike për ndëroperueshmërinë në lidhje me aksesueshmërinë e sistemit hekurudhor për personat me aftësi të kufizuara dhe personat me lëvizshmëri të reduktuar, identifikimin e barrierave, monitorimin dhe raportimin e progresit të aksesueshmërisë</w:t>
            </w:r>
          </w:p>
        </w:tc>
        <w:tc>
          <w:tcPr>
            <w:tcW w:w="126" w:type="pct"/>
            <w:tcBorders>
              <w:top w:val="nil"/>
              <w:left w:val="nil"/>
              <w:bottom w:val="single" w:sz="4" w:space="0" w:color="auto"/>
              <w:right w:val="single" w:sz="4" w:space="0" w:color="auto"/>
            </w:tcBorders>
            <w:shd w:val="clear" w:color="FFFFFF" w:fill="FFFFFF"/>
            <w:vAlign w:val="center"/>
            <w:hideMark/>
          </w:tcPr>
          <w:p w14:paraId="760DA8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50CFF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EA5D4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1AC624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E624C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C0ACC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55555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5B061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6A8CFB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D9562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6E353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A12AC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981B9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60C6FA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61488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CC863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E8B74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7091E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3F4DF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2019/772 e datës 16 maj 2019 që ndryshon Rregulloren (BE) Nr. 1300/2014 në lidhje me inventarin e aseteve me qëllim identifikimin e barrierave ndaj aksesit, ofrimin e informacionit për përdoruesit dhe monitorimin dhe vlerësimin e progresit në aksesueshmërinë, Teksti me Rëndësia e ZEE-së</w:t>
            </w:r>
          </w:p>
        </w:tc>
        <w:tc>
          <w:tcPr>
            <w:tcW w:w="668" w:type="pct"/>
            <w:tcBorders>
              <w:top w:val="nil"/>
              <w:left w:val="nil"/>
              <w:bottom w:val="single" w:sz="4" w:space="0" w:color="auto"/>
              <w:right w:val="single" w:sz="4" w:space="0" w:color="auto"/>
            </w:tcBorders>
            <w:shd w:val="clear" w:color="auto" w:fill="auto"/>
            <w:vAlign w:val="center"/>
            <w:hideMark/>
          </w:tcPr>
          <w:p w14:paraId="6431733F" w14:textId="7C7BE3EA" w:rsidR="00482167" w:rsidRPr="006D6BE5" w:rsidRDefault="00E63D69" w:rsidP="00A7241A">
            <w:pPr>
              <w:rPr>
                <w:rFonts w:ascii="Arial" w:hAnsi="Arial" w:cs="Arial"/>
                <w:color w:val="0563C1"/>
                <w:sz w:val="4"/>
                <w:szCs w:val="8"/>
                <w:u w:val="single"/>
                <w:lang w:val="sq-AL"/>
              </w:rPr>
            </w:pPr>
            <w:hyperlink r:id="rId169" w:history="1">
              <w:r w:rsidR="00482167" w:rsidRPr="006D6BE5">
                <w:rPr>
                  <w:rFonts w:ascii="Arial" w:hAnsi="Arial" w:cs="Arial"/>
                  <w:color w:val="0563C1"/>
                  <w:sz w:val="4"/>
                  <w:szCs w:val="8"/>
                  <w:u w:val="single"/>
                  <w:lang w:val="sq-AL"/>
                </w:rPr>
                <w:t>https://eur-lex.europa.eu/legal-content/EN/TXT/?uri=uriserv:OJ.LI.2019.139.01.0001.01.ENG&amp;toc=OJ:L:2019:139I:TOC</w:t>
              </w:r>
              <w:r w:rsidR="006D6BE5">
                <w:rPr>
                  <w:rFonts w:ascii="Arial" w:hAnsi="Arial" w:cs="Arial"/>
                  <w:color w:val="0563C1"/>
                  <w:sz w:val="4"/>
                  <w:szCs w:val="8"/>
                  <w:u w:val="single"/>
                  <w:lang w:val="sq-AL"/>
                </w:rPr>
                <w:t xml:space="preserve">  </w:t>
              </w:r>
              <w:r w:rsidR="00482167" w:rsidRP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581F33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3FFCC4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ndëroperueshmërinë në lidhje me aksesueshmërinë e sistemit hekurudhor për personat me aftësi të kufizuara dhe personat me lëvizshmëri të reduktuar, identifikimin e barrierave, monitorimin dhe raportimin e progresit të aksesueshmërisë"</w:t>
            </w:r>
          </w:p>
        </w:tc>
        <w:tc>
          <w:tcPr>
            <w:tcW w:w="330" w:type="pct"/>
            <w:tcBorders>
              <w:top w:val="nil"/>
              <w:left w:val="nil"/>
              <w:bottom w:val="single" w:sz="4" w:space="0" w:color="auto"/>
              <w:right w:val="single" w:sz="4" w:space="0" w:color="auto"/>
            </w:tcBorders>
            <w:shd w:val="clear" w:color="auto" w:fill="auto"/>
            <w:vAlign w:val="center"/>
            <w:hideMark/>
          </w:tcPr>
          <w:p w14:paraId="5F08AF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te rregullores për zbatimin e Kodit Hekurudhor për pecifikimet teknike për ndëroperueshmërinë në lidhje me aksesueshmërinë e sistemit hekurudhor për personat me aftësi të kufizuara dhe personat me lëvizshmëri të reduktuar, identifikimin e barrierave, monitorimin dhe raportimin e progresit të aksesueshmërisë.</w:t>
            </w:r>
          </w:p>
        </w:tc>
        <w:tc>
          <w:tcPr>
            <w:tcW w:w="126" w:type="pct"/>
            <w:tcBorders>
              <w:top w:val="nil"/>
              <w:left w:val="nil"/>
              <w:bottom w:val="single" w:sz="4" w:space="0" w:color="auto"/>
              <w:right w:val="single" w:sz="4" w:space="0" w:color="auto"/>
            </w:tcBorders>
            <w:shd w:val="clear" w:color="FFFFFF" w:fill="FFFFFF"/>
            <w:vAlign w:val="center"/>
            <w:hideMark/>
          </w:tcPr>
          <w:p w14:paraId="6B2FEE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8EBAB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41EC9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5C2628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EE0CC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1077A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6E6F7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5B2AE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32CD7D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04512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4E88F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D888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60482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2595D3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62454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ACF5A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FD8CB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5B0846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78F82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1301/2014 e datës 18 nëntor 2014 mbi specifikimet teknike për ndërveprueshmërinë në lidhje me nënsistemin "energji" të sistemit hekurudhor në Bashkim; Tekst me rëndësinë e ZEE-së</w:t>
            </w:r>
          </w:p>
        </w:tc>
        <w:tc>
          <w:tcPr>
            <w:tcW w:w="668" w:type="pct"/>
            <w:tcBorders>
              <w:top w:val="nil"/>
              <w:left w:val="nil"/>
              <w:bottom w:val="single" w:sz="4" w:space="0" w:color="auto"/>
              <w:right w:val="single" w:sz="4" w:space="0" w:color="auto"/>
            </w:tcBorders>
            <w:shd w:val="clear" w:color="auto" w:fill="auto"/>
            <w:vAlign w:val="center"/>
            <w:hideMark/>
          </w:tcPr>
          <w:p w14:paraId="079EA102" w14:textId="2E2F99E7" w:rsidR="00482167" w:rsidRPr="006D6BE5" w:rsidRDefault="00E63D69" w:rsidP="00A7241A">
            <w:pPr>
              <w:rPr>
                <w:rFonts w:ascii="Arial" w:hAnsi="Arial" w:cs="Arial"/>
                <w:color w:val="0563C1"/>
                <w:sz w:val="4"/>
                <w:szCs w:val="8"/>
                <w:u w:val="single"/>
                <w:lang w:val="sq-AL"/>
              </w:rPr>
            </w:pPr>
            <w:hyperlink r:id="rId170" w:history="1">
              <w:r w:rsidR="00482167" w:rsidRPr="006D6BE5">
                <w:rPr>
                  <w:rFonts w:ascii="Arial" w:hAnsi="Arial" w:cs="Arial"/>
                  <w:color w:val="0563C1"/>
                  <w:sz w:val="4"/>
                  <w:szCs w:val="8"/>
                  <w:u w:val="single"/>
                  <w:lang w:val="sq-AL"/>
                </w:rPr>
                <w:t>https://eur-lex.europa.eu/legal-content/EN/TXT/?qid=1558624010005&amp;uri=CELEX:32014R1301</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6B9374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2DE15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"Për miratimin e rregullores “Për specifikimet teknike për ndërveprueshmërinë në lidhje me nënsistemin “energji” të sistemit hekurudhor dhe dispozitat për sistemin e matjes së energjisë dhe sistemin e mbledhjes së të dhënave”</w:t>
            </w:r>
          </w:p>
        </w:tc>
        <w:tc>
          <w:tcPr>
            <w:tcW w:w="330" w:type="pct"/>
            <w:tcBorders>
              <w:top w:val="nil"/>
              <w:left w:val="nil"/>
              <w:bottom w:val="single" w:sz="4" w:space="0" w:color="auto"/>
              <w:right w:val="single" w:sz="4" w:space="0" w:color="auto"/>
            </w:tcBorders>
            <w:shd w:val="clear" w:color="auto" w:fill="auto"/>
            <w:vAlign w:val="center"/>
            <w:hideMark/>
          </w:tcPr>
          <w:p w14:paraId="6CDB9B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per specifikimet teknike për ndërveprueshmërinë në lidhje me nënsistemin “energji” të sistemit hekurudhor dhe dispozitat për sistemin e matjes së energjisë dhe sistemin e mbledhjes së të dhënave</w:t>
            </w:r>
          </w:p>
        </w:tc>
        <w:tc>
          <w:tcPr>
            <w:tcW w:w="126" w:type="pct"/>
            <w:tcBorders>
              <w:top w:val="nil"/>
              <w:left w:val="nil"/>
              <w:bottom w:val="single" w:sz="4" w:space="0" w:color="auto"/>
              <w:right w:val="single" w:sz="4" w:space="0" w:color="auto"/>
            </w:tcBorders>
            <w:shd w:val="clear" w:color="FFFFFF" w:fill="FFFFFF"/>
            <w:vAlign w:val="center"/>
            <w:hideMark/>
          </w:tcPr>
          <w:p w14:paraId="3FFB75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CC551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8E011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370CF2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6B896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263D9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B995D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5AB94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626C1C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88AA6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3300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1B695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486CC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4A55BF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95A59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A183A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E84FE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4F1B85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DCF9B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2018/868 e datës 13 qershor 2018 që ndryshon Rregulloren (BE) Nr. 1301/2014 dhe Rregulloren (BE) Nr. 1302/2014 në lidhje me dispozitat për sistemin e matjes së energjisë dhe sistemin e mbledhjes së të dhënave, Teksti me rëndësi për ZEE-në</w:t>
            </w:r>
          </w:p>
        </w:tc>
        <w:tc>
          <w:tcPr>
            <w:tcW w:w="668" w:type="pct"/>
            <w:tcBorders>
              <w:top w:val="nil"/>
              <w:left w:val="nil"/>
              <w:bottom w:val="single" w:sz="4" w:space="0" w:color="auto"/>
              <w:right w:val="single" w:sz="4" w:space="0" w:color="auto"/>
            </w:tcBorders>
            <w:shd w:val="clear" w:color="auto" w:fill="auto"/>
            <w:vAlign w:val="center"/>
            <w:hideMark/>
          </w:tcPr>
          <w:p w14:paraId="508BA820" w14:textId="1124D12B" w:rsidR="00482167" w:rsidRPr="006D6BE5" w:rsidRDefault="00E63D69" w:rsidP="00A7241A">
            <w:pPr>
              <w:rPr>
                <w:rFonts w:ascii="Arial" w:hAnsi="Arial" w:cs="Arial"/>
                <w:color w:val="0563C1"/>
                <w:sz w:val="4"/>
                <w:szCs w:val="8"/>
                <w:u w:val="single"/>
                <w:lang w:val="sq-AL"/>
              </w:rPr>
            </w:pPr>
            <w:hyperlink r:id="rId171" w:history="1">
              <w:r w:rsidR="00482167" w:rsidRPr="006D6BE5">
                <w:rPr>
                  <w:rFonts w:ascii="Arial" w:hAnsi="Arial" w:cs="Arial"/>
                  <w:color w:val="0563C1"/>
                  <w:sz w:val="4"/>
                  <w:szCs w:val="8"/>
                  <w:u w:val="single"/>
                  <w:lang w:val="sq-AL"/>
                </w:rPr>
                <w:t>https://eur-lex.europa.eu/legal-content/EN/TXT/?qid=1558624010005&amp;uri=CELEX:32018R0868</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18BDBE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4243E2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ndërveprueshmërinë në lidhje me nënsistemin “energji” të sistemit hekurudhor dhe dispozitat për sistemin e matjes së energjisë dhe sistemin e mbledhjes së të dhënave”</w:t>
            </w:r>
          </w:p>
        </w:tc>
        <w:tc>
          <w:tcPr>
            <w:tcW w:w="330" w:type="pct"/>
            <w:tcBorders>
              <w:top w:val="nil"/>
              <w:left w:val="nil"/>
              <w:bottom w:val="single" w:sz="4" w:space="0" w:color="auto"/>
              <w:right w:val="single" w:sz="4" w:space="0" w:color="auto"/>
            </w:tcBorders>
            <w:shd w:val="clear" w:color="auto" w:fill="auto"/>
            <w:vAlign w:val="center"/>
            <w:hideMark/>
          </w:tcPr>
          <w:p w14:paraId="4151E9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specifikimet teknike për ndërveprueshmërinë në lidhje me nënsistemin “energji” të sistemit hekurudhor dhe dispozitat për sistemin e matjes së energjisë dhe sistemin e mbledhjes së të dhënave</w:t>
            </w:r>
          </w:p>
        </w:tc>
        <w:tc>
          <w:tcPr>
            <w:tcW w:w="126" w:type="pct"/>
            <w:tcBorders>
              <w:top w:val="nil"/>
              <w:left w:val="nil"/>
              <w:bottom w:val="single" w:sz="4" w:space="0" w:color="auto"/>
              <w:right w:val="single" w:sz="4" w:space="0" w:color="auto"/>
            </w:tcBorders>
            <w:shd w:val="clear" w:color="FFFFFF" w:fill="FFFFFF"/>
            <w:vAlign w:val="center"/>
            <w:hideMark/>
          </w:tcPr>
          <w:p w14:paraId="7E7305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1D999D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94E86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449AAB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CC38D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5193E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47AA3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FE0EE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031856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7CB16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333D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9D6D1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13837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B0B4E4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6C710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DDC01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C3E0F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3DE0A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84621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i Komisionit 2009/965/KE i datës 30 nëntor 2009 mbi dokumentin e referencës të përmendur në nenin 27(4) të Direktivës 2008/57/KE të Parlamentit Evropian dhe të Këshillit mbi ndërveprimin e sistemit hekurudhor brenda Komunitetit (Tekst me rëndësinë e ZEE)</w:t>
            </w:r>
          </w:p>
        </w:tc>
        <w:tc>
          <w:tcPr>
            <w:tcW w:w="668" w:type="pct"/>
            <w:tcBorders>
              <w:top w:val="nil"/>
              <w:left w:val="nil"/>
              <w:bottom w:val="single" w:sz="4" w:space="0" w:color="auto"/>
              <w:right w:val="single" w:sz="4" w:space="0" w:color="auto"/>
            </w:tcBorders>
            <w:shd w:val="clear" w:color="auto" w:fill="auto"/>
            <w:vAlign w:val="center"/>
            <w:hideMark/>
          </w:tcPr>
          <w:p w14:paraId="35932EBF" w14:textId="77777777" w:rsidR="00482167" w:rsidRPr="006D6BE5" w:rsidRDefault="00E63D69" w:rsidP="00A7241A">
            <w:pPr>
              <w:rPr>
                <w:rFonts w:ascii="Arial" w:hAnsi="Arial" w:cs="Arial"/>
                <w:color w:val="0563C1"/>
                <w:sz w:val="4"/>
                <w:szCs w:val="8"/>
                <w:u w:val="single"/>
                <w:lang w:val="sq-AL"/>
              </w:rPr>
            </w:pPr>
            <w:hyperlink r:id="rId172" w:history="1">
              <w:r w:rsidR="00482167" w:rsidRPr="006D6BE5">
                <w:rPr>
                  <w:rFonts w:ascii="Arial" w:hAnsi="Arial" w:cs="Arial"/>
                  <w:color w:val="0563C1"/>
                  <w:sz w:val="4"/>
                  <w:szCs w:val="8"/>
                  <w:u w:val="single"/>
                  <w:lang w:val="sq-AL"/>
                </w:rPr>
                <w:t xml:space="preserve">https://eur-lex.europa.eu/legal-content/EN/TXT/?qid=1558623406146&amp;uri=CELEX:32009D0965 </w:t>
              </w:r>
            </w:hyperlink>
          </w:p>
        </w:tc>
        <w:tc>
          <w:tcPr>
            <w:tcW w:w="506" w:type="pct"/>
            <w:tcBorders>
              <w:top w:val="nil"/>
              <w:left w:val="nil"/>
              <w:bottom w:val="single" w:sz="4" w:space="0" w:color="auto"/>
              <w:right w:val="single" w:sz="4" w:space="0" w:color="auto"/>
            </w:tcBorders>
            <w:shd w:val="clear" w:color="FFFFFF" w:fill="FFFFFF"/>
            <w:vAlign w:val="center"/>
            <w:hideMark/>
          </w:tcPr>
          <w:p w14:paraId="6A7519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965BAFD" w14:textId="5A032E6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përcaktimin e parametrave që do të përdoren për klasifikimin e rregullave kombëtare të sigurisë"</w:t>
            </w:r>
          </w:p>
        </w:tc>
        <w:tc>
          <w:tcPr>
            <w:tcW w:w="330" w:type="pct"/>
            <w:tcBorders>
              <w:top w:val="nil"/>
              <w:left w:val="nil"/>
              <w:bottom w:val="single" w:sz="4" w:space="0" w:color="auto"/>
              <w:right w:val="single" w:sz="4" w:space="0" w:color="auto"/>
            </w:tcBorders>
            <w:shd w:val="clear" w:color="auto" w:fill="auto"/>
            <w:vAlign w:val="center"/>
            <w:hideMark/>
          </w:tcPr>
          <w:p w14:paraId="3EC35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përcaktimin e parametrave që do të përdoren për klasifikimin e rregullave kombëtare të sigurisë</w:t>
            </w:r>
          </w:p>
        </w:tc>
        <w:tc>
          <w:tcPr>
            <w:tcW w:w="126" w:type="pct"/>
            <w:tcBorders>
              <w:top w:val="nil"/>
              <w:left w:val="nil"/>
              <w:bottom w:val="single" w:sz="4" w:space="0" w:color="auto"/>
              <w:right w:val="single" w:sz="4" w:space="0" w:color="auto"/>
            </w:tcBorders>
            <w:shd w:val="clear" w:color="FFFFFF" w:fill="FFFFFF"/>
            <w:vAlign w:val="center"/>
            <w:hideMark/>
          </w:tcPr>
          <w:p w14:paraId="66503D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F4DE8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AE800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116D98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47D69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A3DE2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318CB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93395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B08D9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5D8780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53E6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7AD1C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731C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682061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BC5B8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B5447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B46AB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4131E0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18718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1299/2014 e datës 18 nëntor 2014 mbi specifikimet teknike për ndërveprueshmërinë në lidhje me nënsistemin "infrastrukturë" të sistemit hekurudhor në Bashkimin Evropian Tekst me rëndësi për EEA</w:t>
            </w:r>
          </w:p>
        </w:tc>
        <w:tc>
          <w:tcPr>
            <w:tcW w:w="668" w:type="pct"/>
            <w:tcBorders>
              <w:top w:val="nil"/>
              <w:left w:val="nil"/>
              <w:bottom w:val="single" w:sz="4" w:space="0" w:color="auto"/>
              <w:right w:val="single" w:sz="4" w:space="0" w:color="auto"/>
            </w:tcBorders>
            <w:shd w:val="clear" w:color="auto" w:fill="auto"/>
            <w:vAlign w:val="center"/>
            <w:hideMark/>
          </w:tcPr>
          <w:p w14:paraId="26CCC3FB" w14:textId="77777777" w:rsidR="00482167" w:rsidRPr="006D6BE5" w:rsidRDefault="00E63D69" w:rsidP="00A7241A">
            <w:pPr>
              <w:rPr>
                <w:rFonts w:ascii="Arial" w:hAnsi="Arial" w:cs="Arial"/>
                <w:color w:val="0563C1"/>
                <w:sz w:val="4"/>
                <w:szCs w:val="8"/>
                <w:u w:val="single"/>
                <w:lang w:val="sq-AL"/>
              </w:rPr>
            </w:pPr>
            <w:hyperlink r:id="rId173" w:history="1">
              <w:r w:rsidR="00482167" w:rsidRPr="006D6BE5">
                <w:rPr>
                  <w:rFonts w:ascii="Arial" w:hAnsi="Arial" w:cs="Arial"/>
                  <w:color w:val="0563C1"/>
                  <w:sz w:val="4"/>
                  <w:szCs w:val="8"/>
                  <w:u w:val="single"/>
                  <w:lang w:val="sq-AL"/>
                </w:rPr>
                <w:t xml:space="preserve">https://eur-lex.europa.eu/legal-content/EN/TXT/?qid=1558623740097&amp;uri=CELEX:32014R1299 </w:t>
              </w:r>
            </w:hyperlink>
          </w:p>
        </w:tc>
        <w:tc>
          <w:tcPr>
            <w:tcW w:w="506" w:type="pct"/>
            <w:tcBorders>
              <w:top w:val="nil"/>
              <w:left w:val="nil"/>
              <w:bottom w:val="single" w:sz="4" w:space="0" w:color="auto"/>
              <w:right w:val="single" w:sz="4" w:space="0" w:color="auto"/>
            </w:tcBorders>
            <w:shd w:val="clear" w:color="FFFFFF" w:fill="FFFFFF"/>
            <w:vAlign w:val="center"/>
            <w:hideMark/>
          </w:tcPr>
          <w:p w14:paraId="18874C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986F0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ndërveprueshmërinë në lidhje me nënsistemin “infrastrukturë” të sistemit hekurudhor”</w:t>
            </w:r>
          </w:p>
        </w:tc>
        <w:tc>
          <w:tcPr>
            <w:tcW w:w="330" w:type="pct"/>
            <w:tcBorders>
              <w:top w:val="nil"/>
              <w:left w:val="nil"/>
              <w:bottom w:val="single" w:sz="4" w:space="0" w:color="auto"/>
              <w:right w:val="single" w:sz="4" w:space="0" w:color="auto"/>
            </w:tcBorders>
            <w:shd w:val="clear" w:color="auto" w:fill="auto"/>
            <w:vAlign w:val="center"/>
            <w:hideMark/>
          </w:tcPr>
          <w:p w14:paraId="68D1BA19" w14:textId="3C02585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specifikimet teknike për ndërveprueshmërinë në lidhje me nënsistemin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specifikimet teknike për ndërveprueshmërinë në lidhje me nënsistemin “infrastrukturë” të sistemit hekurudhor</w:t>
            </w:r>
          </w:p>
        </w:tc>
        <w:tc>
          <w:tcPr>
            <w:tcW w:w="126" w:type="pct"/>
            <w:tcBorders>
              <w:top w:val="nil"/>
              <w:left w:val="nil"/>
              <w:bottom w:val="single" w:sz="4" w:space="0" w:color="auto"/>
              <w:right w:val="single" w:sz="4" w:space="0" w:color="auto"/>
            </w:tcBorders>
            <w:shd w:val="clear" w:color="FFFFFF" w:fill="FFFFFF"/>
            <w:vAlign w:val="center"/>
            <w:hideMark/>
          </w:tcPr>
          <w:p w14:paraId="50DD3D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27C12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CCF95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42AF43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8B4E4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EBB00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71272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9BD9E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A78CC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07503A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EE6D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4E6CD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573CC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B1CFC7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5315A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1737E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6BF12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B339E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64B84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1302/2014 e datës 18 nëntor 2014 në lidhje me një specifikim teknik për ndërveprueshmërinë në lidhje me nënsistemin "mjetet hekurudhore — lokomotivat dhe mjetet lëvizëse të pasagjerëve" të sistemit hekurudhor në Bashkimin Evropian Tekst me rëndësi për ZEE</w:t>
            </w:r>
          </w:p>
        </w:tc>
        <w:tc>
          <w:tcPr>
            <w:tcW w:w="668" w:type="pct"/>
            <w:tcBorders>
              <w:top w:val="nil"/>
              <w:left w:val="nil"/>
              <w:bottom w:val="single" w:sz="4" w:space="0" w:color="auto"/>
              <w:right w:val="single" w:sz="4" w:space="0" w:color="auto"/>
            </w:tcBorders>
            <w:shd w:val="clear" w:color="auto" w:fill="auto"/>
            <w:vAlign w:val="center"/>
            <w:hideMark/>
          </w:tcPr>
          <w:p w14:paraId="2A2313E6" w14:textId="77777777" w:rsidR="00482167" w:rsidRPr="006D6BE5" w:rsidRDefault="00E63D69" w:rsidP="00A7241A">
            <w:pPr>
              <w:rPr>
                <w:rFonts w:ascii="Arial" w:hAnsi="Arial" w:cs="Arial"/>
                <w:color w:val="0563C1"/>
                <w:sz w:val="4"/>
                <w:szCs w:val="8"/>
                <w:u w:val="single"/>
                <w:lang w:val="sq-AL"/>
              </w:rPr>
            </w:pPr>
            <w:hyperlink r:id="rId174" w:history="1">
              <w:r w:rsidR="00482167" w:rsidRPr="006D6BE5">
                <w:rPr>
                  <w:rFonts w:ascii="Arial" w:hAnsi="Arial" w:cs="Arial"/>
                  <w:color w:val="0563C1"/>
                  <w:sz w:val="4"/>
                  <w:szCs w:val="8"/>
                  <w:u w:val="single"/>
                  <w:lang w:val="sq-AL"/>
                </w:rPr>
                <w:t xml:space="preserve">https://eur-lex.europa.eu/legal-content/EN/TXT/?qid=1558624477706&amp;uri=CELEX:32014R1302 </w:t>
              </w:r>
            </w:hyperlink>
          </w:p>
        </w:tc>
        <w:tc>
          <w:tcPr>
            <w:tcW w:w="506" w:type="pct"/>
            <w:tcBorders>
              <w:top w:val="nil"/>
              <w:left w:val="nil"/>
              <w:bottom w:val="single" w:sz="4" w:space="0" w:color="auto"/>
              <w:right w:val="single" w:sz="4" w:space="0" w:color="auto"/>
            </w:tcBorders>
            <w:shd w:val="clear" w:color="FFFFFF" w:fill="FFFFFF"/>
            <w:vAlign w:val="center"/>
            <w:hideMark/>
          </w:tcPr>
          <w:p w14:paraId="1EBF26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6230C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ndëroperueshmërinë në lidhje me nënsistemin "mjete hekurudhore - lokomotiva dhe mjete hekurudhore të pasagjerëve" të sistemit hekurudhor"</w:t>
            </w:r>
          </w:p>
        </w:tc>
        <w:tc>
          <w:tcPr>
            <w:tcW w:w="330" w:type="pct"/>
            <w:tcBorders>
              <w:top w:val="nil"/>
              <w:left w:val="nil"/>
              <w:bottom w:val="single" w:sz="4" w:space="0" w:color="auto"/>
              <w:right w:val="single" w:sz="4" w:space="0" w:color="auto"/>
            </w:tcBorders>
            <w:shd w:val="clear" w:color="auto" w:fill="auto"/>
            <w:vAlign w:val="center"/>
            <w:hideMark/>
          </w:tcPr>
          <w:p w14:paraId="29920D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në lidhje me nënsistemin "mjete hekurudhore - lokomotiva dhe mjete hekurudhore të pasagjerëve" të sistemit hekurudhor</w:t>
            </w:r>
          </w:p>
        </w:tc>
        <w:tc>
          <w:tcPr>
            <w:tcW w:w="126" w:type="pct"/>
            <w:tcBorders>
              <w:top w:val="nil"/>
              <w:left w:val="nil"/>
              <w:bottom w:val="single" w:sz="4" w:space="0" w:color="auto"/>
              <w:right w:val="single" w:sz="4" w:space="0" w:color="auto"/>
            </w:tcBorders>
            <w:shd w:val="clear" w:color="FFFFFF" w:fill="FFFFFF"/>
            <w:vAlign w:val="center"/>
            <w:hideMark/>
          </w:tcPr>
          <w:p w14:paraId="632E7B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953DE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1954E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7EEB4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6B867A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11787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B525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672DC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F81EA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55FAD1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358B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2CBD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E67B1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CE58D8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20DFF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E0CDA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E19F7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052711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6D91C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1303/2014 e datës 18 nëntor 2014 në lidhje me specifikimin teknik për ndërveprueshmërinë në lidhje me 'sigurinë në tunelet hekurudhore' të sistemit hekurudhor të Bashkimit Evropian Tekst me rëndësi për EEA</w:t>
            </w:r>
          </w:p>
        </w:tc>
        <w:tc>
          <w:tcPr>
            <w:tcW w:w="668" w:type="pct"/>
            <w:tcBorders>
              <w:top w:val="nil"/>
              <w:left w:val="nil"/>
              <w:bottom w:val="single" w:sz="4" w:space="0" w:color="auto"/>
              <w:right w:val="single" w:sz="4" w:space="0" w:color="auto"/>
            </w:tcBorders>
            <w:shd w:val="clear" w:color="auto" w:fill="auto"/>
            <w:vAlign w:val="center"/>
            <w:hideMark/>
          </w:tcPr>
          <w:p w14:paraId="122DD325" w14:textId="77777777" w:rsidR="00482167" w:rsidRPr="006D6BE5" w:rsidRDefault="00E63D69" w:rsidP="00A7241A">
            <w:pPr>
              <w:rPr>
                <w:rFonts w:ascii="Arial" w:hAnsi="Arial" w:cs="Arial"/>
                <w:color w:val="0563C1"/>
                <w:sz w:val="4"/>
                <w:szCs w:val="8"/>
                <w:u w:val="single"/>
                <w:lang w:val="sq-AL"/>
              </w:rPr>
            </w:pPr>
            <w:hyperlink r:id="rId175" w:history="1">
              <w:r w:rsidR="00482167" w:rsidRPr="006D6BE5">
                <w:rPr>
                  <w:rFonts w:ascii="Arial" w:hAnsi="Arial" w:cs="Arial"/>
                  <w:color w:val="0563C1"/>
                  <w:sz w:val="4"/>
                  <w:szCs w:val="8"/>
                  <w:u w:val="single"/>
                  <w:lang w:val="sq-AL"/>
                </w:rPr>
                <w:t xml:space="preserve">https://eur-lex.europa.eu/legal-content/EN/TXT/?qid=1558624919775&amp;uri=CELEX:32014R1303 </w:t>
              </w:r>
            </w:hyperlink>
          </w:p>
        </w:tc>
        <w:tc>
          <w:tcPr>
            <w:tcW w:w="506" w:type="pct"/>
            <w:tcBorders>
              <w:top w:val="nil"/>
              <w:left w:val="nil"/>
              <w:bottom w:val="single" w:sz="4" w:space="0" w:color="auto"/>
              <w:right w:val="single" w:sz="4" w:space="0" w:color="auto"/>
            </w:tcBorders>
            <w:shd w:val="clear" w:color="FFFFFF" w:fill="FFFFFF"/>
            <w:vAlign w:val="center"/>
            <w:hideMark/>
          </w:tcPr>
          <w:p w14:paraId="0309F2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F97E5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"Për miratimin e rregullores “Për specifikimet teknike për ndërveprueshmërinë në lidhje me “sigurinë në tunelet hekurudhore” të sistemit hekurudhor”</w:t>
            </w:r>
          </w:p>
        </w:tc>
        <w:tc>
          <w:tcPr>
            <w:tcW w:w="330" w:type="pct"/>
            <w:tcBorders>
              <w:top w:val="nil"/>
              <w:left w:val="nil"/>
              <w:bottom w:val="single" w:sz="4" w:space="0" w:color="auto"/>
              <w:right w:val="single" w:sz="4" w:space="0" w:color="auto"/>
            </w:tcBorders>
            <w:shd w:val="clear" w:color="FFFFFF" w:fill="FFFFFF"/>
            <w:vAlign w:val="center"/>
            <w:hideMark/>
          </w:tcPr>
          <w:p w14:paraId="713C93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specifikimet teknike për ndërveprueshmërinë në lidhje me “sigurinë në tunelet hekurudhore” të sistemit hekurudhor</w:t>
            </w:r>
          </w:p>
        </w:tc>
        <w:tc>
          <w:tcPr>
            <w:tcW w:w="126" w:type="pct"/>
            <w:tcBorders>
              <w:top w:val="nil"/>
              <w:left w:val="nil"/>
              <w:bottom w:val="single" w:sz="4" w:space="0" w:color="auto"/>
              <w:right w:val="single" w:sz="4" w:space="0" w:color="auto"/>
            </w:tcBorders>
            <w:shd w:val="clear" w:color="FFFFFF" w:fill="FFFFFF"/>
            <w:vAlign w:val="center"/>
            <w:hideMark/>
          </w:tcPr>
          <w:p w14:paraId="3BFA29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70552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24296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F9C9D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64D92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90504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07981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06AD5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D9B2D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251F9E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90559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3B12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E361C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F2296C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7421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B3DDB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F0DE6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3345FE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F3722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1304/2014 e datës 26 nëntor 2014 mbi specifikimin teknik për ndërveprueshmërinë në lidhje me nënsistemin 'mjetet hekurudhore — zhurma' që ndryshon Vendimin 2008/232/EC dhe shfuqizon Vendimin 2011/229/BE Teksti me rëndësi për ZEE</w:t>
            </w:r>
          </w:p>
        </w:tc>
        <w:tc>
          <w:tcPr>
            <w:tcW w:w="668" w:type="pct"/>
            <w:tcBorders>
              <w:top w:val="nil"/>
              <w:left w:val="nil"/>
              <w:bottom w:val="single" w:sz="4" w:space="0" w:color="auto"/>
              <w:right w:val="single" w:sz="4" w:space="0" w:color="auto"/>
            </w:tcBorders>
            <w:shd w:val="clear" w:color="auto" w:fill="auto"/>
            <w:vAlign w:val="center"/>
            <w:hideMark/>
          </w:tcPr>
          <w:p w14:paraId="212DDFBE" w14:textId="77777777" w:rsidR="00482167" w:rsidRPr="006D6BE5" w:rsidRDefault="00E63D69" w:rsidP="00A7241A">
            <w:pPr>
              <w:rPr>
                <w:rFonts w:ascii="Arial" w:hAnsi="Arial" w:cs="Arial"/>
                <w:color w:val="0563C1"/>
                <w:sz w:val="4"/>
                <w:szCs w:val="8"/>
                <w:u w:val="single"/>
                <w:lang w:val="sq-AL"/>
              </w:rPr>
            </w:pPr>
            <w:hyperlink r:id="rId176" w:history="1">
              <w:r w:rsidR="00482167" w:rsidRPr="006D6BE5">
                <w:rPr>
                  <w:rFonts w:ascii="Arial" w:hAnsi="Arial" w:cs="Arial"/>
                  <w:color w:val="0563C1"/>
                  <w:sz w:val="4"/>
                  <w:szCs w:val="8"/>
                  <w:u w:val="single"/>
                  <w:lang w:val="sq-AL"/>
                </w:rPr>
                <w:t xml:space="preserve">https://eur-lex.europa.eu/legal-content/EN/TXT/?qid=1558625093467&amp;uri=CELEX:32014R1304 </w:t>
              </w:r>
            </w:hyperlink>
          </w:p>
        </w:tc>
        <w:tc>
          <w:tcPr>
            <w:tcW w:w="506" w:type="pct"/>
            <w:tcBorders>
              <w:top w:val="nil"/>
              <w:left w:val="nil"/>
              <w:bottom w:val="single" w:sz="4" w:space="0" w:color="auto"/>
              <w:right w:val="single" w:sz="4" w:space="0" w:color="auto"/>
            </w:tcBorders>
            <w:shd w:val="clear" w:color="FFFFFF" w:fill="FFFFFF"/>
            <w:vAlign w:val="center"/>
            <w:hideMark/>
          </w:tcPr>
          <w:p w14:paraId="77ED37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6288E4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"Për specifikimet teknike për ndërveprueshmërinë në lidhje me nënsistemin e zhurmës në mjetet hekurudhore"</w:t>
            </w:r>
          </w:p>
        </w:tc>
        <w:tc>
          <w:tcPr>
            <w:tcW w:w="330" w:type="pct"/>
            <w:tcBorders>
              <w:top w:val="nil"/>
              <w:left w:val="nil"/>
              <w:bottom w:val="single" w:sz="4" w:space="0" w:color="auto"/>
              <w:right w:val="single" w:sz="4" w:space="0" w:color="auto"/>
            </w:tcBorders>
            <w:shd w:val="clear" w:color="FFFFFF" w:fill="FFFFFF"/>
            <w:vAlign w:val="center"/>
            <w:hideMark/>
          </w:tcPr>
          <w:p w14:paraId="38B516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specifikimet teknike për ndërveprueshmërinë në lidhje me nënsistemin e zhurmës në mjetet hekurudhore</w:t>
            </w:r>
          </w:p>
        </w:tc>
        <w:tc>
          <w:tcPr>
            <w:tcW w:w="126" w:type="pct"/>
            <w:tcBorders>
              <w:top w:val="nil"/>
              <w:left w:val="nil"/>
              <w:bottom w:val="single" w:sz="4" w:space="0" w:color="auto"/>
              <w:right w:val="single" w:sz="4" w:space="0" w:color="auto"/>
            </w:tcBorders>
            <w:shd w:val="clear" w:color="FFFFFF" w:fill="FFFFFF"/>
            <w:vAlign w:val="center"/>
            <w:hideMark/>
          </w:tcPr>
          <w:p w14:paraId="161D6F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25A10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442C7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0DE54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C5F41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D524B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92871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F8DA4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7DC68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1DA03E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78A80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7E08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1B15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63CF35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0016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76494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8A06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Hekurudhor</w:t>
            </w:r>
          </w:p>
        </w:tc>
        <w:tc>
          <w:tcPr>
            <w:tcW w:w="171" w:type="pct"/>
            <w:tcBorders>
              <w:top w:val="nil"/>
              <w:left w:val="nil"/>
              <w:bottom w:val="single" w:sz="4" w:space="0" w:color="auto"/>
              <w:right w:val="single" w:sz="4" w:space="0" w:color="auto"/>
            </w:tcBorders>
            <w:shd w:val="clear" w:color="FFFFFF" w:fill="FFFFFF"/>
            <w:vAlign w:val="center"/>
            <w:hideMark/>
          </w:tcPr>
          <w:p w14:paraId="1BFB87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B816D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2019/774 e datës 16 maj 2019 që ndryshon Rregulloren (BE) Nr. 1304/2014 në lidhje me aplikimin e specifikimit teknik për ndërveprueshmërinë në lidhje me nënsistemin "mjetet hekurudhore - zhurma" për vagonët ekzistues të mallrave (Tekst me EEA rëndësia.)</w:t>
            </w:r>
          </w:p>
        </w:tc>
        <w:tc>
          <w:tcPr>
            <w:tcW w:w="668" w:type="pct"/>
            <w:tcBorders>
              <w:top w:val="nil"/>
              <w:left w:val="nil"/>
              <w:bottom w:val="single" w:sz="4" w:space="0" w:color="auto"/>
              <w:right w:val="single" w:sz="4" w:space="0" w:color="auto"/>
            </w:tcBorders>
            <w:shd w:val="clear" w:color="auto" w:fill="auto"/>
            <w:vAlign w:val="center"/>
            <w:hideMark/>
          </w:tcPr>
          <w:p w14:paraId="4F5B8EF3" w14:textId="78AB73E2" w:rsidR="00482167" w:rsidRPr="006D6BE5" w:rsidRDefault="00E63D69" w:rsidP="00A7241A">
            <w:pPr>
              <w:rPr>
                <w:rFonts w:ascii="Arial" w:hAnsi="Arial" w:cs="Arial"/>
                <w:color w:val="0563C1"/>
                <w:sz w:val="4"/>
                <w:szCs w:val="8"/>
                <w:u w:val="single"/>
                <w:lang w:val="sq-AL"/>
              </w:rPr>
            </w:pPr>
            <w:hyperlink r:id="rId177" w:history="1">
              <w:r w:rsidR="00482167" w:rsidRPr="006D6BE5">
                <w:rPr>
                  <w:rFonts w:ascii="Arial" w:hAnsi="Arial" w:cs="Arial"/>
                  <w:color w:val="0563C1"/>
                  <w:sz w:val="4"/>
                  <w:szCs w:val="8"/>
                  <w:u w:val="single"/>
                  <w:lang w:val="sq-AL"/>
                </w:rPr>
                <w:t>https://eur-lex.europa.eu/legal-content/EN/TXT/?uri=uriserv:OJ.LI.2019.139.01.0089.01.ENG&amp;toc=OJ:L:2019:139I:TOC</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0687EF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27F4FDF9" w14:textId="0EE53B1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miratimin e rregullores "Për specifikimet teknike për ndërveprueshmërinë në lidhje me nënsistemin e zhurmës në mjetet hekurudhore"</w:t>
            </w:r>
          </w:p>
        </w:tc>
        <w:tc>
          <w:tcPr>
            <w:tcW w:w="330" w:type="pct"/>
            <w:tcBorders>
              <w:top w:val="nil"/>
              <w:left w:val="nil"/>
              <w:bottom w:val="single" w:sz="4" w:space="0" w:color="auto"/>
              <w:right w:val="single" w:sz="4" w:space="0" w:color="auto"/>
            </w:tcBorders>
            <w:shd w:val="clear" w:color="FFFFFF" w:fill="FFFFFF"/>
            <w:vAlign w:val="center"/>
            <w:hideMark/>
          </w:tcPr>
          <w:p w14:paraId="7CC003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Rishikimi I dispozitave të rregullores për zbatimin e Kodit Hekurudhor për specifikimet teknike për ndërveprueshmërinë në lidhje me nënsistemin e zhurmës në mjetet hekurudhore</w:t>
            </w:r>
          </w:p>
        </w:tc>
        <w:tc>
          <w:tcPr>
            <w:tcW w:w="126" w:type="pct"/>
            <w:tcBorders>
              <w:top w:val="nil"/>
              <w:left w:val="nil"/>
              <w:bottom w:val="single" w:sz="4" w:space="0" w:color="auto"/>
              <w:right w:val="single" w:sz="4" w:space="0" w:color="auto"/>
            </w:tcBorders>
            <w:shd w:val="clear" w:color="FFFFFF" w:fill="FFFFFF"/>
            <w:vAlign w:val="center"/>
            <w:hideMark/>
          </w:tcPr>
          <w:p w14:paraId="6D5297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148D88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4C1C1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81F6A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184B37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89171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C1CA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B74A2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49BC5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36F68F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E96D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20F2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C0491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8B7F4B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B5122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2A97C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B2400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F2ABF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5FD40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2019/883 e Parlamentit Evropian dhe e Këshillit e datës 17 Prill 2019 mbi objektet e shërbimeve portuale për dorëzimin e mbetjeve nga anijet, duke ndryshuar Direktivën 2010/65/BE dhe duke shfuqizuar Direktivën 2000/59/EC</w:t>
            </w:r>
          </w:p>
        </w:tc>
        <w:tc>
          <w:tcPr>
            <w:tcW w:w="668" w:type="pct"/>
            <w:tcBorders>
              <w:top w:val="nil"/>
              <w:left w:val="nil"/>
              <w:bottom w:val="single" w:sz="4" w:space="0" w:color="auto"/>
              <w:right w:val="single" w:sz="4" w:space="0" w:color="auto"/>
            </w:tcBorders>
            <w:shd w:val="clear" w:color="auto" w:fill="auto"/>
            <w:vAlign w:val="center"/>
            <w:hideMark/>
          </w:tcPr>
          <w:p w14:paraId="6FAF0B1F" w14:textId="77777777" w:rsidR="00482167" w:rsidRPr="006D6BE5" w:rsidRDefault="00E63D69" w:rsidP="00A7241A">
            <w:pPr>
              <w:rPr>
                <w:rFonts w:ascii="Arial" w:hAnsi="Arial" w:cs="Arial"/>
                <w:color w:val="0563C1"/>
                <w:sz w:val="4"/>
                <w:szCs w:val="8"/>
                <w:u w:val="single"/>
                <w:lang w:val="sq-AL"/>
              </w:rPr>
            </w:pPr>
            <w:hyperlink r:id="rId178" w:history="1">
              <w:r w:rsidR="00482167" w:rsidRPr="006D6BE5">
                <w:rPr>
                  <w:rFonts w:ascii="Arial" w:hAnsi="Arial" w:cs="Arial"/>
                  <w:color w:val="0563C1"/>
                  <w:sz w:val="4"/>
                  <w:szCs w:val="8"/>
                  <w:u w:val="single"/>
                  <w:lang w:val="sq-AL"/>
                </w:rPr>
                <w:t xml:space="preserve">https://eur-lex.europa.eu/legal-content/EN/TXT/?uri=CELEX%3A32019L0883&amp;qid=1698312524838 </w:t>
              </w:r>
            </w:hyperlink>
          </w:p>
        </w:tc>
        <w:tc>
          <w:tcPr>
            <w:tcW w:w="506" w:type="pct"/>
            <w:tcBorders>
              <w:top w:val="nil"/>
              <w:left w:val="nil"/>
              <w:bottom w:val="single" w:sz="4" w:space="0" w:color="auto"/>
              <w:right w:val="single" w:sz="4" w:space="0" w:color="auto"/>
            </w:tcBorders>
            <w:shd w:val="clear" w:color="FFFFFF" w:fill="FFFFFF"/>
            <w:vAlign w:val="center"/>
            <w:hideMark/>
          </w:tcPr>
          <w:p w14:paraId="294A89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B7B0A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Kwshillit të Ministrave "Mbi objektet e shërbimeve portuale për dorëzimin e mbetjeve nga anijet"</w:t>
            </w:r>
          </w:p>
        </w:tc>
        <w:tc>
          <w:tcPr>
            <w:tcW w:w="330" w:type="pct"/>
            <w:tcBorders>
              <w:top w:val="nil"/>
              <w:left w:val="nil"/>
              <w:bottom w:val="single" w:sz="4" w:space="0" w:color="auto"/>
              <w:right w:val="single" w:sz="4" w:space="0" w:color="auto"/>
            </w:tcBorders>
            <w:shd w:val="clear" w:color="auto" w:fill="auto"/>
            <w:vAlign w:val="center"/>
            <w:hideMark/>
          </w:tcPr>
          <w:p w14:paraId="2A454E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e mjedisit detar nga efektet negative nga shkarkimet e mbetjeve nga anijet që përdorin portet e vendosura në Republikën e Shqipërisë, duke siguruar njëkohësisht funksionimin normal të trafikut detar, duke përmirësuar disponueshmërinë dhe përdorimin e objekteve të përshtatshme të pritjes portuale dhe dërgimin e mbetjeve në ato objektet. Sigurimi i grumbullimit të veçantë për të lehtësuar ripërdorimin dhe riciklimin e mbetjeve nga anijet në porte siç kërkohet nga acquis e Bashkimit Evropian për mbetjet.</w:t>
            </w:r>
          </w:p>
        </w:tc>
        <w:tc>
          <w:tcPr>
            <w:tcW w:w="126" w:type="pct"/>
            <w:tcBorders>
              <w:top w:val="nil"/>
              <w:left w:val="nil"/>
              <w:bottom w:val="single" w:sz="4" w:space="0" w:color="auto"/>
              <w:right w:val="single" w:sz="4" w:space="0" w:color="auto"/>
            </w:tcBorders>
            <w:shd w:val="clear" w:color="FFFFFF" w:fill="FFFFFF"/>
            <w:vAlign w:val="center"/>
            <w:hideMark/>
          </w:tcPr>
          <w:p w14:paraId="3FF2E3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41603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B93E5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33C755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12057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0CB50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2EB8C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18771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04264A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C1709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D256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24198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8BF1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1A992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43438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27875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24BF8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178B83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E5032B9" w14:textId="4FA1919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2019/1239 e Parlamentit Evropian dhe e Këshillit e datës 20 qershor 2019 për themelin e një mjedisi të Vetëm të Dritareve Detare Evropiane dhe shfuqizimin e Direktivës 2010/65/BE.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Rregullorja Zbatuese e Komisionit (BE) 2023/204 e datës 28 tetor 2022 që përcakton specifikimet teknike, standardet dhe procedurat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themelimin e një mjedisi të Vetëm të Dritareve Detare Evropiane në përputhje me Rregulloren (BE) 2019/1239 të Parlamentit Evropian dhe të Këshillit.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Rregullorja e deleguar e Komisionit (BE) 2023/205 e datës 7 nëntor 2022 që plotëson Rregulloren (BE) 2019/1239 të Parlamentit Evropian dhe të Këshillit në lidhje me krijimin e grupit të të dhënave të një mjedisi të Vetëm të Dritareve Detare Evropiane dhe ndryshimin e aneksit të saj</w:t>
            </w:r>
          </w:p>
        </w:tc>
        <w:tc>
          <w:tcPr>
            <w:tcW w:w="668" w:type="pct"/>
            <w:tcBorders>
              <w:top w:val="nil"/>
              <w:left w:val="nil"/>
              <w:bottom w:val="single" w:sz="4" w:space="0" w:color="auto"/>
              <w:right w:val="single" w:sz="4" w:space="0" w:color="auto"/>
            </w:tcBorders>
            <w:shd w:val="clear" w:color="auto" w:fill="auto"/>
            <w:vAlign w:val="center"/>
            <w:hideMark/>
          </w:tcPr>
          <w:p w14:paraId="45B6BC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https://eur-lex.europa.eu/eli/reg/2019/1239/oj</w:t>
            </w:r>
            <w:r w:rsidRPr="006D6BE5">
              <w:rPr>
                <w:rFonts w:ascii="Arial" w:hAnsi="Arial" w:cs="Arial"/>
                <w:color w:val="000000"/>
                <w:sz w:val="4"/>
                <w:szCs w:val="8"/>
                <w:lang w:val="sq-AL"/>
              </w:rPr>
              <w:br/>
            </w:r>
            <w:r w:rsidRPr="006D6BE5">
              <w:rPr>
                <w:rFonts w:ascii="Arial" w:hAnsi="Arial" w:cs="Arial"/>
                <w:color w:val="000000"/>
                <w:sz w:val="4"/>
                <w:szCs w:val="8"/>
                <w:lang w:val="sq-AL"/>
              </w:rPr>
              <w:br/>
              <w:t>https://eur-lex.europa.eu/eli/reg_impl/2023/204/oj</w:t>
            </w:r>
            <w:r w:rsidRPr="006D6BE5">
              <w:rPr>
                <w:rFonts w:ascii="Arial" w:hAnsi="Arial" w:cs="Arial"/>
                <w:color w:val="000000"/>
                <w:sz w:val="4"/>
                <w:szCs w:val="8"/>
                <w:lang w:val="sq-AL"/>
              </w:rPr>
              <w:br/>
            </w:r>
            <w:r w:rsidRPr="006D6BE5">
              <w:rPr>
                <w:rFonts w:ascii="Arial" w:hAnsi="Arial" w:cs="Arial"/>
                <w:color w:val="000000"/>
                <w:sz w:val="4"/>
                <w:szCs w:val="8"/>
                <w:lang w:val="sq-AL"/>
              </w:rPr>
              <w:br/>
              <w:t>https://eur-lex.europa.eu/eli/reg_del/2023/205/oj</w:t>
            </w:r>
          </w:p>
        </w:tc>
        <w:tc>
          <w:tcPr>
            <w:tcW w:w="506" w:type="pct"/>
            <w:tcBorders>
              <w:top w:val="nil"/>
              <w:left w:val="nil"/>
              <w:bottom w:val="single" w:sz="4" w:space="0" w:color="auto"/>
              <w:right w:val="single" w:sz="4" w:space="0" w:color="auto"/>
            </w:tcBorders>
            <w:shd w:val="clear" w:color="FFFFFF" w:fill="FFFFFF"/>
            <w:vAlign w:val="center"/>
            <w:hideMark/>
          </w:tcPr>
          <w:p w14:paraId="0E59E8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A4176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themelimin e një mjedisi të Vetëm të Dritareve Detare Evropiane"</w:t>
            </w:r>
          </w:p>
        </w:tc>
        <w:tc>
          <w:tcPr>
            <w:tcW w:w="330" w:type="pct"/>
            <w:tcBorders>
              <w:top w:val="nil"/>
              <w:left w:val="nil"/>
              <w:bottom w:val="single" w:sz="4" w:space="0" w:color="auto"/>
              <w:right w:val="single" w:sz="4" w:space="0" w:color="auto"/>
            </w:tcBorders>
            <w:shd w:val="clear" w:color="auto" w:fill="auto"/>
            <w:vAlign w:val="center"/>
            <w:hideMark/>
          </w:tcPr>
          <w:p w14:paraId="2C743A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Krijimi i kuadrit ligjor për një mjedis teknologjikisht neutral dhe ndërveprues Evropian Detar me një dritare të vetme ('EMSWe') me ndërfaqe të harmonizuara, në mënyrë që të lehtësojë transmetimin elektronik të informacionit në lidhje me detyrimet e raportimit për anijet që mbërrijnë, qëndrojnë dhe nisen nga portin e shtetit</w:t>
            </w:r>
          </w:p>
        </w:tc>
        <w:tc>
          <w:tcPr>
            <w:tcW w:w="126" w:type="pct"/>
            <w:tcBorders>
              <w:top w:val="nil"/>
              <w:left w:val="nil"/>
              <w:bottom w:val="single" w:sz="4" w:space="0" w:color="auto"/>
              <w:right w:val="single" w:sz="4" w:space="0" w:color="auto"/>
            </w:tcBorders>
            <w:shd w:val="clear" w:color="FFFFFF" w:fill="FFFFFF"/>
            <w:vAlign w:val="center"/>
            <w:hideMark/>
          </w:tcPr>
          <w:p w14:paraId="01E98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75463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B737C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1878B2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96375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7ACA7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5A49C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26" w:type="pct"/>
            <w:tcBorders>
              <w:top w:val="nil"/>
              <w:left w:val="nil"/>
              <w:bottom w:val="single" w:sz="4" w:space="0" w:color="auto"/>
              <w:right w:val="single" w:sz="4" w:space="0" w:color="auto"/>
            </w:tcBorders>
            <w:shd w:val="clear" w:color="FFFFFF" w:fill="FFFFFF"/>
            <w:vAlign w:val="center"/>
            <w:hideMark/>
          </w:tcPr>
          <w:p w14:paraId="370256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FC952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95EFE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5F96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1C2C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5D47F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FD4AFB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B72EE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32509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ED72F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404AD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18626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2009/45/EC e Parlamentit Evropian dhe e Këshillit e datës 6 maj 2009 mbi rregullat dhe standardet e sigurisë për anijet e pasagjerëve (riformuar) e ndryshuar nga Direktiva e Komisionit 2010/36/BE, Direktiva e Komisionit 2016/844 dhe Direktiva 2017/2011</w:t>
            </w:r>
          </w:p>
        </w:tc>
        <w:tc>
          <w:tcPr>
            <w:tcW w:w="668" w:type="pct"/>
            <w:tcBorders>
              <w:top w:val="nil"/>
              <w:left w:val="nil"/>
              <w:bottom w:val="single" w:sz="4" w:space="0" w:color="auto"/>
              <w:right w:val="single" w:sz="4" w:space="0" w:color="auto"/>
            </w:tcBorders>
            <w:shd w:val="clear" w:color="auto" w:fill="auto"/>
            <w:vAlign w:val="center"/>
            <w:hideMark/>
          </w:tcPr>
          <w:p w14:paraId="6273FB38" w14:textId="77777777" w:rsidR="00482167" w:rsidRPr="006D6BE5" w:rsidRDefault="00E63D69" w:rsidP="00A7241A">
            <w:pPr>
              <w:rPr>
                <w:rFonts w:ascii="Arial" w:hAnsi="Arial" w:cs="Arial"/>
                <w:color w:val="0563C1"/>
                <w:sz w:val="4"/>
                <w:szCs w:val="8"/>
                <w:u w:val="single"/>
                <w:lang w:val="sq-AL"/>
              </w:rPr>
            </w:pPr>
            <w:hyperlink r:id="rId179" w:history="1">
              <w:r w:rsidR="00482167" w:rsidRPr="006D6BE5">
                <w:rPr>
                  <w:rFonts w:ascii="Arial" w:hAnsi="Arial" w:cs="Arial"/>
                  <w:color w:val="0563C1"/>
                  <w:sz w:val="4"/>
                  <w:szCs w:val="8"/>
                  <w:u w:val="single"/>
                  <w:lang w:val="sq-AL"/>
                </w:rPr>
                <w:t xml:space="preserve">https://eur-lex.europa.eu/legal-content/EN/TXT/?uri=CELEX%3A02009L0045-20220731&amp;qid=1698137615096 </w:t>
              </w:r>
            </w:hyperlink>
          </w:p>
        </w:tc>
        <w:tc>
          <w:tcPr>
            <w:tcW w:w="506" w:type="pct"/>
            <w:tcBorders>
              <w:top w:val="nil"/>
              <w:left w:val="nil"/>
              <w:bottom w:val="single" w:sz="4" w:space="0" w:color="auto"/>
              <w:right w:val="single" w:sz="4" w:space="0" w:color="auto"/>
            </w:tcBorders>
            <w:shd w:val="clear" w:color="FFFFFF" w:fill="FFFFFF"/>
            <w:vAlign w:val="center"/>
            <w:hideMark/>
          </w:tcPr>
          <w:p w14:paraId="16796F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BC5F117" w14:textId="6937332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rregullat dhe standardet e sigurisë për anijet e pasagjerëve (riformuar)"</w:t>
            </w:r>
          </w:p>
        </w:tc>
        <w:tc>
          <w:tcPr>
            <w:tcW w:w="330" w:type="pct"/>
            <w:tcBorders>
              <w:top w:val="nil"/>
              <w:left w:val="nil"/>
              <w:bottom w:val="single" w:sz="4" w:space="0" w:color="auto"/>
              <w:right w:val="single" w:sz="4" w:space="0" w:color="auto"/>
            </w:tcBorders>
            <w:shd w:val="clear" w:color="auto" w:fill="auto"/>
            <w:vAlign w:val="center"/>
            <w:hideMark/>
          </w:tcPr>
          <w:p w14:paraId="03BEDDD8" w14:textId="19C1A9C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Prezantimi i një niveli uniform të sigurisë së jetës dhe pronës në anijet e reja dhe ekzistuese të pasagjerëve dhe mjetet e pasagjerëve me shpejtësi të lartë, kur të dyja kategoritë e anijeve dhe mjeteve lundruese janë të angazhuara në udhëtimet e brendshme,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procedurat për negociata në nivel ndërkombëtar me qëllim harmonizimin e rregullave për anijet e pasagjerëve të angazhuar në udhëtime ndërkombëtare</w:t>
            </w:r>
          </w:p>
        </w:tc>
        <w:tc>
          <w:tcPr>
            <w:tcW w:w="126" w:type="pct"/>
            <w:tcBorders>
              <w:top w:val="nil"/>
              <w:left w:val="nil"/>
              <w:bottom w:val="single" w:sz="4" w:space="0" w:color="auto"/>
              <w:right w:val="single" w:sz="4" w:space="0" w:color="auto"/>
            </w:tcBorders>
            <w:shd w:val="clear" w:color="FFFFFF" w:fill="FFFFFF"/>
            <w:vAlign w:val="center"/>
            <w:hideMark/>
          </w:tcPr>
          <w:p w14:paraId="4C515C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862A4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B47F6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02BAE7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74BF4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7EF67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66A64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4AA7AC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D9694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4B892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7EB45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D73B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713DB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824F7E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6613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00B4B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C6C67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5BAB1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6458E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2017/2110 e Parlamentit Evropian dhe e Këshillit e datës 15 nëntor 2017 mbi një sistem inspektimesh për funksionimin e sigurt të anijeve të pasagjerëve ro-ro dhe mjeteve të pasagjerëve me shpejtësi të lartë në shërbim të rregullt dhe që ndryshon Direktivën 2009/16/ KE dhe shfuqizimi i Direktivës së Këshillit 1999/35/KE</w:t>
            </w:r>
          </w:p>
        </w:tc>
        <w:tc>
          <w:tcPr>
            <w:tcW w:w="668" w:type="pct"/>
            <w:tcBorders>
              <w:top w:val="nil"/>
              <w:left w:val="nil"/>
              <w:bottom w:val="single" w:sz="4" w:space="0" w:color="auto"/>
              <w:right w:val="single" w:sz="4" w:space="0" w:color="auto"/>
            </w:tcBorders>
            <w:shd w:val="clear" w:color="auto" w:fill="auto"/>
            <w:vAlign w:val="center"/>
            <w:hideMark/>
          </w:tcPr>
          <w:p w14:paraId="75656A5E" w14:textId="77777777" w:rsidR="00482167" w:rsidRPr="006D6BE5" w:rsidRDefault="00E63D69" w:rsidP="00A7241A">
            <w:pPr>
              <w:rPr>
                <w:rFonts w:ascii="Arial" w:hAnsi="Arial" w:cs="Arial"/>
                <w:color w:val="0563C1"/>
                <w:sz w:val="4"/>
                <w:szCs w:val="8"/>
                <w:u w:val="single"/>
                <w:lang w:val="sq-AL"/>
              </w:rPr>
            </w:pPr>
            <w:hyperlink r:id="rId180" w:history="1">
              <w:r w:rsidR="00482167" w:rsidRPr="006D6BE5">
                <w:rPr>
                  <w:rFonts w:ascii="Arial" w:hAnsi="Arial" w:cs="Arial"/>
                  <w:color w:val="0563C1"/>
                  <w:sz w:val="4"/>
                  <w:szCs w:val="8"/>
                  <w:u w:val="single"/>
                  <w:lang w:val="sq-AL"/>
                </w:rPr>
                <w:t xml:space="preserve">https://eur-lex.europa.eu/legal-content/EN/TXT/?uri=CELEX%3A32017L2110&amp;qid=1698137666785 </w:t>
              </w:r>
            </w:hyperlink>
          </w:p>
        </w:tc>
        <w:tc>
          <w:tcPr>
            <w:tcW w:w="506" w:type="pct"/>
            <w:tcBorders>
              <w:top w:val="nil"/>
              <w:left w:val="nil"/>
              <w:bottom w:val="single" w:sz="4" w:space="0" w:color="auto"/>
              <w:right w:val="single" w:sz="4" w:space="0" w:color="auto"/>
            </w:tcBorders>
            <w:shd w:val="clear" w:color="FFFFFF" w:fill="FFFFFF"/>
            <w:vAlign w:val="center"/>
            <w:hideMark/>
          </w:tcPr>
          <w:p w14:paraId="4EAE86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85FE5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një sistem inspektimesh për funksionimin e sigurt të anijeve të pasagjerëve ro-ro dhe mjeteve të pasagjerëve me shpejtësi të lartë në shërbim të rregullt"</w:t>
            </w:r>
          </w:p>
        </w:tc>
        <w:tc>
          <w:tcPr>
            <w:tcW w:w="330" w:type="pct"/>
            <w:tcBorders>
              <w:top w:val="nil"/>
              <w:left w:val="nil"/>
              <w:bottom w:val="single" w:sz="4" w:space="0" w:color="auto"/>
              <w:right w:val="single" w:sz="4" w:space="0" w:color="auto"/>
            </w:tcBorders>
            <w:shd w:val="clear" w:color="auto" w:fill="auto"/>
            <w:vAlign w:val="center"/>
            <w:hideMark/>
          </w:tcPr>
          <w:p w14:paraId="31FD63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Inspektimi i anijeve të pasagjerëve ro-ro dhe anijeve të pasagjerëve me shpejtësi të lartë që operojnë në:</w:t>
            </w:r>
            <w:r w:rsidRPr="006D6BE5">
              <w:rPr>
                <w:rFonts w:ascii="Arial" w:hAnsi="Arial" w:cs="Arial"/>
                <w:color w:val="000000"/>
                <w:sz w:val="4"/>
                <w:szCs w:val="8"/>
                <w:lang w:val="sq-AL"/>
              </w:rPr>
              <w:br/>
              <w:t>(a) në një shërbim të rregullt midis një porti të shtetit tonë dhe një porti të një vendi të tretë ku flamuri i mjetit lundrues është shqiptar; ose</w:t>
            </w:r>
            <w:r w:rsidRPr="006D6BE5">
              <w:rPr>
                <w:rFonts w:ascii="Arial" w:hAnsi="Arial" w:cs="Arial"/>
                <w:color w:val="000000"/>
                <w:sz w:val="4"/>
                <w:szCs w:val="8"/>
                <w:lang w:val="sq-AL"/>
              </w:rPr>
              <w:br/>
              <w:t>(b) në një shërbim të rregullt në udhëtimet e brendshme në zonat detare në të cilat anijet e Klasit A mund të operojnë në përputhje me nenin 4 të Direktivës 2009/45/EC të Parlamentit Evropian dhe të Këshillit (6).</w:t>
            </w:r>
          </w:p>
        </w:tc>
        <w:tc>
          <w:tcPr>
            <w:tcW w:w="126" w:type="pct"/>
            <w:tcBorders>
              <w:top w:val="nil"/>
              <w:left w:val="nil"/>
              <w:bottom w:val="single" w:sz="4" w:space="0" w:color="auto"/>
              <w:right w:val="single" w:sz="4" w:space="0" w:color="auto"/>
            </w:tcBorders>
            <w:shd w:val="clear" w:color="FFFFFF" w:fill="FFFFFF"/>
            <w:vAlign w:val="center"/>
            <w:hideMark/>
          </w:tcPr>
          <w:p w14:paraId="60ED1E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3AB9F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A02B0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0433A6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C89BB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5AECF6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FC7C3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D9EDE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12D3E0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55BB1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9C316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4F3E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712D2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620E9E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D47B3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2C8EF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196E8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57246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C097E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98/41/EC e datës 18 qershor 1998 mbi regjistrimin e personave që lundrojnë në bordin e anijeve të pasagjerëve që operojnë në ose nga portet e Shteteve Anëtare të Komunitetit, ndryshuar nga Direktiva 2002/84/EC, Rregullorja Nr. 1137/2008 dhe Direktiva ( BE) 2017/2109</w:t>
            </w:r>
          </w:p>
        </w:tc>
        <w:tc>
          <w:tcPr>
            <w:tcW w:w="668" w:type="pct"/>
            <w:tcBorders>
              <w:top w:val="nil"/>
              <w:left w:val="nil"/>
              <w:bottom w:val="single" w:sz="4" w:space="0" w:color="auto"/>
              <w:right w:val="single" w:sz="4" w:space="0" w:color="auto"/>
            </w:tcBorders>
            <w:shd w:val="clear" w:color="auto" w:fill="auto"/>
            <w:vAlign w:val="center"/>
            <w:hideMark/>
          </w:tcPr>
          <w:p w14:paraId="4346777F" w14:textId="77777777" w:rsidR="00482167" w:rsidRPr="006D6BE5" w:rsidRDefault="00E63D69" w:rsidP="00A7241A">
            <w:pPr>
              <w:rPr>
                <w:rFonts w:ascii="Arial" w:hAnsi="Arial" w:cs="Arial"/>
                <w:color w:val="0563C1"/>
                <w:sz w:val="4"/>
                <w:szCs w:val="8"/>
                <w:u w:val="single"/>
                <w:lang w:val="sq-AL"/>
              </w:rPr>
            </w:pPr>
            <w:hyperlink r:id="rId181" w:history="1">
              <w:r w:rsidR="00482167" w:rsidRPr="006D6BE5">
                <w:rPr>
                  <w:rFonts w:ascii="Arial" w:hAnsi="Arial" w:cs="Arial"/>
                  <w:color w:val="0563C1"/>
                  <w:sz w:val="4"/>
                  <w:szCs w:val="8"/>
                  <w:u w:val="single"/>
                  <w:lang w:val="sq-AL"/>
                </w:rPr>
                <w:t xml:space="preserve">https://eur-lex.europa.eu/legal-content/EN/TXT/?uri=CELEX%3A01998L0041-20191221&amp;qid=1698137775817 </w:t>
              </w:r>
            </w:hyperlink>
          </w:p>
        </w:tc>
        <w:tc>
          <w:tcPr>
            <w:tcW w:w="506" w:type="pct"/>
            <w:tcBorders>
              <w:top w:val="nil"/>
              <w:left w:val="nil"/>
              <w:bottom w:val="single" w:sz="4" w:space="0" w:color="auto"/>
              <w:right w:val="single" w:sz="4" w:space="0" w:color="auto"/>
            </w:tcBorders>
            <w:shd w:val="clear" w:color="FFFFFF" w:fill="FFFFFF"/>
            <w:vAlign w:val="center"/>
            <w:hideMark/>
          </w:tcPr>
          <w:p w14:paraId="016327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3E26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regjistrimin e personave që lundrojnë në bordin e anijeve të pasagjerëve që operojnë drejt ose nga portet e Republikës së Shqipërisë</w:t>
            </w:r>
          </w:p>
        </w:tc>
        <w:tc>
          <w:tcPr>
            <w:tcW w:w="330" w:type="pct"/>
            <w:tcBorders>
              <w:top w:val="nil"/>
              <w:left w:val="nil"/>
              <w:bottom w:val="single" w:sz="4" w:space="0" w:color="auto"/>
              <w:right w:val="single" w:sz="4" w:space="0" w:color="auto"/>
            </w:tcBorders>
            <w:shd w:val="clear" w:color="FFFFFF" w:fill="FFFFFF"/>
            <w:vAlign w:val="center"/>
            <w:hideMark/>
          </w:tcPr>
          <w:p w14:paraId="2EF920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Rritja e sigurisë dhe mundësive të shpëtimit të pasagjerëve dhe ekuipazhit në bordin e anijeve të pasagjerëve që operojnë drejt ose nga portet e shtetit dhe për të siguruar që kërkimi dhe shpëtimi dhe pasojat e çdo aksidenti që mund të ndodhë mund të trajtohen në mënyrë më efektive; Sigurimi i rregullave dhe sistemit për të regjistruar të gjithë pasagjerët dhe ekuipazhin përpara nisjes së anijes</w:t>
            </w:r>
          </w:p>
        </w:tc>
        <w:tc>
          <w:tcPr>
            <w:tcW w:w="126" w:type="pct"/>
            <w:tcBorders>
              <w:top w:val="nil"/>
              <w:left w:val="nil"/>
              <w:bottom w:val="single" w:sz="4" w:space="0" w:color="auto"/>
              <w:right w:val="single" w:sz="4" w:space="0" w:color="auto"/>
            </w:tcBorders>
            <w:shd w:val="clear" w:color="FFFFFF" w:fill="FFFFFF"/>
            <w:vAlign w:val="center"/>
            <w:hideMark/>
          </w:tcPr>
          <w:p w14:paraId="2658C3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651C3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9BA34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779000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A7749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D3ABE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1B116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6" w:type="pct"/>
            <w:tcBorders>
              <w:top w:val="nil"/>
              <w:left w:val="nil"/>
              <w:bottom w:val="single" w:sz="4" w:space="0" w:color="auto"/>
              <w:right w:val="single" w:sz="4" w:space="0" w:color="auto"/>
            </w:tcBorders>
            <w:shd w:val="clear" w:color="FFFFFF" w:fill="FFFFFF"/>
            <w:vAlign w:val="center"/>
            <w:hideMark/>
          </w:tcPr>
          <w:p w14:paraId="11C027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3C73A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D1792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545F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BE08E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D854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834F18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7B93F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8D40D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A12F5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5461C5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5E7BB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(KE) Nr. 392/2009 e Parlamentit Evropian dhe e Këshillit e datës 23 prill 2009 mbi përgjegjësinë e transportuesve të pasagjerëve nga deti në rast aksidentesh</w:t>
            </w:r>
          </w:p>
        </w:tc>
        <w:tc>
          <w:tcPr>
            <w:tcW w:w="668" w:type="pct"/>
            <w:tcBorders>
              <w:top w:val="nil"/>
              <w:left w:val="nil"/>
              <w:bottom w:val="single" w:sz="4" w:space="0" w:color="auto"/>
              <w:right w:val="single" w:sz="4" w:space="0" w:color="auto"/>
            </w:tcBorders>
            <w:shd w:val="clear" w:color="auto" w:fill="auto"/>
            <w:vAlign w:val="center"/>
            <w:hideMark/>
          </w:tcPr>
          <w:p w14:paraId="6608946B" w14:textId="77777777" w:rsidR="00482167" w:rsidRPr="006D6BE5" w:rsidRDefault="00E63D69" w:rsidP="00A7241A">
            <w:pPr>
              <w:rPr>
                <w:rFonts w:ascii="Arial" w:hAnsi="Arial" w:cs="Arial"/>
                <w:color w:val="0563C1"/>
                <w:sz w:val="4"/>
                <w:szCs w:val="8"/>
                <w:u w:val="single"/>
                <w:lang w:val="sq-AL"/>
              </w:rPr>
            </w:pPr>
            <w:hyperlink r:id="rId182" w:history="1">
              <w:r w:rsidR="00482167" w:rsidRPr="006D6BE5">
                <w:rPr>
                  <w:rFonts w:ascii="Arial" w:hAnsi="Arial" w:cs="Arial"/>
                  <w:color w:val="0563C1"/>
                  <w:sz w:val="4"/>
                  <w:szCs w:val="8"/>
                  <w:u w:val="single"/>
                  <w:lang w:val="sq-AL"/>
                </w:rPr>
                <w:t xml:space="preserve">https://eur-lex.europa.eu/legal-content/EN/TXT/?uri=CELEX%3A02009R0392-20190726&amp;qid=1698137828555 </w:t>
              </w:r>
            </w:hyperlink>
          </w:p>
        </w:tc>
        <w:tc>
          <w:tcPr>
            <w:tcW w:w="506" w:type="pct"/>
            <w:tcBorders>
              <w:top w:val="nil"/>
              <w:left w:val="nil"/>
              <w:bottom w:val="single" w:sz="4" w:space="0" w:color="auto"/>
              <w:right w:val="single" w:sz="4" w:space="0" w:color="auto"/>
            </w:tcBorders>
            <w:shd w:val="clear" w:color="FFFFFF" w:fill="FFFFFF"/>
            <w:vAlign w:val="center"/>
            <w:hideMark/>
          </w:tcPr>
          <w:p w14:paraId="7232AF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D9116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përgjegjësinë e transportuesve të pasagjerëve nga deti në rast aksidenti"</w:t>
            </w:r>
          </w:p>
        </w:tc>
        <w:tc>
          <w:tcPr>
            <w:tcW w:w="330" w:type="pct"/>
            <w:tcBorders>
              <w:top w:val="nil"/>
              <w:left w:val="nil"/>
              <w:bottom w:val="single" w:sz="4" w:space="0" w:color="auto"/>
              <w:right w:val="single" w:sz="4" w:space="0" w:color="auto"/>
            </w:tcBorders>
            <w:shd w:val="clear" w:color="FFFFFF" w:fill="FFFFFF"/>
            <w:vAlign w:val="center"/>
            <w:hideMark/>
          </w:tcPr>
          <w:p w14:paraId="620646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rregullave për regjimin në lidhje me përgjegjësinë dhe sigurimin për transportin e udhëtarëve në rrugë detare siç përcaktohet në dispozitat përkatëse të:</w:t>
            </w:r>
            <w:r w:rsidRPr="006D6BE5">
              <w:rPr>
                <w:rFonts w:ascii="Arial" w:hAnsi="Arial" w:cs="Arial"/>
                <w:color w:val="000000"/>
                <w:sz w:val="4"/>
                <w:szCs w:val="8"/>
                <w:lang w:val="sq-AL"/>
              </w:rPr>
              <w:br/>
              <w:t xml:space="preserve">a) Konventes se Athinës në lidhje me transportin e pasagjerëve dhe bagazheve të tyre në det, 1974, e ndryshuar nga Protokolli i 2002 (Konventa e Athinës) siç përcaktohet në Aneksin I; dhe </w:t>
            </w:r>
            <w:r w:rsidRPr="006D6BE5">
              <w:rPr>
                <w:rFonts w:ascii="Arial" w:hAnsi="Arial" w:cs="Arial"/>
                <w:color w:val="000000"/>
                <w:sz w:val="4"/>
                <w:szCs w:val="8"/>
                <w:lang w:val="sq-AL"/>
              </w:rPr>
              <w:br/>
              <w:t>(b) Rezervën e IMO-s dhe Udhëzimet për Zbatimin e Konventës së Athinës të miratuar nga Komiteti Ligjor i IMO-së më 19 tetor 2006 (Udhëzimet e IMO-së) siç përcaktohet në Aneksin II</w:t>
            </w:r>
          </w:p>
        </w:tc>
        <w:tc>
          <w:tcPr>
            <w:tcW w:w="126" w:type="pct"/>
            <w:tcBorders>
              <w:top w:val="nil"/>
              <w:left w:val="nil"/>
              <w:bottom w:val="single" w:sz="4" w:space="0" w:color="auto"/>
              <w:right w:val="single" w:sz="4" w:space="0" w:color="auto"/>
            </w:tcBorders>
            <w:shd w:val="clear" w:color="FFFFFF" w:fill="FFFFFF"/>
            <w:vAlign w:val="center"/>
            <w:hideMark/>
          </w:tcPr>
          <w:p w14:paraId="25C8E5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72846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F1DD6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46AAC2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0026C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181AB0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2E73D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C30D8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48E44E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99F14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6D262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021CE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BF59A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7D9A3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2217C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9B387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7521F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48A6B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D3EC4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2009/16/KE e Parlamentit Evropian dhe e Këshillit e datës 23 prill 2009 mbi Kontrollin Shtetëror Portual (riformuar) e ndryshuar nga Direktiva 2013/38 Rregullorja 2015/757 dhe Direktiva 2017/2110</w:t>
            </w:r>
          </w:p>
        </w:tc>
        <w:tc>
          <w:tcPr>
            <w:tcW w:w="668" w:type="pct"/>
            <w:tcBorders>
              <w:top w:val="nil"/>
              <w:left w:val="nil"/>
              <w:bottom w:val="single" w:sz="4" w:space="0" w:color="auto"/>
              <w:right w:val="single" w:sz="4" w:space="0" w:color="auto"/>
            </w:tcBorders>
            <w:shd w:val="clear" w:color="auto" w:fill="auto"/>
            <w:vAlign w:val="center"/>
            <w:hideMark/>
          </w:tcPr>
          <w:p w14:paraId="5C089884" w14:textId="77777777" w:rsidR="00482167" w:rsidRPr="006D6BE5" w:rsidRDefault="00E63D69" w:rsidP="00A7241A">
            <w:pPr>
              <w:rPr>
                <w:rFonts w:ascii="Arial" w:hAnsi="Arial" w:cs="Arial"/>
                <w:color w:val="0563C1"/>
                <w:sz w:val="4"/>
                <w:szCs w:val="8"/>
                <w:u w:val="single"/>
                <w:lang w:val="sq-AL"/>
              </w:rPr>
            </w:pPr>
            <w:hyperlink r:id="rId183" w:history="1">
              <w:r w:rsidR="00482167" w:rsidRPr="006D6BE5">
                <w:rPr>
                  <w:rFonts w:ascii="Arial" w:hAnsi="Arial" w:cs="Arial"/>
                  <w:color w:val="0563C1"/>
                  <w:sz w:val="4"/>
                  <w:szCs w:val="8"/>
                  <w:u w:val="single"/>
                  <w:lang w:val="sq-AL"/>
                </w:rPr>
                <w:t xml:space="preserve">https://eur-lex.europa.eu/legal-content/EN/TXT/?uri=CELEX%3A02009L0016-20191221&amp;qid=1698138026185 </w:t>
              </w:r>
            </w:hyperlink>
          </w:p>
        </w:tc>
        <w:tc>
          <w:tcPr>
            <w:tcW w:w="506" w:type="pct"/>
            <w:tcBorders>
              <w:top w:val="nil"/>
              <w:left w:val="nil"/>
              <w:bottom w:val="single" w:sz="4" w:space="0" w:color="auto"/>
              <w:right w:val="single" w:sz="4" w:space="0" w:color="auto"/>
            </w:tcBorders>
            <w:shd w:val="clear" w:color="FFFFFF" w:fill="FFFFFF"/>
            <w:vAlign w:val="center"/>
            <w:hideMark/>
          </w:tcPr>
          <w:p w14:paraId="50CFDA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102B0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Kontrollin Shtetëror Portual"</w:t>
            </w:r>
          </w:p>
        </w:tc>
        <w:tc>
          <w:tcPr>
            <w:tcW w:w="330" w:type="pct"/>
            <w:tcBorders>
              <w:top w:val="nil"/>
              <w:left w:val="nil"/>
              <w:bottom w:val="single" w:sz="4" w:space="0" w:color="auto"/>
              <w:right w:val="single" w:sz="4" w:space="0" w:color="auto"/>
            </w:tcBorders>
            <w:shd w:val="clear" w:color="auto" w:fill="auto"/>
            <w:vAlign w:val="center"/>
            <w:hideMark/>
          </w:tcPr>
          <w:p w14:paraId="6F4CF90E" w14:textId="28B6A13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Synohet të reduktohet transporti nën standard në ujërat nën juridiksionin e Shteteve Anëtare duke:</w:t>
            </w:r>
            <w:r w:rsidRPr="006D6BE5">
              <w:rPr>
                <w:rFonts w:ascii="Arial" w:hAnsi="Arial" w:cs="Arial"/>
                <w:color w:val="000000"/>
                <w:sz w:val="4"/>
                <w:szCs w:val="8"/>
                <w:lang w:val="sq-AL"/>
              </w:rPr>
              <w:br/>
              <w:t>(a)</w:t>
            </w:r>
            <w:r w:rsidRPr="006D6BE5">
              <w:rPr>
                <w:rFonts w:ascii="Arial" w:hAnsi="Arial" w:cs="Arial"/>
                <w:color w:val="000000"/>
                <w:sz w:val="4"/>
                <w:szCs w:val="8"/>
                <w:lang w:val="sq-AL"/>
              </w:rPr>
              <w:br/>
              <w:t>rritur përputhshmërinë me legjislacionin ndërkombëtar dhe përkatës të Komunitetit për sigurinë detare, sigurinë detare, mbrojtjen e mjedisit detar dhe kushtet e jetesës dhe punës në bord të anijeve me të gjithë flamujt;</w:t>
            </w:r>
            <w:r w:rsidRPr="006D6BE5">
              <w:rPr>
                <w:rFonts w:ascii="Arial" w:hAnsi="Arial" w:cs="Arial"/>
                <w:color w:val="000000"/>
                <w:sz w:val="4"/>
                <w:szCs w:val="8"/>
                <w:lang w:val="sq-AL"/>
              </w:rPr>
              <w:br/>
              <w:t>(b)</w:t>
            </w:r>
            <w:r w:rsidRPr="006D6BE5">
              <w:rPr>
                <w:rFonts w:ascii="Arial" w:hAnsi="Arial" w:cs="Arial"/>
                <w:color w:val="000000"/>
                <w:sz w:val="4"/>
                <w:szCs w:val="8"/>
                <w:lang w:val="sq-AL"/>
              </w:rPr>
              <w:br/>
              <w:t>vendosjen e kritereve të përbashkëta për kontrollin e anijeve nga shteti portual dhe harmonizimin e procedurave për inspektimin dhe ndalimin, duke u mbështetur në ekspertizën dhe përvojën në kuadër të Memorandumit të Mirëkuptimit të Parisit;</w:t>
            </w:r>
            <w:r w:rsidRPr="006D6BE5">
              <w:rPr>
                <w:rFonts w:ascii="Arial" w:hAnsi="Arial" w:cs="Arial"/>
                <w:color w:val="000000"/>
                <w:sz w:val="4"/>
                <w:szCs w:val="8"/>
                <w:lang w:val="sq-AL"/>
              </w:rPr>
              <w:br/>
              <w:t>(c)</w:t>
            </w:r>
            <w:r w:rsidRPr="006D6BE5">
              <w:rPr>
                <w:rFonts w:ascii="Arial" w:hAnsi="Arial" w:cs="Arial"/>
                <w:color w:val="000000"/>
                <w:sz w:val="4"/>
                <w:szCs w:val="8"/>
                <w:lang w:val="sq-AL"/>
              </w:rPr>
              <w:br/>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zbatimin brenda Komunitetit i një sistemi kontrolli nga shteti portual i bazuar në inspektimet e kryera brenda Komunitetit dhe rajonit të Memorandumit të Mirëkuptimit të Parisit, duke synuar inspektimin e të gjitha anijeve me një frekuencë në varësi të profilit të tyre të rrezikut, me anijet që paraqesin një rrezik më të lartë që i nënshtrohen një më shumë inspektimi i detajuar i kryer në intervale më të shpeshta</w:t>
            </w:r>
          </w:p>
        </w:tc>
        <w:tc>
          <w:tcPr>
            <w:tcW w:w="126" w:type="pct"/>
            <w:tcBorders>
              <w:top w:val="nil"/>
              <w:left w:val="nil"/>
              <w:bottom w:val="single" w:sz="4" w:space="0" w:color="auto"/>
              <w:right w:val="single" w:sz="4" w:space="0" w:color="auto"/>
            </w:tcBorders>
            <w:shd w:val="clear" w:color="FFFFFF" w:fill="FFFFFF"/>
            <w:vAlign w:val="center"/>
            <w:hideMark/>
          </w:tcPr>
          <w:p w14:paraId="76FB86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A6F0B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11B69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13B8C8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2F1D8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30417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F1754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D0FA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C2488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29" w:type="pct"/>
            <w:tcBorders>
              <w:top w:val="nil"/>
              <w:left w:val="nil"/>
              <w:bottom w:val="single" w:sz="4" w:space="0" w:color="auto"/>
              <w:right w:val="single" w:sz="4" w:space="0" w:color="auto"/>
            </w:tcBorders>
            <w:shd w:val="clear" w:color="FFFFFF" w:fill="FFFFFF"/>
            <w:vAlign w:val="center"/>
            <w:hideMark/>
          </w:tcPr>
          <w:p w14:paraId="508F9D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099B8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44CA1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AD8A6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C9B8EE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19262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7E675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F2FB2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53EDAD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02943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2002/59/EC e Parlamentit Evropian dhe e Këshillit që krijon një sistem informimi dhe monitorimi të trafikut të anijeve të Komunitetit dhe shfuqizon Direktivën e Këshillit 93/75/EEC, amenduar nga Direktiva 2009/17/EC, Direktiva 2009/18/EC, Komisioni Direktiva 2011/15/BE dhe Direktiva e Komisionit 2014/100/BE (versioni i konsoliduar)</w:t>
            </w:r>
          </w:p>
        </w:tc>
        <w:tc>
          <w:tcPr>
            <w:tcW w:w="668" w:type="pct"/>
            <w:tcBorders>
              <w:top w:val="nil"/>
              <w:left w:val="nil"/>
              <w:bottom w:val="single" w:sz="4" w:space="0" w:color="auto"/>
              <w:right w:val="single" w:sz="4" w:space="0" w:color="auto"/>
            </w:tcBorders>
            <w:shd w:val="clear" w:color="auto" w:fill="auto"/>
            <w:vAlign w:val="center"/>
            <w:hideMark/>
          </w:tcPr>
          <w:p w14:paraId="2A0FC146" w14:textId="77777777" w:rsidR="00482167" w:rsidRPr="006D6BE5" w:rsidRDefault="00E63D69" w:rsidP="00A7241A">
            <w:pPr>
              <w:rPr>
                <w:rFonts w:ascii="Arial" w:hAnsi="Arial" w:cs="Arial"/>
                <w:color w:val="0563C1"/>
                <w:sz w:val="4"/>
                <w:szCs w:val="8"/>
                <w:u w:val="single"/>
                <w:lang w:val="sq-AL"/>
              </w:rPr>
            </w:pPr>
            <w:hyperlink r:id="rId184" w:history="1">
              <w:r w:rsidR="00482167" w:rsidRPr="006D6BE5">
                <w:rPr>
                  <w:rFonts w:ascii="Arial" w:hAnsi="Arial" w:cs="Arial"/>
                  <w:color w:val="0563C1"/>
                  <w:sz w:val="4"/>
                  <w:szCs w:val="8"/>
                  <w:u w:val="single"/>
                  <w:lang w:val="sq-AL"/>
                </w:rPr>
                <w:t xml:space="preserve">https://eur-lex.europa.eu/legal-content/EN/TXT/?uri=CELEX%3A02002L0059-20190726&amp;qid=1698138421137 </w:t>
              </w:r>
            </w:hyperlink>
          </w:p>
        </w:tc>
        <w:tc>
          <w:tcPr>
            <w:tcW w:w="506" w:type="pct"/>
            <w:tcBorders>
              <w:top w:val="nil"/>
              <w:left w:val="nil"/>
              <w:bottom w:val="single" w:sz="4" w:space="0" w:color="auto"/>
              <w:right w:val="single" w:sz="4" w:space="0" w:color="auto"/>
            </w:tcBorders>
            <w:shd w:val="clear" w:color="FFFFFF" w:fill="FFFFFF"/>
            <w:vAlign w:val="center"/>
            <w:hideMark/>
          </w:tcPr>
          <w:p w14:paraId="397655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BB142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ngritjen e një sistemi të monitorimit dhe informacionit të trafikut të anijeve te Komunitetit"</w:t>
            </w:r>
          </w:p>
        </w:tc>
        <w:tc>
          <w:tcPr>
            <w:tcW w:w="330" w:type="pct"/>
            <w:tcBorders>
              <w:top w:val="nil"/>
              <w:left w:val="nil"/>
              <w:bottom w:val="single" w:sz="4" w:space="0" w:color="auto"/>
              <w:right w:val="single" w:sz="4" w:space="0" w:color="auto"/>
            </w:tcBorders>
            <w:shd w:val="clear" w:color="auto" w:fill="auto"/>
            <w:vAlign w:val="center"/>
            <w:hideMark/>
          </w:tcPr>
          <w:p w14:paraId="2A4889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Ngritja e një sistemi monitorimi dhe informacioni të trafikut të anijeve me synimin për të rritur sigurinë dhe efikasitetin e trafikut detar, përmirësimin e reagimit të autoriteteve ndaj incidenteve, aksidenteve ose situatave potencialisht të rrezikshme në det, duke përfshirë operacionet e kërkim-shpëtimit dhe kontributin në një parandalim më të mirë dhe zbulimin e ndotjes nga anijet.</w:t>
            </w:r>
          </w:p>
        </w:tc>
        <w:tc>
          <w:tcPr>
            <w:tcW w:w="126" w:type="pct"/>
            <w:tcBorders>
              <w:top w:val="nil"/>
              <w:left w:val="nil"/>
              <w:bottom w:val="single" w:sz="4" w:space="0" w:color="auto"/>
              <w:right w:val="single" w:sz="4" w:space="0" w:color="auto"/>
            </w:tcBorders>
            <w:shd w:val="clear" w:color="FFFFFF" w:fill="FFFFFF"/>
            <w:vAlign w:val="center"/>
            <w:hideMark/>
          </w:tcPr>
          <w:p w14:paraId="3BC8B5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DD4B3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3EE11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5F26B3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AAF5B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4657B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44065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58489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589F6E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7712F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40FA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DC3A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2AAC6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CB0E85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6C641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ED86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E650E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15DECD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F7749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(KE) Nr 391/2009 e Parlamentit Evropian dhe e Këshillit e datës 23 prill 2009 mbi rregullat dhe standardet e përbashkëta për organizatat e inspektimit dhe survejimit të anijeve, ndryshuar nga Rregullorja Zbatuese e Komisionit (BE) Nr. 1355/2014 (versioni i konsoliduar)</w:t>
            </w:r>
          </w:p>
        </w:tc>
        <w:tc>
          <w:tcPr>
            <w:tcW w:w="668" w:type="pct"/>
            <w:tcBorders>
              <w:top w:val="nil"/>
              <w:left w:val="nil"/>
              <w:bottom w:val="single" w:sz="4" w:space="0" w:color="auto"/>
              <w:right w:val="single" w:sz="4" w:space="0" w:color="auto"/>
            </w:tcBorders>
            <w:shd w:val="clear" w:color="auto" w:fill="auto"/>
            <w:vAlign w:val="center"/>
            <w:hideMark/>
          </w:tcPr>
          <w:p w14:paraId="3E4CCD95" w14:textId="77777777" w:rsidR="00482167" w:rsidRPr="006D6BE5" w:rsidRDefault="00E63D69" w:rsidP="00A7241A">
            <w:pPr>
              <w:rPr>
                <w:rFonts w:ascii="Arial" w:hAnsi="Arial" w:cs="Arial"/>
                <w:color w:val="0563C1"/>
                <w:sz w:val="4"/>
                <w:szCs w:val="8"/>
                <w:u w:val="single"/>
                <w:lang w:val="sq-AL"/>
              </w:rPr>
            </w:pPr>
            <w:hyperlink r:id="rId185" w:history="1">
              <w:r w:rsidR="00482167" w:rsidRPr="006D6BE5">
                <w:rPr>
                  <w:rFonts w:ascii="Arial" w:hAnsi="Arial" w:cs="Arial"/>
                  <w:color w:val="0563C1"/>
                  <w:sz w:val="4"/>
                  <w:szCs w:val="8"/>
                  <w:u w:val="single"/>
                  <w:lang w:val="sq-AL"/>
                </w:rPr>
                <w:t xml:space="preserve">https://eur-lex.europa.eu/legal-content/EN/TXT/?uri=CELEX%3A32009R0391&amp;qid=1698138881719 </w:t>
              </w:r>
            </w:hyperlink>
          </w:p>
        </w:tc>
        <w:tc>
          <w:tcPr>
            <w:tcW w:w="506" w:type="pct"/>
            <w:tcBorders>
              <w:top w:val="nil"/>
              <w:left w:val="nil"/>
              <w:bottom w:val="single" w:sz="4" w:space="0" w:color="auto"/>
              <w:right w:val="single" w:sz="4" w:space="0" w:color="auto"/>
            </w:tcBorders>
            <w:shd w:val="clear" w:color="FFFFFF" w:fill="FFFFFF"/>
            <w:vAlign w:val="center"/>
            <w:hideMark/>
          </w:tcPr>
          <w:p w14:paraId="2377AB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0FCA1E1" w14:textId="5BBD9E5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rregullat dhe standardet e përbashkëta për organizatat e inspektimit dhe survejimit të anijeve"</w:t>
            </w:r>
          </w:p>
        </w:tc>
        <w:tc>
          <w:tcPr>
            <w:tcW w:w="330" w:type="pct"/>
            <w:tcBorders>
              <w:top w:val="nil"/>
              <w:left w:val="nil"/>
              <w:bottom w:val="single" w:sz="4" w:space="0" w:color="auto"/>
              <w:right w:val="single" w:sz="4" w:space="0" w:color="auto"/>
            </w:tcBorders>
            <w:shd w:val="clear" w:color="auto" w:fill="auto"/>
            <w:vAlign w:val="center"/>
            <w:hideMark/>
          </w:tcPr>
          <w:p w14:paraId="36DAF8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Vendosja e masave që duhen ndjekur nga organizatat të cilave u është besuar inspektimi, vëzhgimi dhe certifikimi i anijeve për respektimin e konventave ndërkombëtare për sigurinë në det dhe parandalimin e ndotjes detare, duke çuar më tej objektivin e lirisë së ofrimit të shërbimeve. Kjo përfshin zhvillimin dhe zbatimin e kërkesave të sigurisë për bykun, makineritë dhe instalimet elektrike dhe kontrolluese të anijeve që janë objekt i konventave ndërkombëtare</w:t>
            </w:r>
          </w:p>
        </w:tc>
        <w:tc>
          <w:tcPr>
            <w:tcW w:w="126" w:type="pct"/>
            <w:tcBorders>
              <w:top w:val="nil"/>
              <w:left w:val="nil"/>
              <w:bottom w:val="single" w:sz="4" w:space="0" w:color="auto"/>
              <w:right w:val="single" w:sz="4" w:space="0" w:color="auto"/>
            </w:tcBorders>
            <w:shd w:val="clear" w:color="FFFFFF" w:fill="FFFFFF"/>
            <w:vAlign w:val="center"/>
            <w:hideMark/>
          </w:tcPr>
          <w:p w14:paraId="098C5A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884B8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6AD99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CF59F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6039C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386C8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4B5D4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EB063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0FF67D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E3B46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169E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5BA3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32710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B1C0DA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9CF77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72C28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42578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C93F7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3920F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2009/15/EC e Parlamentit Evropian dhe e Këshillit e datës 23 prill 2009 mbi rregullat dhe standardet e përbashkëta për organizatat e inspektimit dhe survejimit të anijeve dhe për aktivitetet përkatëse të administratave detare të ndryshuar nga Direktiva Zbatuese e Komisionit 2014/111/BE (versioni i konsoliduar )</w:t>
            </w:r>
          </w:p>
        </w:tc>
        <w:tc>
          <w:tcPr>
            <w:tcW w:w="668" w:type="pct"/>
            <w:tcBorders>
              <w:top w:val="nil"/>
              <w:left w:val="nil"/>
              <w:bottom w:val="single" w:sz="4" w:space="0" w:color="auto"/>
              <w:right w:val="single" w:sz="4" w:space="0" w:color="auto"/>
            </w:tcBorders>
            <w:shd w:val="clear" w:color="auto" w:fill="auto"/>
            <w:vAlign w:val="center"/>
            <w:hideMark/>
          </w:tcPr>
          <w:p w14:paraId="156A79CC" w14:textId="77777777" w:rsidR="00482167" w:rsidRPr="006D6BE5" w:rsidRDefault="00E63D69" w:rsidP="00A7241A">
            <w:pPr>
              <w:rPr>
                <w:rFonts w:ascii="Arial" w:hAnsi="Arial" w:cs="Arial"/>
                <w:color w:val="0563C1"/>
                <w:sz w:val="4"/>
                <w:szCs w:val="8"/>
                <w:u w:val="single"/>
                <w:lang w:val="sq-AL"/>
              </w:rPr>
            </w:pPr>
            <w:hyperlink r:id="rId186" w:history="1">
              <w:r w:rsidR="00482167" w:rsidRPr="006D6BE5">
                <w:rPr>
                  <w:rFonts w:ascii="Arial" w:hAnsi="Arial" w:cs="Arial"/>
                  <w:color w:val="0563C1"/>
                  <w:sz w:val="4"/>
                  <w:szCs w:val="8"/>
                  <w:u w:val="single"/>
                  <w:lang w:val="sq-AL"/>
                </w:rPr>
                <w:t xml:space="preserve">https://eur-lex.europa.eu/legal-content/EN/TXT/?uri=CELEX%3A32009L0015&amp;qid=1698138929864 </w:t>
              </w:r>
            </w:hyperlink>
          </w:p>
        </w:tc>
        <w:tc>
          <w:tcPr>
            <w:tcW w:w="506" w:type="pct"/>
            <w:tcBorders>
              <w:top w:val="nil"/>
              <w:left w:val="nil"/>
              <w:bottom w:val="single" w:sz="4" w:space="0" w:color="auto"/>
              <w:right w:val="single" w:sz="4" w:space="0" w:color="auto"/>
            </w:tcBorders>
            <w:shd w:val="clear" w:color="FFFFFF" w:fill="FFFFFF"/>
            <w:vAlign w:val="center"/>
            <w:hideMark/>
          </w:tcPr>
          <w:p w14:paraId="30CF53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CB353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rregullat dhe standardet e përbashkëta për organizatat e inspektimit dhe survejimit të anijeve dhe për veprimtaritë përkatëse të administratës detare</w:t>
            </w:r>
          </w:p>
        </w:tc>
        <w:tc>
          <w:tcPr>
            <w:tcW w:w="330" w:type="pct"/>
            <w:tcBorders>
              <w:top w:val="nil"/>
              <w:left w:val="nil"/>
              <w:bottom w:val="single" w:sz="4" w:space="0" w:color="auto"/>
              <w:right w:val="single" w:sz="4" w:space="0" w:color="auto"/>
            </w:tcBorders>
            <w:shd w:val="clear" w:color="FFFFFF" w:fill="FFFFFF"/>
            <w:vAlign w:val="center"/>
            <w:hideMark/>
          </w:tcPr>
          <w:p w14:paraId="26A58C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Vendosja e masave që duhen ndjekur nga shteti në marrëdhëniet me organizatat, të cilave u është besuar inspektimi, vëzhgimi dhe certifikimi i anijeve për respektimin e konventave ndërkombëtare për sigurinë në det dhe parandalimin e ndotjes detare, duke çuar më tej objektivin e lirisë së ofrimit të shërbimeve. . Kjo përfshin zhvillimin dhe zbatimin e kërkesave të sigurisë për bykun, makineritë dhe instalimet elektrike dhe të kontrollit të anijeve që janë nën objektin e konventave ndërkombëtare.</w:t>
            </w:r>
          </w:p>
        </w:tc>
        <w:tc>
          <w:tcPr>
            <w:tcW w:w="126" w:type="pct"/>
            <w:tcBorders>
              <w:top w:val="nil"/>
              <w:left w:val="nil"/>
              <w:bottom w:val="single" w:sz="4" w:space="0" w:color="auto"/>
              <w:right w:val="single" w:sz="4" w:space="0" w:color="auto"/>
            </w:tcBorders>
            <w:shd w:val="clear" w:color="FFFFFF" w:fill="FFFFFF"/>
            <w:vAlign w:val="center"/>
            <w:hideMark/>
          </w:tcPr>
          <w:p w14:paraId="381B02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F4896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ECED0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F1913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00D07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EE31E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A177F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2864A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64E0CF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75B3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17C78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1B4A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50565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0FD8D0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E45DF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9AB2E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728B9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0062E8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D75E3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2016/802 e Parlamentit Evropian dhe e Këshillit e datës 11 maj 2016 lidhur me reduktimin e përmbajtjes së squfurit në disa lëndë djegëse të lëngshme (kodifikimi)</w:t>
            </w:r>
          </w:p>
        </w:tc>
        <w:tc>
          <w:tcPr>
            <w:tcW w:w="668" w:type="pct"/>
            <w:tcBorders>
              <w:top w:val="nil"/>
              <w:left w:val="nil"/>
              <w:bottom w:val="single" w:sz="4" w:space="0" w:color="auto"/>
              <w:right w:val="single" w:sz="4" w:space="0" w:color="auto"/>
            </w:tcBorders>
            <w:shd w:val="clear" w:color="auto" w:fill="auto"/>
            <w:vAlign w:val="center"/>
            <w:hideMark/>
          </w:tcPr>
          <w:p w14:paraId="5EA0D62E" w14:textId="77777777" w:rsidR="00482167" w:rsidRPr="006D6BE5" w:rsidRDefault="00E63D69" w:rsidP="00A7241A">
            <w:pPr>
              <w:rPr>
                <w:rFonts w:ascii="Arial" w:hAnsi="Arial" w:cs="Arial"/>
                <w:color w:val="0563C1"/>
                <w:sz w:val="4"/>
                <w:szCs w:val="8"/>
                <w:u w:val="single"/>
                <w:lang w:val="sq-AL"/>
              </w:rPr>
            </w:pPr>
            <w:hyperlink r:id="rId187" w:history="1">
              <w:r w:rsidR="00482167" w:rsidRPr="006D6BE5">
                <w:rPr>
                  <w:rFonts w:ascii="Arial" w:hAnsi="Arial" w:cs="Arial"/>
                  <w:color w:val="0563C1"/>
                  <w:sz w:val="4"/>
                  <w:szCs w:val="8"/>
                  <w:u w:val="single"/>
                  <w:lang w:val="sq-AL"/>
                </w:rPr>
                <w:t xml:space="preserve">https://eur-lex.europa.eu/legal-content/en/TXT/?uri=CELEX%3A32016L0802 </w:t>
              </w:r>
            </w:hyperlink>
          </w:p>
        </w:tc>
        <w:tc>
          <w:tcPr>
            <w:tcW w:w="506" w:type="pct"/>
            <w:tcBorders>
              <w:top w:val="nil"/>
              <w:left w:val="nil"/>
              <w:bottom w:val="single" w:sz="4" w:space="0" w:color="auto"/>
              <w:right w:val="single" w:sz="4" w:space="0" w:color="auto"/>
            </w:tcBorders>
            <w:shd w:val="clear" w:color="FFFFFF" w:fill="FFFFFF"/>
            <w:vAlign w:val="center"/>
            <w:hideMark/>
          </w:tcPr>
          <w:p w14:paraId="5B4598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7E9CF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 Për uljen e përmbajtjes së squfurit në lëndë djegëse të caktuara të lëngshme (kodifikimi)</w:t>
            </w:r>
          </w:p>
        </w:tc>
        <w:tc>
          <w:tcPr>
            <w:tcW w:w="330" w:type="pct"/>
            <w:tcBorders>
              <w:top w:val="nil"/>
              <w:left w:val="nil"/>
              <w:bottom w:val="single" w:sz="4" w:space="0" w:color="auto"/>
              <w:right w:val="single" w:sz="4" w:space="0" w:color="auto"/>
            </w:tcBorders>
            <w:shd w:val="clear" w:color="auto" w:fill="auto"/>
            <w:vAlign w:val="center"/>
            <w:hideMark/>
          </w:tcPr>
          <w:p w14:paraId="7FC2A857" w14:textId="7C459E2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Reduktimi i emetimeve të dioksidit të squfurit që rezultojnë nga djegia e llojeve të caktuara të lëndëve djegëse të lëngshme dhe në këtë mënyrë për të reduktuar efektet e dëmshme të emetimeve të tilla për njeriun dhe mjedisin</w:t>
            </w:r>
            <w:r w:rsidR="006D6BE5">
              <w:rPr>
                <w:rFonts w:ascii="Arial" w:hAnsi="Arial" w:cs="Arial"/>
                <w:color w:val="000000"/>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69C11C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08150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BFDFD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9E3FA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A1B7B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B6746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40B36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D317A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E2736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120</w:t>
            </w:r>
          </w:p>
        </w:tc>
        <w:tc>
          <w:tcPr>
            <w:tcW w:w="129" w:type="pct"/>
            <w:tcBorders>
              <w:top w:val="nil"/>
              <w:left w:val="nil"/>
              <w:bottom w:val="single" w:sz="4" w:space="0" w:color="auto"/>
              <w:right w:val="single" w:sz="4" w:space="0" w:color="auto"/>
            </w:tcBorders>
            <w:shd w:val="clear" w:color="FFFFFF" w:fill="FFFFFF"/>
            <w:vAlign w:val="center"/>
            <w:hideMark/>
          </w:tcPr>
          <w:p w14:paraId="517034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9AA3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8B14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59CF2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F03825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A17E5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1CDA8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9B742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3687C8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21561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2015/757 e Parlamentit Evropian dhe e Këshillit e datës 29 Prill 2015 mbi monitorimin, raportimin dhe verifikimin e emetimeve të dioksidit të karbonit nga transporti detar dhe ndryshimin e Direktivës 2009/16/EC</w:t>
            </w:r>
          </w:p>
        </w:tc>
        <w:tc>
          <w:tcPr>
            <w:tcW w:w="668" w:type="pct"/>
            <w:tcBorders>
              <w:top w:val="nil"/>
              <w:left w:val="nil"/>
              <w:bottom w:val="single" w:sz="4" w:space="0" w:color="auto"/>
              <w:right w:val="single" w:sz="4" w:space="0" w:color="auto"/>
            </w:tcBorders>
            <w:shd w:val="clear" w:color="auto" w:fill="auto"/>
            <w:vAlign w:val="center"/>
            <w:hideMark/>
          </w:tcPr>
          <w:p w14:paraId="5937DE26" w14:textId="77777777" w:rsidR="00482167" w:rsidRPr="006D6BE5" w:rsidRDefault="00E63D69" w:rsidP="00A7241A">
            <w:pPr>
              <w:rPr>
                <w:rFonts w:ascii="Arial" w:hAnsi="Arial" w:cs="Arial"/>
                <w:color w:val="0563C1"/>
                <w:sz w:val="4"/>
                <w:szCs w:val="8"/>
                <w:u w:val="single"/>
                <w:lang w:val="sq-AL"/>
              </w:rPr>
            </w:pPr>
            <w:hyperlink r:id="rId188" w:history="1">
              <w:r w:rsidR="00482167" w:rsidRPr="006D6BE5">
                <w:rPr>
                  <w:rFonts w:ascii="Arial" w:hAnsi="Arial" w:cs="Arial"/>
                  <w:color w:val="0563C1"/>
                  <w:sz w:val="4"/>
                  <w:szCs w:val="8"/>
                  <w:u w:val="single"/>
                  <w:lang w:val="sq-AL"/>
                </w:rPr>
                <w:t xml:space="preserve">https://eur-lex.europa.eu/legal-content/EN/TXT/?uri=CELEX%3A02015R0757-20230605&amp;qid=1698143562928 </w:t>
              </w:r>
            </w:hyperlink>
          </w:p>
        </w:tc>
        <w:tc>
          <w:tcPr>
            <w:tcW w:w="506" w:type="pct"/>
            <w:tcBorders>
              <w:top w:val="nil"/>
              <w:left w:val="nil"/>
              <w:bottom w:val="single" w:sz="4" w:space="0" w:color="auto"/>
              <w:right w:val="single" w:sz="4" w:space="0" w:color="auto"/>
            </w:tcBorders>
            <w:shd w:val="clear" w:color="FFFFFF" w:fill="FFFFFF"/>
            <w:vAlign w:val="center"/>
            <w:hideMark/>
          </w:tcPr>
          <w:p w14:paraId="4F522F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EFF7B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monitorimin, raportimin dhe verifikimin e emetimeve të dioksidit të karbonit nga transporti detar</w:t>
            </w:r>
          </w:p>
        </w:tc>
        <w:tc>
          <w:tcPr>
            <w:tcW w:w="330" w:type="pct"/>
            <w:tcBorders>
              <w:top w:val="nil"/>
              <w:left w:val="nil"/>
              <w:bottom w:val="single" w:sz="4" w:space="0" w:color="auto"/>
              <w:right w:val="single" w:sz="4" w:space="0" w:color="auto"/>
            </w:tcBorders>
            <w:shd w:val="clear" w:color="FFFFFF" w:fill="FFFFFF"/>
            <w:vAlign w:val="center"/>
            <w:hideMark/>
          </w:tcPr>
          <w:p w14:paraId="4A3F01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rregullave për monitorimin, raportimin dhe verifikimin e saktë të emetimeve të gazeve serrë dhe informacione të tjera përkatëse nga anijet që mbërrijnë, brenda ose nisen nga portet nën juridiksionin e shtetit, me qëllim që të promovohet reduktimi i emetimeve të gazeve serrë nga detarët. transportin në mënyrë efektive</w:t>
            </w:r>
          </w:p>
        </w:tc>
        <w:tc>
          <w:tcPr>
            <w:tcW w:w="126" w:type="pct"/>
            <w:tcBorders>
              <w:top w:val="nil"/>
              <w:left w:val="nil"/>
              <w:bottom w:val="single" w:sz="4" w:space="0" w:color="auto"/>
              <w:right w:val="single" w:sz="4" w:space="0" w:color="auto"/>
            </w:tcBorders>
            <w:shd w:val="clear" w:color="FFFFFF" w:fill="FFFFFF"/>
            <w:vAlign w:val="center"/>
            <w:hideMark/>
          </w:tcPr>
          <w:p w14:paraId="6E1C46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DD331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A128E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4E7ED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0851B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D8264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E5F20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28090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936CA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120</w:t>
            </w:r>
          </w:p>
        </w:tc>
        <w:tc>
          <w:tcPr>
            <w:tcW w:w="129" w:type="pct"/>
            <w:tcBorders>
              <w:top w:val="nil"/>
              <w:left w:val="nil"/>
              <w:bottom w:val="single" w:sz="4" w:space="0" w:color="auto"/>
              <w:right w:val="single" w:sz="4" w:space="0" w:color="auto"/>
            </w:tcBorders>
            <w:shd w:val="clear" w:color="FFFFFF" w:fill="FFFFFF"/>
            <w:vAlign w:val="center"/>
            <w:hideMark/>
          </w:tcPr>
          <w:p w14:paraId="661539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75476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E5E75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8C81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DF5092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4ACEA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8B68D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E6831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E4B4A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97255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1257/2013 e Parlamentit Evropian dhe e Këshillit e datës 20 nëntor 2013 mbi riciklimin e anijeve dhe ndryshimin e Rregullores (KE) Nr. 1013/2006 dhe Direktivës 2009/16/EC</w:t>
            </w:r>
          </w:p>
        </w:tc>
        <w:tc>
          <w:tcPr>
            <w:tcW w:w="668" w:type="pct"/>
            <w:tcBorders>
              <w:top w:val="nil"/>
              <w:left w:val="nil"/>
              <w:bottom w:val="single" w:sz="4" w:space="0" w:color="auto"/>
              <w:right w:val="single" w:sz="4" w:space="0" w:color="auto"/>
            </w:tcBorders>
            <w:shd w:val="clear" w:color="auto" w:fill="auto"/>
            <w:vAlign w:val="center"/>
            <w:hideMark/>
          </w:tcPr>
          <w:p w14:paraId="12530B45" w14:textId="77777777" w:rsidR="00482167" w:rsidRPr="006D6BE5" w:rsidRDefault="00E63D69" w:rsidP="00A7241A">
            <w:pPr>
              <w:rPr>
                <w:rFonts w:ascii="Arial" w:hAnsi="Arial" w:cs="Arial"/>
                <w:color w:val="0563C1"/>
                <w:sz w:val="4"/>
                <w:szCs w:val="8"/>
                <w:u w:val="single"/>
                <w:lang w:val="sq-AL"/>
              </w:rPr>
            </w:pPr>
            <w:hyperlink r:id="rId189" w:history="1">
              <w:r w:rsidR="00482167" w:rsidRPr="006D6BE5">
                <w:rPr>
                  <w:rFonts w:ascii="Arial" w:hAnsi="Arial" w:cs="Arial"/>
                  <w:color w:val="0563C1"/>
                  <w:sz w:val="4"/>
                  <w:szCs w:val="8"/>
                  <w:u w:val="single"/>
                  <w:lang w:val="sq-AL"/>
                </w:rPr>
                <w:t xml:space="preserve">https://eur-lex.europa.eu/legal-content/EN/TXT/?uri=CELEX%3A02013R1257-20180704&amp;qid=1698143631212 </w:t>
              </w:r>
            </w:hyperlink>
          </w:p>
        </w:tc>
        <w:tc>
          <w:tcPr>
            <w:tcW w:w="506" w:type="pct"/>
            <w:tcBorders>
              <w:top w:val="nil"/>
              <w:left w:val="nil"/>
              <w:bottom w:val="single" w:sz="4" w:space="0" w:color="auto"/>
              <w:right w:val="single" w:sz="4" w:space="0" w:color="auto"/>
            </w:tcBorders>
            <w:shd w:val="clear" w:color="FFFFFF" w:fill="FFFFFF"/>
            <w:vAlign w:val="center"/>
            <w:hideMark/>
          </w:tcPr>
          <w:p w14:paraId="16E40F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63200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riciklimin e anijeve"</w:t>
            </w:r>
          </w:p>
        </w:tc>
        <w:tc>
          <w:tcPr>
            <w:tcW w:w="330" w:type="pct"/>
            <w:tcBorders>
              <w:top w:val="nil"/>
              <w:left w:val="nil"/>
              <w:bottom w:val="single" w:sz="4" w:space="0" w:color="auto"/>
              <w:right w:val="single" w:sz="4" w:space="0" w:color="auto"/>
            </w:tcBorders>
            <w:shd w:val="clear" w:color="auto" w:fill="auto"/>
            <w:vAlign w:val="center"/>
            <w:hideMark/>
          </w:tcPr>
          <w:p w14:paraId="075B57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rregullave për parandalimin, reduktimin, minimizimin dhe, në masën e mundshme, eliminimin e aksidenteve, dëmtimeve dhe efekteve të tjera negative në shëndetin e njeriut dhe mjedisin, të shkaktuara nga riciklimi i anijeve. Qëllimi i këtij akti është për të rritur sigurinë, mbrojtjen e shëndetin e njeriut dhe të mjedisit detar gjatë gjithë ciklit jetësor të një anijeje, veçanërisht për të siguruar që mbetjet e rrezikshme nga riciklimi i tillë i anijes i nënshtrohen një administrimi të shëndoshë mjedisor.</w:t>
            </w:r>
            <w:r w:rsidRPr="006D6BE5">
              <w:rPr>
                <w:rFonts w:ascii="Arial" w:hAnsi="Arial" w:cs="Arial"/>
                <w:color w:val="000000"/>
                <w:sz w:val="4"/>
                <w:szCs w:val="8"/>
                <w:lang w:val="sq-AL"/>
              </w:rPr>
              <w:br/>
            </w:r>
            <w:r w:rsidRPr="006D6BE5">
              <w:rPr>
                <w:rFonts w:ascii="Arial" w:hAnsi="Arial" w:cs="Arial"/>
                <w:color w:val="000000"/>
                <w:sz w:val="4"/>
                <w:szCs w:val="8"/>
                <w:lang w:val="sq-AL"/>
              </w:rPr>
              <w:br/>
              <w:t>Ky akt gjithashtu do të synojë të lehtësojë ratifikimin e Konventës Ndërkombëtare të Hong Kongut për Riciklimin e Sigurt dhe Mjedisor të Anijeve, 2009 ('Konventa e Hong Kongut')</w:t>
            </w:r>
          </w:p>
        </w:tc>
        <w:tc>
          <w:tcPr>
            <w:tcW w:w="126" w:type="pct"/>
            <w:tcBorders>
              <w:top w:val="nil"/>
              <w:left w:val="nil"/>
              <w:bottom w:val="single" w:sz="4" w:space="0" w:color="auto"/>
              <w:right w:val="single" w:sz="4" w:space="0" w:color="auto"/>
            </w:tcBorders>
            <w:shd w:val="clear" w:color="FFFFFF" w:fill="FFFFFF"/>
            <w:vAlign w:val="center"/>
            <w:hideMark/>
          </w:tcPr>
          <w:p w14:paraId="5633C3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AD97C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48384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47733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BED37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67FF6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62E9F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59A9D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792AD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29" w:type="pct"/>
            <w:tcBorders>
              <w:top w:val="nil"/>
              <w:left w:val="nil"/>
              <w:bottom w:val="single" w:sz="4" w:space="0" w:color="auto"/>
              <w:right w:val="single" w:sz="4" w:space="0" w:color="auto"/>
            </w:tcBorders>
            <w:shd w:val="clear" w:color="FFFFFF" w:fill="FFFFFF"/>
            <w:vAlign w:val="center"/>
            <w:hideMark/>
          </w:tcPr>
          <w:p w14:paraId="41170F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CC2E8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53BF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3E687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AB859C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C6C3D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1F8559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9C481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62B4F2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2D6BE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(KE) Nr. 782/2003 e Parlamentit Evropian dhe e Këshillit e datës 14 Prill 2003 mbi ndalimin e komponimeve organoçelikunë anije</w:t>
            </w:r>
            <w:r w:rsidRPr="006D6BE5">
              <w:rPr>
                <w:rFonts w:ascii="Arial" w:hAnsi="Arial" w:cs="Arial"/>
                <w:color w:val="000000"/>
                <w:sz w:val="4"/>
                <w:szCs w:val="8"/>
                <w:lang w:val="sq-AL"/>
              </w:rPr>
              <w:br/>
            </w:r>
            <w:r w:rsidRPr="006D6BE5">
              <w:rPr>
                <w:rFonts w:ascii="Arial" w:hAnsi="Arial" w:cs="Arial"/>
                <w:color w:val="000000"/>
                <w:sz w:val="4"/>
                <w:szCs w:val="8"/>
                <w:lang w:val="sq-AL"/>
              </w:rPr>
              <w:br/>
            </w:r>
            <w:r w:rsidRPr="006D6BE5">
              <w:rPr>
                <w:rFonts w:ascii="Arial" w:hAnsi="Arial" w:cs="Arial"/>
                <w:color w:val="000000"/>
                <w:sz w:val="4"/>
                <w:szCs w:val="8"/>
                <w:lang w:val="sq-AL"/>
              </w:rPr>
              <w:br/>
            </w:r>
            <w:r w:rsidRPr="006D6BE5">
              <w:rPr>
                <w:rFonts w:ascii="Arial" w:hAnsi="Arial" w:cs="Arial"/>
                <w:color w:val="000000"/>
                <w:sz w:val="4"/>
                <w:szCs w:val="8"/>
                <w:lang w:val="sq-AL"/>
              </w:rPr>
              <w:br/>
            </w:r>
            <w:r w:rsidRPr="006D6BE5">
              <w:rPr>
                <w:rFonts w:ascii="Arial" w:hAnsi="Arial" w:cs="Arial"/>
                <w:color w:val="000000"/>
                <w:sz w:val="4"/>
                <w:szCs w:val="8"/>
                <w:lang w:val="sq-AL"/>
              </w:rPr>
              <w:br/>
            </w:r>
            <w:r w:rsidRPr="006D6BE5">
              <w:rPr>
                <w:rFonts w:ascii="Arial" w:hAnsi="Arial" w:cs="Arial"/>
                <w:color w:val="000000"/>
                <w:sz w:val="4"/>
                <w:szCs w:val="8"/>
                <w:lang w:val="sq-AL"/>
              </w:rPr>
              <w:br/>
              <w:t>Rregullorja e Komisionit (EC) Nr. 536/2008 e datës 13 qershor 2008, duke vënë në fuqi nenin 6(3) dhe nenin 7 të Rregullores (KE) Nr. ndryshimin e asaj rregulloreje”</w:t>
            </w:r>
          </w:p>
        </w:tc>
        <w:tc>
          <w:tcPr>
            <w:tcW w:w="668" w:type="pct"/>
            <w:tcBorders>
              <w:top w:val="nil"/>
              <w:left w:val="nil"/>
              <w:bottom w:val="single" w:sz="4" w:space="0" w:color="auto"/>
              <w:right w:val="single" w:sz="4" w:space="0" w:color="auto"/>
            </w:tcBorders>
            <w:shd w:val="clear" w:color="auto" w:fill="auto"/>
            <w:vAlign w:val="center"/>
            <w:hideMark/>
          </w:tcPr>
          <w:p w14:paraId="135C5A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https://eur-lex.europa.eu/legal-content/EN/TXT/?uri=CELEX%3A02003R0782-20090420&amp;qid=1698143688408</w:t>
            </w:r>
            <w:r w:rsidRPr="006D6BE5">
              <w:rPr>
                <w:rFonts w:ascii="Arial" w:hAnsi="Arial" w:cs="Arial"/>
                <w:color w:val="000000"/>
                <w:sz w:val="4"/>
                <w:szCs w:val="8"/>
                <w:lang w:val="sq-AL"/>
              </w:rPr>
              <w:br/>
              <w:t>https://eur-lex.europa.eu/legal-content/EN/TXT/?uri=CELEX%3A32008R0536&amp;qid=1698143741391</w:t>
            </w:r>
          </w:p>
        </w:tc>
        <w:tc>
          <w:tcPr>
            <w:tcW w:w="506" w:type="pct"/>
            <w:tcBorders>
              <w:top w:val="nil"/>
              <w:left w:val="nil"/>
              <w:bottom w:val="single" w:sz="4" w:space="0" w:color="auto"/>
              <w:right w:val="single" w:sz="4" w:space="0" w:color="auto"/>
            </w:tcBorders>
            <w:shd w:val="clear" w:color="FFFFFF" w:fill="FFFFFF"/>
            <w:vAlign w:val="center"/>
            <w:hideMark/>
          </w:tcPr>
          <w:p w14:paraId="59100C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7B1AA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ndalimin e komponimeve organoçeliku në anije"</w:t>
            </w:r>
          </w:p>
        </w:tc>
        <w:tc>
          <w:tcPr>
            <w:tcW w:w="330" w:type="pct"/>
            <w:tcBorders>
              <w:top w:val="nil"/>
              <w:left w:val="nil"/>
              <w:bottom w:val="single" w:sz="4" w:space="0" w:color="auto"/>
              <w:right w:val="single" w:sz="4" w:space="0" w:color="auto"/>
            </w:tcBorders>
            <w:shd w:val="clear" w:color="FFFFFF" w:fill="FFFFFF"/>
            <w:vAlign w:val="center"/>
            <w:hideMark/>
          </w:tcPr>
          <w:p w14:paraId="55F8B1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rregullave për të reduktuar ose eliminuar efektet negative në mjedisin detar dhe shëndetin e njeriut të shkaktuara nga komponimet organoçeliku , të cilat veprojnë si biocide aktive në sistemet kundër ndotjes të përdorura në anijet që mbajnë flamurin e ose operojnë nën autoritetin e shtetit, dhe mbi anijet, pavarësisht nga flamuri që mbajnë, që lundrojnë drejt ose nga portet e shtetit</w:t>
            </w:r>
          </w:p>
        </w:tc>
        <w:tc>
          <w:tcPr>
            <w:tcW w:w="126" w:type="pct"/>
            <w:tcBorders>
              <w:top w:val="nil"/>
              <w:left w:val="nil"/>
              <w:bottom w:val="single" w:sz="4" w:space="0" w:color="auto"/>
              <w:right w:val="single" w:sz="4" w:space="0" w:color="auto"/>
            </w:tcBorders>
            <w:shd w:val="clear" w:color="FFFFFF" w:fill="FFFFFF"/>
            <w:vAlign w:val="center"/>
            <w:hideMark/>
          </w:tcPr>
          <w:p w14:paraId="40C8F6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89D23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F788A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0E6EC1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A0749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4940C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EC0C6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49B47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241249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C9690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72D36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8F8F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A6E0B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3F58A5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D597F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D78CD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E6184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0E2196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9A5C3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2009/20/KE e Parlamentit Evropian dhe e Këshillit e datës 23 prill 2009 mbi sigurimin e pronarëve të anijeve për pretendimet detare</w:t>
            </w:r>
          </w:p>
        </w:tc>
        <w:tc>
          <w:tcPr>
            <w:tcW w:w="668" w:type="pct"/>
            <w:tcBorders>
              <w:top w:val="nil"/>
              <w:left w:val="nil"/>
              <w:bottom w:val="single" w:sz="4" w:space="0" w:color="auto"/>
              <w:right w:val="single" w:sz="4" w:space="0" w:color="auto"/>
            </w:tcBorders>
            <w:shd w:val="clear" w:color="auto" w:fill="auto"/>
            <w:vAlign w:val="center"/>
            <w:hideMark/>
          </w:tcPr>
          <w:p w14:paraId="275C14EE" w14:textId="77777777" w:rsidR="00482167" w:rsidRPr="006D6BE5" w:rsidRDefault="00E63D69" w:rsidP="00A7241A">
            <w:pPr>
              <w:rPr>
                <w:rFonts w:ascii="Arial" w:hAnsi="Arial" w:cs="Arial"/>
                <w:color w:val="0563C1"/>
                <w:sz w:val="4"/>
                <w:szCs w:val="8"/>
                <w:u w:val="single"/>
                <w:lang w:val="sq-AL"/>
              </w:rPr>
            </w:pPr>
            <w:hyperlink r:id="rId190" w:history="1">
              <w:r w:rsidR="00482167" w:rsidRPr="006D6BE5">
                <w:rPr>
                  <w:rFonts w:ascii="Arial" w:hAnsi="Arial" w:cs="Arial"/>
                  <w:color w:val="0563C1"/>
                  <w:sz w:val="4"/>
                  <w:szCs w:val="8"/>
                  <w:u w:val="single"/>
                  <w:lang w:val="sq-AL"/>
                </w:rPr>
                <w:t xml:space="preserve">https://eur-lex.europa.eu/legal-content/EN/TXT/?uri=CELEX%3A32009L0020&amp;qid=1698143928974 </w:t>
              </w:r>
            </w:hyperlink>
          </w:p>
        </w:tc>
        <w:tc>
          <w:tcPr>
            <w:tcW w:w="506" w:type="pct"/>
            <w:tcBorders>
              <w:top w:val="nil"/>
              <w:left w:val="nil"/>
              <w:bottom w:val="single" w:sz="4" w:space="0" w:color="auto"/>
              <w:right w:val="single" w:sz="4" w:space="0" w:color="auto"/>
            </w:tcBorders>
            <w:shd w:val="clear" w:color="FFFFFF" w:fill="FFFFFF"/>
            <w:vAlign w:val="center"/>
            <w:hideMark/>
          </w:tcPr>
          <w:p w14:paraId="129BB0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9CB0CE5" w14:textId="1E06A6F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sigurimin e pronarëve të anijeve për pretendimet detare"</w:t>
            </w:r>
          </w:p>
        </w:tc>
        <w:tc>
          <w:tcPr>
            <w:tcW w:w="330" w:type="pct"/>
            <w:tcBorders>
              <w:top w:val="nil"/>
              <w:left w:val="nil"/>
              <w:bottom w:val="single" w:sz="4" w:space="0" w:color="auto"/>
              <w:right w:val="single" w:sz="4" w:space="0" w:color="auto"/>
            </w:tcBorders>
            <w:shd w:val="clear" w:color="auto" w:fill="auto"/>
            <w:vAlign w:val="center"/>
            <w:hideMark/>
          </w:tcPr>
          <w:p w14:paraId="7DBAB7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Përcaktimin e rregullave të zbatueshme për disa aspekte të detyrimeve të pronarëve të anijeve në lidhje me sigurimin e tyre për pretendimet detare.</w:t>
            </w:r>
          </w:p>
        </w:tc>
        <w:tc>
          <w:tcPr>
            <w:tcW w:w="126" w:type="pct"/>
            <w:tcBorders>
              <w:top w:val="nil"/>
              <w:left w:val="nil"/>
              <w:bottom w:val="single" w:sz="4" w:space="0" w:color="auto"/>
              <w:right w:val="single" w:sz="4" w:space="0" w:color="auto"/>
            </w:tcBorders>
            <w:shd w:val="clear" w:color="FFFFFF" w:fill="FFFFFF"/>
            <w:vAlign w:val="center"/>
            <w:hideMark/>
          </w:tcPr>
          <w:p w14:paraId="7F135C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4D331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52544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11CFA0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5534D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7C108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378A9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6FFFD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800</w:t>
            </w:r>
          </w:p>
        </w:tc>
        <w:tc>
          <w:tcPr>
            <w:tcW w:w="117" w:type="pct"/>
            <w:tcBorders>
              <w:top w:val="nil"/>
              <w:left w:val="nil"/>
              <w:bottom w:val="single" w:sz="4" w:space="0" w:color="auto"/>
              <w:right w:val="single" w:sz="4" w:space="0" w:color="auto"/>
            </w:tcBorders>
            <w:shd w:val="clear" w:color="FFFFFF" w:fill="FFFFFF"/>
            <w:vAlign w:val="center"/>
            <w:hideMark/>
          </w:tcPr>
          <w:p w14:paraId="35A7D1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22DFF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9B8D2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7BAD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DBB42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300E8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DC84D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8603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DDE75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7A403F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DE1C8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530/2012 e Parlamentit Evropian dhe e Këshillit e datës 13 qershor 2012 mbi përshpejtimin e zbatimit të kërkesave të projektimit me dopio skaf ose ekuivalent për cisternat e naftës me një trup</w:t>
            </w:r>
          </w:p>
        </w:tc>
        <w:tc>
          <w:tcPr>
            <w:tcW w:w="668" w:type="pct"/>
            <w:tcBorders>
              <w:top w:val="nil"/>
              <w:left w:val="nil"/>
              <w:bottom w:val="single" w:sz="4" w:space="0" w:color="auto"/>
              <w:right w:val="single" w:sz="4" w:space="0" w:color="auto"/>
            </w:tcBorders>
            <w:shd w:val="clear" w:color="auto" w:fill="auto"/>
            <w:vAlign w:val="center"/>
            <w:hideMark/>
          </w:tcPr>
          <w:p w14:paraId="29E63E49" w14:textId="77777777" w:rsidR="00482167" w:rsidRPr="006D6BE5" w:rsidRDefault="00E63D69" w:rsidP="00A7241A">
            <w:pPr>
              <w:rPr>
                <w:rFonts w:ascii="Arial" w:hAnsi="Arial" w:cs="Arial"/>
                <w:color w:val="0563C1"/>
                <w:sz w:val="4"/>
                <w:szCs w:val="8"/>
                <w:u w:val="single"/>
                <w:lang w:val="sq-AL"/>
              </w:rPr>
            </w:pPr>
            <w:hyperlink r:id="rId191" w:history="1">
              <w:r w:rsidR="00482167" w:rsidRPr="006D6BE5">
                <w:rPr>
                  <w:rFonts w:ascii="Arial" w:hAnsi="Arial" w:cs="Arial"/>
                  <w:color w:val="0563C1"/>
                  <w:sz w:val="4"/>
                  <w:szCs w:val="8"/>
                  <w:u w:val="single"/>
                  <w:lang w:val="sq-AL"/>
                </w:rPr>
                <w:t xml:space="preserve">https://eur-lex.europa.eu/legal-content/EN/TXT/?uri=CELEX%3A32012R0530&amp;qid=1698144210510 </w:t>
              </w:r>
            </w:hyperlink>
          </w:p>
        </w:tc>
        <w:tc>
          <w:tcPr>
            <w:tcW w:w="506" w:type="pct"/>
            <w:tcBorders>
              <w:top w:val="nil"/>
              <w:left w:val="nil"/>
              <w:bottom w:val="single" w:sz="4" w:space="0" w:color="auto"/>
              <w:right w:val="single" w:sz="4" w:space="0" w:color="auto"/>
            </w:tcBorders>
            <w:shd w:val="clear" w:color="FFFFFF" w:fill="FFFFFF"/>
            <w:vAlign w:val="center"/>
            <w:hideMark/>
          </w:tcPr>
          <w:p w14:paraId="00F038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AB874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Projetvendim I Këshillit të Ministrave "Për futjen e përshpejtuar të kërkesave të projektimit me dopio skaf ose ekuivalent për cisternat e naftës me një trup"</w:t>
            </w:r>
          </w:p>
        </w:tc>
        <w:tc>
          <w:tcPr>
            <w:tcW w:w="330" w:type="pct"/>
            <w:tcBorders>
              <w:top w:val="nil"/>
              <w:left w:val="nil"/>
              <w:bottom w:val="single" w:sz="4" w:space="0" w:color="auto"/>
              <w:right w:val="single" w:sz="4" w:space="0" w:color="auto"/>
            </w:tcBorders>
            <w:shd w:val="clear" w:color="auto" w:fill="auto"/>
            <w:vAlign w:val="center"/>
            <w:hideMark/>
          </w:tcPr>
          <w:p w14:paraId="314A71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e një skeme të përshpejtuar futje në faza për zbatimin e kërkesave të projektimit me dopio skaf ose ekuivalent të MARPOL 73/78, siç përcaktohet në nenin 3 të kësaj rregulloreje, për cisternat e naftës me një trup dhe për të ndaluar transportin në ose nga portet e shtetit të naftës së rëndë në cisterna me naftë me një trup</w:t>
            </w:r>
          </w:p>
        </w:tc>
        <w:tc>
          <w:tcPr>
            <w:tcW w:w="126" w:type="pct"/>
            <w:tcBorders>
              <w:top w:val="nil"/>
              <w:left w:val="nil"/>
              <w:bottom w:val="single" w:sz="4" w:space="0" w:color="auto"/>
              <w:right w:val="single" w:sz="4" w:space="0" w:color="auto"/>
            </w:tcBorders>
            <w:shd w:val="clear" w:color="FFFFFF" w:fill="FFFFFF"/>
            <w:vAlign w:val="center"/>
            <w:hideMark/>
          </w:tcPr>
          <w:p w14:paraId="0FFB68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AE979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9F98F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65F1C7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77C9B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262B3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F8B5E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0BCF9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17" w:type="pct"/>
            <w:tcBorders>
              <w:top w:val="nil"/>
              <w:left w:val="nil"/>
              <w:bottom w:val="single" w:sz="4" w:space="0" w:color="auto"/>
              <w:right w:val="single" w:sz="4" w:space="0" w:color="auto"/>
            </w:tcBorders>
            <w:shd w:val="clear" w:color="FFFFFF" w:fill="FFFFFF"/>
            <w:vAlign w:val="center"/>
            <w:hideMark/>
          </w:tcPr>
          <w:p w14:paraId="3CA97E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D668D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5041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DFFE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B3D3B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344C7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9AACD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89999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794A9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Detar</w:t>
            </w:r>
          </w:p>
        </w:tc>
        <w:tc>
          <w:tcPr>
            <w:tcW w:w="171" w:type="pct"/>
            <w:tcBorders>
              <w:top w:val="nil"/>
              <w:left w:val="nil"/>
              <w:bottom w:val="single" w:sz="4" w:space="0" w:color="auto"/>
              <w:right w:val="single" w:sz="4" w:space="0" w:color="auto"/>
            </w:tcBorders>
            <w:shd w:val="clear" w:color="FFFFFF" w:fill="FFFFFF"/>
            <w:vAlign w:val="center"/>
            <w:hideMark/>
          </w:tcPr>
          <w:p w14:paraId="4D267A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823D5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2001/96/EC e Parlamentit Evropian dhe e Këshillit e datës 4 dhjetor 2001 për vendosjen e pajisjeve dhe procedurave të harmonizuara për ngarkimin dhe shkarkimin e sigurt të ngarkesave rifuxho, ndryshuar nga Direktiva 2002/84/EC dhe Rregullorja (EC) Nr. 1137/2008</w:t>
            </w:r>
          </w:p>
        </w:tc>
        <w:tc>
          <w:tcPr>
            <w:tcW w:w="668" w:type="pct"/>
            <w:tcBorders>
              <w:top w:val="nil"/>
              <w:left w:val="nil"/>
              <w:bottom w:val="single" w:sz="4" w:space="0" w:color="auto"/>
              <w:right w:val="single" w:sz="4" w:space="0" w:color="auto"/>
            </w:tcBorders>
            <w:shd w:val="clear" w:color="auto" w:fill="auto"/>
            <w:vAlign w:val="center"/>
            <w:hideMark/>
          </w:tcPr>
          <w:p w14:paraId="71D2C334" w14:textId="77777777" w:rsidR="00482167" w:rsidRPr="006D6BE5" w:rsidRDefault="00E63D69" w:rsidP="00A7241A">
            <w:pPr>
              <w:rPr>
                <w:rFonts w:ascii="Arial" w:hAnsi="Arial" w:cs="Arial"/>
                <w:color w:val="0563C1"/>
                <w:sz w:val="4"/>
                <w:szCs w:val="8"/>
                <w:u w:val="single"/>
                <w:lang w:val="sq-AL"/>
              </w:rPr>
            </w:pPr>
            <w:hyperlink r:id="rId192" w:history="1">
              <w:r w:rsidR="00482167" w:rsidRPr="006D6BE5">
                <w:rPr>
                  <w:rFonts w:ascii="Arial" w:hAnsi="Arial" w:cs="Arial"/>
                  <w:color w:val="0563C1"/>
                  <w:sz w:val="4"/>
                  <w:szCs w:val="8"/>
                  <w:u w:val="single"/>
                  <w:lang w:val="sq-AL"/>
                </w:rPr>
                <w:t xml:space="preserve">https://eur-lex.europa.eu/legal-content/EN/TXT/?uri=CELEX%3A02001L0096-20081211&amp;qid=1698144249150 </w:t>
              </w:r>
            </w:hyperlink>
          </w:p>
        </w:tc>
        <w:tc>
          <w:tcPr>
            <w:tcW w:w="506" w:type="pct"/>
            <w:tcBorders>
              <w:top w:val="nil"/>
              <w:left w:val="nil"/>
              <w:bottom w:val="single" w:sz="4" w:space="0" w:color="auto"/>
              <w:right w:val="single" w:sz="4" w:space="0" w:color="auto"/>
            </w:tcBorders>
            <w:shd w:val="clear" w:color="FFFFFF" w:fill="FFFFFF"/>
            <w:vAlign w:val="center"/>
            <w:hideMark/>
          </w:tcPr>
          <w:p w14:paraId="3D97A7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E013B27" w14:textId="4941B48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pajisjet dhe procedurat e harmonizuara për ngarkimin dhe shkarkimin e sigurt të ngarkesave rifuxho"</w:t>
            </w:r>
          </w:p>
        </w:tc>
        <w:tc>
          <w:tcPr>
            <w:tcW w:w="330" w:type="pct"/>
            <w:tcBorders>
              <w:top w:val="nil"/>
              <w:left w:val="nil"/>
              <w:bottom w:val="single" w:sz="4" w:space="0" w:color="auto"/>
              <w:right w:val="single" w:sz="4" w:space="0" w:color="auto"/>
            </w:tcBorders>
            <w:shd w:val="clear" w:color="auto" w:fill="auto"/>
            <w:vAlign w:val="center"/>
            <w:hideMark/>
          </w:tcPr>
          <w:p w14:paraId="104731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Rritja e sigurisë së ngarkesave rifuxho që thërrasin në terminalet e shtetit për të ngarkuar ose shkarkuar ngarkesa të ngurta rifuxho, duke reduktuar rreziqet e streseve të tepërta dhe dëmtimit fizik të strukturës së anijes gjatë ngarkimit ose shkarkimit, nëpërmjet ndërmarrjes. nga: 1. Kërkesat e harmonizuara të përshtatshmërisë për ato anije dhe terminale; dhe 2. procedurat e harmonizuara për bashkëpunimin dhe komunikimin ndërmjet këtyre anijeve dhe terminaleve</w:t>
            </w:r>
          </w:p>
        </w:tc>
        <w:tc>
          <w:tcPr>
            <w:tcW w:w="126" w:type="pct"/>
            <w:tcBorders>
              <w:top w:val="nil"/>
              <w:left w:val="nil"/>
              <w:bottom w:val="single" w:sz="4" w:space="0" w:color="auto"/>
              <w:right w:val="single" w:sz="4" w:space="0" w:color="auto"/>
            </w:tcBorders>
            <w:shd w:val="clear" w:color="FFFFFF" w:fill="FFFFFF"/>
            <w:vAlign w:val="center"/>
            <w:hideMark/>
          </w:tcPr>
          <w:p w14:paraId="164B1E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AE5EE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20721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6A24B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B24F2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380C9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EC6A2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55DBD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8398C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900</w:t>
            </w:r>
          </w:p>
        </w:tc>
        <w:tc>
          <w:tcPr>
            <w:tcW w:w="129" w:type="pct"/>
            <w:tcBorders>
              <w:top w:val="nil"/>
              <w:left w:val="nil"/>
              <w:bottom w:val="single" w:sz="4" w:space="0" w:color="auto"/>
              <w:right w:val="single" w:sz="4" w:space="0" w:color="auto"/>
            </w:tcBorders>
            <w:shd w:val="clear" w:color="FFFFFF" w:fill="FFFFFF"/>
            <w:vAlign w:val="center"/>
            <w:hideMark/>
          </w:tcPr>
          <w:p w14:paraId="02C6DB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F1E6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20DC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B53E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399366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C659A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0E0B4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76C6D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65BE04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5CC164D" w14:textId="14D6A82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Amendim i Rregullores së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 1321/2014,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datës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26</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nëntor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2014,</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mbi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vazhdueshmërinë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vlefshmërisë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ajrore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avionit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produkteve,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pjesëve dhe pajisjeve aeronautike dhe mbi miratimin e organizatave dhe personelit të përfshirë në këto detyra:</w:t>
            </w:r>
            <w:r w:rsidRPr="006D6BE5">
              <w:rPr>
                <w:rFonts w:ascii="Arial" w:hAnsi="Arial" w:cs="Arial"/>
                <w:color w:val="000000"/>
                <w:sz w:val="4"/>
                <w:szCs w:val="8"/>
                <w:lang w:val="sq-AL"/>
              </w:rPr>
              <w:br w:type="page"/>
              <w:t>1 - Rregullore e zbatimit të Komisionit (BE) 2019/1384 e 24</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Korrikut 2019;</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2 - Rregullore e zbatimit të Komisionit (BE) 2020/270 e 25 Shkurtit 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3 - Rregullore e zbatimit të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2020/1159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5 Gushtit 2020;</w:t>
            </w:r>
            <w:r w:rsidRPr="006D6BE5">
              <w:rPr>
                <w:rFonts w:ascii="Arial" w:hAnsi="Arial" w:cs="Arial"/>
                <w:color w:val="000000"/>
                <w:sz w:val="4"/>
                <w:szCs w:val="8"/>
                <w:lang w:val="sq-AL"/>
              </w:rPr>
              <w:br w:type="page"/>
              <w:t>4 - Rregullore e zbatimit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Komisionit (BE) 2021/685 e 22 Prillit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5 - Rregullore e zbatimit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2021/700 e 26 Marsit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w:t>
            </w:r>
            <w:r w:rsidRPr="006D6BE5">
              <w:rPr>
                <w:rFonts w:ascii="Arial" w:hAnsi="Arial" w:cs="Arial"/>
                <w:color w:val="000000"/>
                <w:sz w:val="4"/>
                <w:szCs w:val="8"/>
                <w:lang w:val="sq-AL"/>
              </w:rPr>
              <w:br w:type="page"/>
              <w:t>6 - 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2021/1963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8 Nëntorit 2021;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7 - Rregullore e zbatimit të Komisionit (BE) 2022/410 e 10 Marsit 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8 - Rregullore e zbatimit të Komisionit(BE) 2022/1360 e 28 Korrikut 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9 - Rregullore e zbatimit tëKomisionit (BE) 2023/989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22 Majit 2023;</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ype="page"/>
              <w:t>10 - Rregullore e zbatimit të Komisionit (BE) 2023/1152 e 12 Qershorit 2023</w:t>
            </w:r>
          </w:p>
        </w:tc>
        <w:tc>
          <w:tcPr>
            <w:tcW w:w="668" w:type="pct"/>
            <w:tcBorders>
              <w:top w:val="nil"/>
              <w:left w:val="nil"/>
              <w:bottom w:val="single" w:sz="4" w:space="0" w:color="auto"/>
              <w:right w:val="single" w:sz="4" w:space="0" w:color="auto"/>
            </w:tcBorders>
            <w:shd w:val="clear" w:color="000000" w:fill="FFFFFF"/>
            <w:vAlign w:val="center"/>
            <w:hideMark/>
          </w:tcPr>
          <w:p w14:paraId="41806748" w14:textId="77777777" w:rsidR="00482167" w:rsidRPr="006D6BE5" w:rsidRDefault="00E63D69" w:rsidP="00A7241A">
            <w:pPr>
              <w:rPr>
                <w:rFonts w:ascii="Arial" w:hAnsi="Arial" w:cs="Arial"/>
                <w:color w:val="0563C1"/>
                <w:sz w:val="4"/>
                <w:szCs w:val="8"/>
                <w:u w:val="single"/>
                <w:lang w:val="sq-AL"/>
              </w:rPr>
            </w:pPr>
            <w:hyperlink r:id="rId193" w:history="1">
              <w:r w:rsidR="00482167" w:rsidRPr="006D6BE5">
                <w:rPr>
                  <w:rFonts w:ascii="Arial" w:hAnsi="Arial" w:cs="Arial"/>
                  <w:color w:val="0563C1"/>
                  <w:sz w:val="4"/>
                  <w:szCs w:val="8"/>
                  <w:u w:val="single"/>
                  <w:lang w:val="sq-AL"/>
                </w:rPr>
                <w:t>https://eur-lex.europa.eu/legal-content/EN/TXT/?uri=CELEX%3A02014R1321-20230825</w:t>
              </w:r>
            </w:hyperlink>
          </w:p>
        </w:tc>
        <w:tc>
          <w:tcPr>
            <w:tcW w:w="506" w:type="pct"/>
            <w:tcBorders>
              <w:top w:val="nil"/>
              <w:left w:val="nil"/>
              <w:bottom w:val="single" w:sz="4" w:space="0" w:color="auto"/>
              <w:right w:val="single" w:sz="4" w:space="0" w:color="auto"/>
            </w:tcBorders>
            <w:shd w:val="clear" w:color="FFFFFF" w:fill="FFFFFF"/>
            <w:vAlign w:val="center"/>
            <w:hideMark/>
          </w:tcPr>
          <w:p w14:paraId="760710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81C1B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miratimin e rregullores mbi vazhdueshmërinë e vlefshmërisë ajrore të avionit dhe produkteve, pjesëve dhe pajisjeve aeronautike dhe mbi miratimin e organizatave dhe personelit të përfshirë në këto detyra"</w:t>
            </w:r>
          </w:p>
        </w:tc>
        <w:tc>
          <w:tcPr>
            <w:tcW w:w="330" w:type="pct"/>
            <w:tcBorders>
              <w:top w:val="nil"/>
              <w:left w:val="nil"/>
              <w:bottom w:val="single" w:sz="4" w:space="0" w:color="auto"/>
              <w:right w:val="single" w:sz="4" w:space="0" w:color="auto"/>
            </w:tcBorders>
            <w:shd w:val="clear" w:color="auto" w:fill="auto"/>
            <w:vAlign w:val="center"/>
            <w:hideMark/>
          </w:tcPr>
          <w:p w14:paraId="394C839D" w14:textId="6EA34B0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Kryerja eertifikimit dhe aktiviteteve mbikqyrëse për vazhdueshmërinë e vlefshmërisë ajrore të avionëve,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produkteve, pjesëve dhe pajisjeve aeronautike, organizatave dhe personelit të përfshirë në këto detyra</w:t>
            </w:r>
          </w:p>
        </w:tc>
        <w:tc>
          <w:tcPr>
            <w:tcW w:w="126" w:type="pct"/>
            <w:tcBorders>
              <w:top w:val="nil"/>
              <w:left w:val="nil"/>
              <w:bottom w:val="single" w:sz="4" w:space="0" w:color="auto"/>
              <w:right w:val="single" w:sz="4" w:space="0" w:color="auto"/>
            </w:tcBorders>
            <w:shd w:val="clear" w:color="FFFFFF" w:fill="FFFFFF"/>
            <w:vAlign w:val="center"/>
            <w:hideMark/>
          </w:tcPr>
          <w:p w14:paraId="476203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16212A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16901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046161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6E9D5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3A866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679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06B6A2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77833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966F8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6515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6FBFD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C3E0D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57BC93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7C7EE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C0CAE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D8B57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05991D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E1F7C4C" w14:textId="2A67062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Amendim i Rregullores së Komisionit (BE) Nr.748/2012e datës 3 gusht 2012, për përcaktimin e rregullave tëzbatimit të vlefshmërisë ajrore dhe të certifikimit mjedisor të avionëve dhe të produkteve që kanë lidhje me ta, pjesëve dhe pajisjeve, si dhe për certifikimin e organizatave të projektimit dhe prodhimit: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1- Rregulloria e Deleguar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2020/570 e 28 Janarit 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2- Rregulloria e Deleguar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2021/699 e 21 Dhjetorit 2020;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3- Rregulloria e Deleguar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2021/1088 e 7 Prillit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4- Rregulloria e Deleguar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2022/201 e 10 Dhjetorit 2021;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5- Rregullore e Komisionit (BE) 2022/203 e 14 Shkurtit 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6- Rregullore e Komisionit (BE) 2022/1253 e 19 Korrikut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7- Rregulloria e Deleguar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2022/1358 e 2 Qershorit 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8- Rregulllore e Komisionit (BE) 2022/1361 e 28 Korrikut 2022;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r w:rsidRPr="006D6BE5">
              <w:rPr>
                <w:rFonts w:ascii="Arial" w:hAnsi="Arial" w:cs="Arial"/>
                <w:color w:val="000000"/>
                <w:sz w:val="4"/>
                <w:szCs w:val="8"/>
                <w:lang w:val="sq-AL"/>
              </w:rPr>
              <w:br/>
              <w:t>9- Rregulloria e Deleguar e Komisionit (BE) 2023/1028 e 20 Marsit 2023.</w:t>
            </w:r>
            <w:r w:rsidRPr="006D6BE5">
              <w:rPr>
                <w:rFonts w:ascii="Arial" w:hAnsi="Arial" w:cs="Arial"/>
                <w:color w:val="000000"/>
                <w:sz w:val="4"/>
                <w:szCs w:val="8"/>
                <w:lang w:val="sq-AL"/>
              </w:rPr>
              <w:br/>
            </w:r>
            <w:r w:rsidRPr="006D6BE5">
              <w:rPr>
                <w:rFonts w:ascii="Arial" w:hAnsi="Arial" w:cs="Arial"/>
                <w:color w:val="000000"/>
                <w:sz w:val="4"/>
                <w:szCs w:val="8"/>
                <w:lang w:val="sq-AL"/>
              </w:rPr>
              <w:br/>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p>
        </w:tc>
        <w:tc>
          <w:tcPr>
            <w:tcW w:w="668" w:type="pct"/>
            <w:tcBorders>
              <w:top w:val="nil"/>
              <w:left w:val="nil"/>
              <w:bottom w:val="single" w:sz="4" w:space="0" w:color="auto"/>
              <w:right w:val="single" w:sz="4" w:space="0" w:color="auto"/>
            </w:tcBorders>
            <w:shd w:val="clear" w:color="auto" w:fill="auto"/>
            <w:vAlign w:val="center"/>
            <w:hideMark/>
          </w:tcPr>
          <w:p w14:paraId="78F05B34" w14:textId="77777777" w:rsidR="00482167" w:rsidRPr="006D6BE5" w:rsidRDefault="00E63D69" w:rsidP="00A7241A">
            <w:pPr>
              <w:rPr>
                <w:rFonts w:ascii="Arial" w:hAnsi="Arial" w:cs="Arial"/>
                <w:color w:val="0563C1"/>
                <w:sz w:val="4"/>
                <w:szCs w:val="8"/>
                <w:u w:val="single"/>
                <w:lang w:val="sq-AL"/>
              </w:rPr>
            </w:pPr>
            <w:hyperlink r:id="rId194" w:history="1">
              <w:r w:rsidR="00482167" w:rsidRPr="006D6BE5">
                <w:rPr>
                  <w:rFonts w:ascii="Arial" w:hAnsi="Arial" w:cs="Arial"/>
                  <w:color w:val="0563C1"/>
                  <w:sz w:val="4"/>
                  <w:szCs w:val="8"/>
                  <w:u w:val="single"/>
                  <w:lang w:val="sq-AL"/>
                </w:rPr>
                <w:t xml:space="preserve">https://eur-lex.europa.eu/legal-content/EN/TXT/?uri=CELEX%3A02012R0748-20230825 </w:t>
              </w:r>
            </w:hyperlink>
          </w:p>
        </w:tc>
        <w:tc>
          <w:tcPr>
            <w:tcW w:w="506" w:type="pct"/>
            <w:tcBorders>
              <w:top w:val="nil"/>
              <w:left w:val="nil"/>
              <w:bottom w:val="single" w:sz="4" w:space="0" w:color="auto"/>
              <w:right w:val="single" w:sz="4" w:space="0" w:color="auto"/>
            </w:tcBorders>
            <w:shd w:val="clear" w:color="FFFFFF" w:fill="FFFFFF"/>
            <w:vAlign w:val="center"/>
            <w:hideMark/>
          </w:tcPr>
          <w:p w14:paraId="37E7D3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3B52754" w14:textId="1A22D6C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 Për miratimin e rregullores për përcaktimin e rregullave zbatuese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vlefshmërisë ajrore dhe të certifikimit mjedisor të mjeteve fluturuese dhe të produkteve që kanë lidhje me to, pjesëve dhe pajisjeve, si dhe për certifikimin e organizatave të projektimit dhe prodhimit"</w:t>
            </w:r>
          </w:p>
        </w:tc>
        <w:tc>
          <w:tcPr>
            <w:tcW w:w="330" w:type="pct"/>
            <w:tcBorders>
              <w:top w:val="nil"/>
              <w:left w:val="nil"/>
              <w:bottom w:val="single" w:sz="4" w:space="0" w:color="auto"/>
              <w:right w:val="single" w:sz="4" w:space="0" w:color="auto"/>
            </w:tcBorders>
            <w:shd w:val="clear" w:color="auto" w:fill="auto"/>
            <w:vAlign w:val="center"/>
            <w:hideMark/>
          </w:tcPr>
          <w:p w14:paraId="67B2A2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Certifikimi i aktiviteteve mbikqyrëse për vlefshmërinë ajrore dhe të certifikimit mjedisor të mjeteve fluturuese dhe të produkteve që kanë lidhje me to, pjesëve dhe pajisjeve, si dhe për certifikimin e organizatave të projektimit dhe prodhimit</w:t>
            </w:r>
          </w:p>
        </w:tc>
        <w:tc>
          <w:tcPr>
            <w:tcW w:w="126" w:type="pct"/>
            <w:tcBorders>
              <w:top w:val="nil"/>
              <w:left w:val="nil"/>
              <w:bottom w:val="single" w:sz="4" w:space="0" w:color="auto"/>
              <w:right w:val="single" w:sz="4" w:space="0" w:color="auto"/>
            </w:tcBorders>
            <w:shd w:val="clear" w:color="FFFFFF" w:fill="FFFFFF"/>
            <w:vAlign w:val="center"/>
            <w:hideMark/>
          </w:tcPr>
          <w:p w14:paraId="4B1B56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72E2A9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C8D60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56BA0A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A355B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2C14BD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2AA9A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55F046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DC265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5BAD2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36F8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6DA50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05C71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456104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8E425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389AC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3B1D5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084AA8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3361C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2015/640 e 23 prillit 2015 mbi specifikimet shtesë të vlefshmerise ajrore për një lloj të caktuar operimesh dhe ndryshimin e Rregullores (BE) nr. 965/2012l</w:t>
            </w:r>
          </w:p>
        </w:tc>
        <w:tc>
          <w:tcPr>
            <w:tcW w:w="668" w:type="pct"/>
            <w:tcBorders>
              <w:top w:val="nil"/>
              <w:left w:val="nil"/>
              <w:bottom w:val="single" w:sz="4" w:space="0" w:color="auto"/>
              <w:right w:val="single" w:sz="4" w:space="0" w:color="auto"/>
            </w:tcBorders>
            <w:shd w:val="clear" w:color="auto" w:fill="auto"/>
            <w:vAlign w:val="center"/>
            <w:hideMark/>
          </w:tcPr>
          <w:p w14:paraId="3E000098" w14:textId="77777777" w:rsidR="00482167" w:rsidRPr="006D6BE5" w:rsidRDefault="00E63D69" w:rsidP="00A7241A">
            <w:pPr>
              <w:rPr>
                <w:rFonts w:ascii="Arial" w:hAnsi="Arial" w:cs="Arial"/>
                <w:color w:val="0563C1"/>
                <w:sz w:val="4"/>
                <w:szCs w:val="8"/>
                <w:u w:val="single"/>
                <w:lang w:val="sq-AL"/>
              </w:rPr>
            </w:pPr>
            <w:hyperlink r:id="rId195" w:history="1">
              <w:r w:rsidR="00482167" w:rsidRPr="006D6BE5">
                <w:rPr>
                  <w:rFonts w:ascii="Arial" w:hAnsi="Arial" w:cs="Arial"/>
                  <w:color w:val="0563C1"/>
                  <w:sz w:val="4"/>
                  <w:szCs w:val="8"/>
                  <w:u w:val="single"/>
                  <w:lang w:val="sq-AL"/>
                </w:rPr>
                <w:t xml:space="preserve">https://eur-lex.europa.eu/legal-content/EN/TXT/?uri=celex%3A32015R0640 </w:t>
              </w:r>
            </w:hyperlink>
          </w:p>
        </w:tc>
        <w:tc>
          <w:tcPr>
            <w:tcW w:w="506" w:type="pct"/>
            <w:tcBorders>
              <w:top w:val="nil"/>
              <w:left w:val="nil"/>
              <w:bottom w:val="single" w:sz="4" w:space="0" w:color="auto"/>
              <w:right w:val="single" w:sz="4" w:space="0" w:color="auto"/>
            </w:tcBorders>
            <w:shd w:val="clear" w:color="FFFFFF" w:fill="FFFFFF"/>
            <w:vAlign w:val="center"/>
            <w:hideMark/>
          </w:tcPr>
          <w:p w14:paraId="21239A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DFAD8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Specifikimet shtesë të vlefshmërisë ajrore"</w:t>
            </w:r>
          </w:p>
        </w:tc>
        <w:tc>
          <w:tcPr>
            <w:tcW w:w="330" w:type="pct"/>
            <w:tcBorders>
              <w:top w:val="nil"/>
              <w:left w:val="nil"/>
              <w:bottom w:val="single" w:sz="4" w:space="0" w:color="auto"/>
              <w:right w:val="single" w:sz="4" w:space="0" w:color="auto"/>
            </w:tcBorders>
            <w:shd w:val="clear" w:color="FFFFFF" w:fill="FFFFFF"/>
            <w:vAlign w:val="center"/>
            <w:hideMark/>
          </w:tcPr>
          <w:p w14:paraId="4B5929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Kryerja e aktiviteteve mbikqyrese </w:t>
            </w:r>
          </w:p>
        </w:tc>
        <w:tc>
          <w:tcPr>
            <w:tcW w:w="126" w:type="pct"/>
            <w:tcBorders>
              <w:top w:val="nil"/>
              <w:left w:val="nil"/>
              <w:bottom w:val="single" w:sz="4" w:space="0" w:color="auto"/>
              <w:right w:val="single" w:sz="4" w:space="0" w:color="auto"/>
            </w:tcBorders>
            <w:shd w:val="clear" w:color="FFFFFF" w:fill="FFFFFF"/>
            <w:vAlign w:val="center"/>
            <w:hideMark/>
          </w:tcPr>
          <w:p w14:paraId="369E68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7615B8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A560F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129BB6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AAE58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D79C8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40372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634A78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B034E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8D7E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ED606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D0D3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D49D3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F0DEB9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4BC95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1C0DB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EB52C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477D47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C1C54AF" w14:textId="61350DC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Komisionit (BE) 2023/1772 e 12 Shtatorit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2023 ndryshon rregulloren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zbatimit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923/2012 për përcaktimin e rregullave të përbashkëta të ajrit dhe dispozitat operacionale në lidhje me shërbimet dhe procedurat në lundrimin ajror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dhe shfuqëzimin e rregullores (BE) Nr.1033/2006</w:t>
            </w:r>
          </w:p>
        </w:tc>
        <w:tc>
          <w:tcPr>
            <w:tcW w:w="668" w:type="pct"/>
            <w:tcBorders>
              <w:top w:val="nil"/>
              <w:left w:val="nil"/>
              <w:bottom w:val="single" w:sz="4" w:space="0" w:color="auto"/>
              <w:right w:val="single" w:sz="4" w:space="0" w:color="auto"/>
            </w:tcBorders>
            <w:shd w:val="clear" w:color="auto" w:fill="auto"/>
            <w:vAlign w:val="center"/>
            <w:hideMark/>
          </w:tcPr>
          <w:p w14:paraId="55E97A91" w14:textId="77777777" w:rsidR="00482167" w:rsidRPr="006D6BE5" w:rsidRDefault="00E63D69" w:rsidP="00A7241A">
            <w:pPr>
              <w:rPr>
                <w:rFonts w:ascii="Arial" w:hAnsi="Arial" w:cs="Arial"/>
                <w:color w:val="0563C1"/>
                <w:sz w:val="4"/>
                <w:szCs w:val="8"/>
                <w:u w:val="single"/>
                <w:lang w:val="sq-AL"/>
              </w:rPr>
            </w:pPr>
            <w:hyperlink r:id="rId196" w:history="1">
              <w:r w:rsidR="00482167" w:rsidRPr="006D6BE5">
                <w:rPr>
                  <w:rFonts w:ascii="Arial" w:hAnsi="Arial" w:cs="Arial"/>
                  <w:color w:val="0563C1"/>
                  <w:sz w:val="4"/>
                  <w:szCs w:val="8"/>
                  <w:u w:val="single"/>
                  <w:lang w:val="sq-AL"/>
                </w:rPr>
                <w:t xml:space="preserve">https://eur-lex.europa.eu/eli/reg_impl/2023/1772/oj </w:t>
              </w:r>
            </w:hyperlink>
          </w:p>
        </w:tc>
        <w:tc>
          <w:tcPr>
            <w:tcW w:w="506" w:type="pct"/>
            <w:tcBorders>
              <w:top w:val="nil"/>
              <w:left w:val="nil"/>
              <w:bottom w:val="single" w:sz="4" w:space="0" w:color="auto"/>
              <w:right w:val="single" w:sz="4" w:space="0" w:color="auto"/>
            </w:tcBorders>
            <w:shd w:val="clear" w:color="FFFFFF" w:fill="FFFFFF"/>
            <w:vAlign w:val="center"/>
            <w:hideMark/>
          </w:tcPr>
          <w:p w14:paraId="790FE0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713671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"Per disa ndryshime në Urdhrin e Ministrit Nr.42 i datës 27.03.2023 " Për përcaktimin e rregullave të përbashkëta të ajrit dhe dispozitat operacionale në lidhje me shërbimet dhe procedurat në lundrimin ajror"</w:t>
            </w:r>
          </w:p>
        </w:tc>
        <w:tc>
          <w:tcPr>
            <w:tcW w:w="330" w:type="pct"/>
            <w:tcBorders>
              <w:top w:val="nil"/>
              <w:left w:val="nil"/>
              <w:bottom w:val="single" w:sz="4" w:space="0" w:color="auto"/>
              <w:right w:val="single" w:sz="4" w:space="0" w:color="auto"/>
            </w:tcBorders>
            <w:shd w:val="clear" w:color="auto" w:fill="auto"/>
            <w:vAlign w:val="center"/>
            <w:hideMark/>
          </w:tcPr>
          <w:p w14:paraId="50A1629B" w14:textId="47841E9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OSHLA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do të jetë në përputhje me standartet e përcaktuara në këtë rregullore , e cila synon vendosjen e rregullave të përbashkëta të dispozitave ajrore dhe operacionale në lidhje me shërbimet dhe procedurat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që do të zbatohen për trafikun ajror. </w:t>
            </w:r>
          </w:p>
        </w:tc>
        <w:tc>
          <w:tcPr>
            <w:tcW w:w="126" w:type="pct"/>
            <w:tcBorders>
              <w:top w:val="nil"/>
              <w:left w:val="nil"/>
              <w:bottom w:val="single" w:sz="4" w:space="0" w:color="auto"/>
              <w:right w:val="single" w:sz="4" w:space="0" w:color="auto"/>
            </w:tcBorders>
            <w:shd w:val="clear" w:color="FFFFFF" w:fill="FFFFFF"/>
            <w:vAlign w:val="center"/>
            <w:hideMark/>
          </w:tcPr>
          <w:p w14:paraId="5A50AD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4133B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0CC60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4B8C8F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A79AD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8F9F3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7F7E8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4C9015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E939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EBE57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309E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37A1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429B4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138D88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412F8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6C158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27DE4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62C053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74BC3A0" w14:textId="2ADB5AE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Rregulloren e Zbatimit të Komisionit (BE) nr. 2023/1771 e datës 12 shtator 2023, ndryshon Rregulloren (BE) 2017/373, mbi përcaktimin e kërkesave të përbashkëta për ofruesit e shërbimeve të menaxhimit të trafikut ajror dhe të lundrimit ajror, si dhe funksionet e tjera të rrjetit të menaxhimit të trafikut ajror dhe mbikëqyrjen e tyre, dhe shfuqëzon Rreguloren (BE) Nr. 1032/2006,</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633/2007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262/2009</w:t>
            </w:r>
          </w:p>
        </w:tc>
        <w:tc>
          <w:tcPr>
            <w:tcW w:w="668" w:type="pct"/>
            <w:tcBorders>
              <w:top w:val="nil"/>
              <w:left w:val="nil"/>
              <w:bottom w:val="single" w:sz="4" w:space="0" w:color="auto"/>
              <w:right w:val="single" w:sz="4" w:space="0" w:color="auto"/>
            </w:tcBorders>
            <w:shd w:val="clear" w:color="auto" w:fill="auto"/>
            <w:vAlign w:val="center"/>
            <w:hideMark/>
          </w:tcPr>
          <w:p w14:paraId="009C8F9F" w14:textId="77777777" w:rsidR="00482167" w:rsidRPr="006D6BE5" w:rsidRDefault="00E63D69" w:rsidP="00A7241A">
            <w:pPr>
              <w:rPr>
                <w:rFonts w:ascii="Arial" w:hAnsi="Arial" w:cs="Arial"/>
                <w:color w:val="0563C1"/>
                <w:sz w:val="4"/>
                <w:szCs w:val="8"/>
                <w:u w:val="single"/>
                <w:lang w:val="sq-AL"/>
              </w:rPr>
            </w:pPr>
            <w:hyperlink r:id="rId197" w:history="1">
              <w:r w:rsidR="00482167" w:rsidRPr="006D6BE5">
                <w:rPr>
                  <w:rFonts w:ascii="Arial" w:hAnsi="Arial" w:cs="Arial"/>
                  <w:color w:val="0563C1"/>
                  <w:sz w:val="4"/>
                  <w:szCs w:val="8"/>
                  <w:u w:val="single"/>
                  <w:lang w:val="sq-AL"/>
                </w:rPr>
                <w:t xml:space="preserve">https://eur-lex.europa.eu/legal-content/EN/TXT/?uri=CELEX%3A32023R1771 </w:t>
              </w:r>
            </w:hyperlink>
          </w:p>
        </w:tc>
        <w:tc>
          <w:tcPr>
            <w:tcW w:w="506" w:type="pct"/>
            <w:tcBorders>
              <w:top w:val="nil"/>
              <w:left w:val="nil"/>
              <w:bottom w:val="single" w:sz="4" w:space="0" w:color="auto"/>
              <w:right w:val="single" w:sz="4" w:space="0" w:color="auto"/>
            </w:tcBorders>
            <w:shd w:val="clear" w:color="FFFFFF" w:fill="FFFFFF"/>
            <w:vAlign w:val="center"/>
            <w:hideMark/>
          </w:tcPr>
          <w:p w14:paraId="113E66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1F329B8" w14:textId="51F7F0C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"Per disa ndryshime ne Urdhrin e Ministrit Nr. 193, datë 6.10.2022 Për miratimin e rregullores “Për përcaktimin e kërkesave të përbashkëta për ofruesit e shërbimeve të menaxhimit të trafikut ajror dhe të lundrimit ajror, si dhe funksionet e tjera të rrjetit të menaxhimit të trafikut ajror dhe mbikqyrjen e tyre”</w:t>
            </w:r>
          </w:p>
        </w:tc>
        <w:tc>
          <w:tcPr>
            <w:tcW w:w="330" w:type="pct"/>
            <w:tcBorders>
              <w:top w:val="nil"/>
              <w:left w:val="nil"/>
              <w:bottom w:val="single" w:sz="4" w:space="0" w:color="auto"/>
              <w:right w:val="single" w:sz="4" w:space="0" w:color="auto"/>
            </w:tcBorders>
            <w:shd w:val="clear" w:color="FFFFFF" w:fill="FFFFFF"/>
            <w:vAlign w:val="center"/>
            <w:hideMark/>
          </w:tcPr>
          <w:p w14:paraId="08943BEB" w14:textId="6C03AB3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Instalimi I duhur, testimi në vend dhe hyrja e sigurt në pajisjet e ATM/ATS,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si dhe mbikqyrja e tyre do të realizohet me kërkesat e reja</w:t>
            </w:r>
          </w:p>
        </w:tc>
        <w:tc>
          <w:tcPr>
            <w:tcW w:w="126" w:type="pct"/>
            <w:tcBorders>
              <w:top w:val="nil"/>
              <w:left w:val="nil"/>
              <w:bottom w:val="single" w:sz="4" w:space="0" w:color="auto"/>
              <w:right w:val="single" w:sz="4" w:space="0" w:color="auto"/>
            </w:tcBorders>
            <w:shd w:val="clear" w:color="FFFFFF" w:fill="FFFFFF"/>
            <w:vAlign w:val="center"/>
            <w:hideMark/>
          </w:tcPr>
          <w:p w14:paraId="39CB6D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C40B9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A0789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3E2572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DB260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F324D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7D693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0DDD28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86DF7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DAD3E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A4EBA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66E7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BDA4F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5ACF7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CD71A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531691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3E107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0AE89F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94266D9" w14:textId="0EAEA7C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Rregulloren e Deleguar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2021/1087 e 7 Prillit 2021, ndryshimin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(BE) 2018/1139 e parlamentit Europian dhe Këshillit për sa i përket përditësimit të referencave të dispozitave Konventës së Çikagos. </w:t>
            </w:r>
          </w:p>
        </w:tc>
        <w:tc>
          <w:tcPr>
            <w:tcW w:w="668" w:type="pct"/>
            <w:tcBorders>
              <w:top w:val="nil"/>
              <w:left w:val="nil"/>
              <w:bottom w:val="single" w:sz="4" w:space="0" w:color="auto"/>
              <w:right w:val="single" w:sz="4" w:space="0" w:color="auto"/>
            </w:tcBorders>
            <w:shd w:val="clear" w:color="auto" w:fill="auto"/>
            <w:vAlign w:val="center"/>
            <w:hideMark/>
          </w:tcPr>
          <w:p w14:paraId="237052BF" w14:textId="77777777" w:rsidR="00482167" w:rsidRPr="006D6BE5" w:rsidRDefault="00E63D69" w:rsidP="00A7241A">
            <w:pPr>
              <w:rPr>
                <w:rFonts w:ascii="Arial" w:hAnsi="Arial" w:cs="Arial"/>
                <w:color w:val="0563C1"/>
                <w:sz w:val="4"/>
                <w:szCs w:val="8"/>
                <w:u w:val="single"/>
                <w:lang w:val="sq-AL"/>
              </w:rPr>
            </w:pPr>
            <w:hyperlink r:id="rId198" w:history="1">
              <w:r w:rsidR="00482167" w:rsidRPr="006D6BE5">
                <w:rPr>
                  <w:rFonts w:ascii="Arial" w:hAnsi="Arial" w:cs="Arial"/>
                  <w:color w:val="0563C1"/>
                  <w:sz w:val="4"/>
                  <w:szCs w:val="8"/>
                  <w:u w:val="single"/>
                  <w:lang w:val="sq-AL"/>
                </w:rPr>
                <w:t xml:space="preserve">https://eur-lex.europa.eu/legal-content/EN/TXT/?uri=CELEX%3A02018R1139-20210725 </w:t>
              </w:r>
            </w:hyperlink>
          </w:p>
        </w:tc>
        <w:tc>
          <w:tcPr>
            <w:tcW w:w="506" w:type="pct"/>
            <w:tcBorders>
              <w:top w:val="nil"/>
              <w:left w:val="nil"/>
              <w:bottom w:val="single" w:sz="4" w:space="0" w:color="auto"/>
              <w:right w:val="single" w:sz="4" w:space="0" w:color="auto"/>
            </w:tcBorders>
            <w:shd w:val="clear" w:color="FFFFFF" w:fill="FFFFFF"/>
            <w:vAlign w:val="center"/>
            <w:hideMark/>
          </w:tcPr>
          <w:p w14:paraId="272340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E7DBD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 disa ndryshime ne VKM Nr. 1095, datë 24.12.2020 "Për miratimin e kërkesave thelbësore në fushën e aviacionit civil"</w:t>
            </w:r>
          </w:p>
        </w:tc>
        <w:tc>
          <w:tcPr>
            <w:tcW w:w="330" w:type="pct"/>
            <w:tcBorders>
              <w:top w:val="nil"/>
              <w:left w:val="nil"/>
              <w:bottom w:val="single" w:sz="4" w:space="0" w:color="auto"/>
              <w:right w:val="single" w:sz="4" w:space="0" w:color="auto"/>
            </w:tcBorders>
            <w:shd w:val="clear" w:color="auto" w:fill="auto"/>
            <w:vAlign w:val="center"/>
            <w:hideMark/>
          </w:tcPr>
          <w:p w14:paraId="08E554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Referimi korrekt ndaj standarteve të Aneksit 16 të ICAO</w:t>
            </w:r>
          </w:p>
        </w:tc>
        <w:tc>
          <w:tcPr>
            <w:tcW w:w="126" w:type="pct"/>
            <w:tcBorders>
              <w:top w:val="nil"/>
              <w:left w:val="nil"/>
              <w:bottom w:val="single" w:sz="4" w:space="0" w:color="auto"/>
              <w:right w:val="single" w:sz="4" w:space="0" w:color="auto"/>
            </w:tcBorders>
            <w:shd w:val="clear" w:color="auto" w:fill="auto"/>
            <w:vAlign w:val="center"/>
            <w:hideMark/>
          </w:tcPr>
          <w:p w14:paraId="60F325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6AF072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569AF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628274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1B086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2C2192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ED25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750</w:t>
            </w:r>
          </w:p>
        </w:tc>
        <w:tc>
          <w:tcPr>
            <w:tcW w:w="126" w:type="pct"/>
            <w:tcBorders>
              <w:top w:val="nil"/>
              <w:left w:val="nil"/>
              <w:bottom w:val="single" w:sz="4" w:space="0" w:color="auto"/>
              <w:right w:val="single" w:sz="4" w:space="0" w:color="auto"/>
            </w:tcBorders>
            <w:shd w:val="clear" w:color="FFFFFF" w:fill="FFFFFF"/>
            <w:vAlign w:val="center"/>
            <w:hideMark/>
          </w:tcPr>
          <w:p w14:paraId="0AC2FB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542E2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203D1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9949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EB46C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AB9C8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628E84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AD545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2D6EC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6A3BD7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14C7EE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508D431" w14:textId="1A4AA0A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Vendimi i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C (2015)8005 i 28 Tetorit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2015, për përcaktimin e masave të detajuara për zbatimin e rregullave të përbashkëta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në fushë e sigurisë në aviacion që përmbajnë informacione të përmendura në nenin 18 (a) të 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300/2008.</w:t>
            </w:r>
          </w:p>
        </w:tc>
        <w:tc>
          <w:tcPr>
            <w:tcW w:w="668" w:type="pct"/>
            <w:tcBorders>
              <w:top w:val="nil"/>
              <w:left w:val="nil"/>
              <w:bottom w:val="single" w:sz="4" w:space="0" w:color="auto"/>
              <w:right w:val="single" w:sz="4" w:space="0" w:color="auto"/>
            </w:tcBorders>
            <w:shd w:val="clear" w:color="auto" w:fill="auto"/>
            <w:vAlign w:val="center"/>
            <w:hideMark/>
          </w:tcPr>
          <w:p w14:paraId="4EC13D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Akses i kufizuar (Kofidencial)</w:t>
            </w:r>
          </w:p>
        </w:tc>
        <w:tc>
          <w:tcPr>
            <w:tcW w:w="506" w:type="pct"/>
            <w:tcBorders>
              <w:top w:val="nil"/>
              <w:left w:val="nil"/>
              <w:bottom w:val="single" w:sz="4" w:space="0" w:color="auto"/>
              <w:right w:val="single" w:sz="4" w:space="0" w:color="auto"/>
            </w:tcBorders>
            <w:shd w:val="clear" w:color="FFFFFF" w:fill="FFFFFF"/>
            <w:vAlign w:val="center"/>
            <w:hideMark/>
          </w:tcPr>
          <w:p w14:paraId="6655F9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B4585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Programit Kombëtar të Sigurisë së Aviacionit Civil"</w:t>
            </w:r>
          </w:p>
        </w:tc>
        <w:tc>
          <w:tcPr>
            <w:tcW w:w="330" w:type="pct"/>
            <w:tcBorders>
              <w:top w:val="nil"/>
              <w:left w:val="nil"/>
              <w:bottom w:val="single" w:sz="4" w:space="0" w:color="auto"/>
              <w:right w:val="single" w:sz="4" w:space="0" w:color="auto"/>
            </w:tcBorders>
            <w:shd w:val="clear" w:color="auto" w:fill="auto"/>
            <w:vAlign w:val="center"/>
            <w:hideMark/>
          </w:tcPr>
          <w:p w14:paraId="05230C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Përditësimi i Standarteve për sigurinë në aviacion do të jenë të zbatueshme për të gjithë palët e interesuara dhe progeri dhe hapat drejt "One stop security"</w:t>
            </w:r>
          </w:p>
        </w:tc>
        <w:tc>
          <w:tcPr>
            <w:tcW w:w="126" w:type="pct"/>
            <w:tcBorders>
              <w:top w:val="nil"/>
              <w:left w:val="nil"/>
              <w:bottom w:val="single" w:sz="4" w:space="0" w:color="auto"/>
              <w:right w:val="single" w:sz="4" w:space="0" w:color="auto"/>
            </w:tcBorders>
            <w:shd w:val="clear" w:color="auto" w:fill="auto"/>
            <w:vAlign w:val="center"/>
            <w:hideMark/>
          </w:tcPr>
          <w:p w14:paraId="2C9B0D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auto" w:fill="auto"/>
            <w:vAlign w:val="center"/>
            <w:hideMark/>
          </w:tcPr>
          <w:p w14:paraId="536F73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AA54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228669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97A8A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D1571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AB57E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750</w:t>
            </w:r>
          </w:p>
        </w:tc>
        <w:tc>
          <w:tcPr>
            <w:tcW w:w="126" w:type="pct"/>
            <w:tcBorders>
              <w:top w:val="nil"/>
              <w:left w:val="nil"/>
              <w:bottom w:val="single" w:sz="4" w:space="0" w:color="auto"/>
              <w:right w:val="single" w:sz="4" w:space="0" w:color="auto"/>
            </w:tcBorders>
            <w:shd w:val="clear" w:color="FFFFFF" w:fill="FFFFFF"/>
            <w:vAlign w:val="center"/>
            <w:hideMark/>
          </w:tcPr>
          <w:p w14:paraId="6FC725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5EED3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63EC3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D049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1A3EA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87045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F0263F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A6291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26FFD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D5FA0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58ABC5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0C7CA0E" w14:textId="1E5C74B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Deleguar e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2020/2034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6 Tetorit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2020 , e cila plotëson Regulloren (BE) Nr. 376/2014 e Parlamentit Europian dhe Këshillit në lidhje me skemën e përbashkët europiane të klasifikimit të riskut.</w:t>
            </w:r>
          </w:p>
        </w:tc>
        <w:tc>
          <w:tcPr>
            <w:tcW w:w="668" w:type="pct"/>
            <w:tcBorders>
              <w:top w:val="nil"/>
              <w:left w:val="nil"/>
              <w:bottom w:val="single" w:sz="4" w:space="0" w:color="auto"/>
              <w:right w:val="single" w:sz="4" w:space="0" w:color="auto"/>
            </w:tcBorders>
            <w:shd w:val="clear" w:color="auto" w:fill="auto"/>
            <w:vAlign w:val="center"/>
            <w:hideMark/>
          </w:tcPr>
          <w:p w14:paraId="1B9F6E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chrome-extension://efaidnbmnnnibpcajpcglclefindmkaj/https://eur-lex.europa.eu/legal-content/EN/TXT/PDF/?uri=CELEX:32020R2034#:~:text=COMMISSION%20DELEGATED%20REGULATION%20%28EU%29%202020%2F2034%20of%206%20October,European%20risk%20classification%20scheme%20%28Text%20with%20EEA%20relevance%29 </w:t>
            </w:r>
          </w:p>
        </w:tc>
        <w:tc>
          <w:tcPr>
            <w:tcW w:w="506" w:type="pct"/>
            <w:tcBorders>
              <w:top w:val="nil"/>
              <w:left w:val="nil"/>
              <w:bottom w:val="single" w:sz="4" w:space="0" w:color="auto"/>
              <w:right w:val="single" w:sz="4" w:space="0" w:color="auto"/>
            </w:tcBorders>
            <w:shd w:val="clear" w:color="FFFFFF" w:fill="FFFFFF"/>
            <w:vAlign w:val="center"/>
            <w:hideMark/>
          </w:tcPr>
          <w:p w14:paraId="4E63CD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5CC14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 urdhër i Ministrit të Infrastrukturës dhe Energjisë "Mbi disa shtesa në Urdhrin e Ministrit Nr. 89, datë 5.5.2022 Për miratimin e rregullores “Për raportimin dhe ndjekjen e ngjarjeve në aviacionin civil në Republikën e Shqipërisë” në lidhje me skemën e përbashkët europiane të klasifikimit të riskut" </w:t>
            </w:r>
          </w:p>
        </w:tc>
        <w:tc>
          <w:tcPr>
            <w:tcW w:w="330" w:type="pct"/>
            <w:tcBorders>
              <w:top w:val="nil"/>
              <w:left w:val="nil"/>
              <w:bottom w:val="single" w:sz="4" w:space="0" w:color="auto"/>
              <w:right w:val="single" w:sz="4" w:space="0" w:color="auto"/>
            </w:tcBorders>
            <w:shd w:val="clear" w:color="auto" w:fill="auto"/>
            <w:vAlign w:val="center"/>
            <w:hideMark/>
          </w:tcPr>
          <w:p w14:paraId="613981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Identifikimi dhe klasifikimi në mënyrë të harmonizuar i nivelit të rriskut që paraqet çdo ngjarje për sigurinë në operim në aviacion</w:t>
            </w:r>
          </w:p>
        </w:tc>
        <w:tc>
          <w:tcPr>
            <w:tcW w:w="126" w:type="pct"/>
            <w:tcBorders>
              <w:top w:val="nil"/>
              <w:left w:val="nil"/>
              <w:bottom w:val="single" w:sz="4" w:space="0" w:color="auto"/>
              <w:right w:val="single" w:sz="4" w:space="0" w:color="auto"/>
            </w:tcBorders>
            <w:shd w:val="clear" w:color="auto" w:fill="auto"/>
            <w:vAlign w:val="center"/>
            <w:hideMark/>
          </w:tcPr>
          <w:p w14:paraId="76348E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auto" w:fill="auto"/>
            <w:vAlign w:val="center"/>
            <w:hideMark/>
          </w:tcPr>
          <w:p w14:paraId="595545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75158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46BAD8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90A74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111CB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2BF2F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0B8ED7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1EAA5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1E278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83F19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B858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637A0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CAF10D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9C0C7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3BB06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8FE1D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67CA5A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90F0FEF" w14:textId="79E2F0C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Deleguar e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(BE) ) 2021/2082, e cila plotëson Regulloren (BE) Nr. 376/2014 të Parlamentit Europian dhe Këshillit në lidhje me skemën e përbashkët europiane të klasifikimit të riskut. </w:t>
            </w:r>
          </w:p>
        </w:tc>
        <w:tc>
          <w:tcPr>
            <w:tcW w:w="668" w:type="pct"/>
            <w:tcBorders>
              <w:top w:val="nil"/>
              <w:left w:val="nil"/>
              <w:bottom w:val="single" w:sz="4" w:space="0" w:color="auto"/>
              <w:right w:val="single" w:sz="4" w:space="0" w:color="auto"/>
            </w:tcBorders>
            <w:shd w:val="clear" w:color="auto" w:fill="auto"/>
            <w:vAlign w:val="center"/>
            <w:hideMark/>
          </w:tcPr>
          <w:p w14:paraId="31E33BDC" w14:textId="77777777" w:rsidR="00482167" w:rsidRPr="006D6BE5" w:rsidRDefault="00E63D69" w:rsidP="00A7241A">
            <w:pPr>
              <w:rPr>
                <w:rFonts w:ascii="Arial" w:hAnsi="Arial" w:cs="Arial"/>
                <w:color w:val="0563C1"/>
                <w:sz w:val="4"/>
                <w:szCs w:val="8"/>
                <w:u w:val="single"/>
                <w:lang w:val="sq-AL"/>
              </w:rPr>
            </w:pPr>
            <w:hyperlink r:id="rId199" w:history="1">
              <w:r w:rsidR="00482167" w:rsidRPr="006D6BE5">
                <w:rPr>
                  <w:rFonts w:ascii="Arial" w:hAnsi="Arial" w:cs="Arial"/>
                  <w:color w:val="0563C1"/>
                  <w:sz w:val="4"/>
                  <w:szCs w:val="8"/>
                  <w:u w:val="single"/>
                  <w:lang w:val="sq-AL"/>
                </w:rPr>
                <w:t xml:space="preserve">https://eur-lex.europa.eu/legal-content/EN/TXT/?uri=CELEX%3A02021R2082-20211129 </w:t>
              </w:r>
            </w:hyperlink>
          </w:p>
        </w:tc>
        <w:tc>
          <w:tcPr>
            <w:tcW w:w="506" w:type="pct"/>
            <w:tcBorders>
              <w:top w:val="nil"/>
              <w:left w:val="nil"/>
              <w:bottom w:val="single" w:sz="4" w:space="0" w:color="auto"/>
              <w:right w:val="single" w:sz="4" w:space="0" w:color="auto"/>
            </w:tcBorders>
            <w:shd w:val="clear" w:color="FFFFFF" w:fill="FFFFFF"/>
            <w:vAlign w:val="center"/>
            <w:hideMark/>
          </w:tcPr>
          <w:p w14:paraId="757C40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ABC0B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"Mbi përcaktimin e rregullave për zbatimin e Urdherit te Ministrit Nr. 89, datë 5.5.2022 Për miratimin e rregullores “Për raportimin dhe ndjekjen e ngjarjeve në aviacionin civil në Republikën e Shqipërisë” në lidhje me skemën e përbashkët europiane të klasifikimit të riskut.</w:t>
            </w:r>
          </w:p>
        </w:tc>
        <w:tc>
          <w:tcPr>
            <w:tcW w:w="330" w:type="pct"/>
            <w:tcBorders>
              <w:top w:val="nil"/>
              <w:left w:val="nil"/>
              <w:bottom w:val="single" w:sz="4" w:space="0" w:color="auto"/>
              <w:right w:val="single" w:sz="4" w:space="0" w:color="auto"/>
            </w:tcBorders>
            <w:shd w:val="clear" w:color="auto" w:fill="auto"/>
            <w:vAlign w:val="center"/>
            <w:hideMark/>
          </w:tcPr>
          <w:p w14:paraId="5B09E1A2" w14:textId="62653A4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Procedurat e konvertimit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RAT dhe ARMS ERC në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ERCS</w:t>
            </w:r>
          </w:p>
        </w:tc>
        <w:tc>
          <w:tcPr>
            <w:tcW w:w="126" w:type="pct"/>
            <w:tcBorders>
              <w:top w:val="nil"/>
              <w:left w:val="nil"/>
              <w:bottom w:val="single" w:sz="4" w:space="0" w:color="auto"/>
              <w:right w:val="single" w:sz="4" w:space="0" w:color="auto"/>
            </w:tcBorders>
            <w:shd w:val="clear" w:color="FFFFFF" w:fill="FFFFFF"/>
            <w:vAlign w:val="center"/>
            <w:hideMark/>
          </w:tcPr>
          <w:p w14:paraId="2521F6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2EE96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6178C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40664A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F3F9C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671A4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0B7F1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6BA6DD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9710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D65DB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AAAC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9F43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DE9C8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9D3E86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32628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79ED98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B0A42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43B4D4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B4580BC" w14:textId="63BBCF6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Zbatimit të Komisionit (BE) 2023/1770 e 12 Shtatorit 2023 përcaktimin e Dispozitave mbi pajisjet e avionëve të nevojshëm për pëdorimin e hapësirës ajrore të Qiellit të Vetëm Evropian dhe rregullave operative lidhur me përdorimin e hapësirës ajrore të Qiellit të vetëm Europian dhe shfuqëzimin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Rregullores(BE) Nr 29/2009 dhe Rregulloreve të Zbatueshme (BE) Nr. 1206/2011, (BE) Nr. 1207/2011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1079/2012.</w:t>
            </w:r>
          </w:p>
        </w:tc>
        <w:tc>
          <w:tcPr>
            <w:tcW w:w="668" w:type="pct"/>
            <w:tcBorders>
              <w:top w:val="nil"/>
              <w:left w:val="nil"/>
              <w:bottom w:val="single" w:sz="4" w:space="0" w:color="auto"/>
              <w:right w:val="single" w:sz="4" w:space="0" w:color="auto"/>
            </w:tcBorders>
            <w:shd w:val="clear" w:color="auto" w:fill="auto"/>
            <w:vAlign w:val="center"/>
            <w:hideMark/>
          </w:tcPr>
          <w:p w14:paraId="046875CE" w14:textId="77777777" w:rsidR="00482167" w:rsidRPr="006D6BE5" w:rsidRDefault="00E63D69" w:rsidP="00A7241A">
            <w:pPr>
              <w:rPr>
                <w:rFonts w:ascii="Arial" w:hAnsi="Arial" w:cs="Arial"/>
                <w:color w:val="0563C1"/>
                <w:sz w:val="4"/>
                <w:szCs w:val="8"/>
                <w:u w:val="single"/>
                <w:lang w:val="sq-AL"/>
              </w:rPr>
            </w:pPr>
            <w:hyperlink r:id="rId200" w:anchor=":~:text=Commission%20Implementing%20Regulation%20%28EU%29%202023%2F1770%20of%2012%20September,1206%2F2011%2C%20%28EU%29%20No%201207%2F2011%20and%20%28EU%29%20No%201079%2F2012 " w:history="1">
              <w:r w:rsidR="00482167" w:rsidRPr="006D6BE5">
                <w:rPr>
                  <w:rFonts w:ascii="Arial" w:hAnsi="Arial" w:cs="Arial"/>
                  <w:color w:val="0563C1"/>
                  <w:sz w:val="4"/>
                  <w:szCs w:val="8"/>
                  <w:u w:val="single"/>
                  <w:lang w:val="sq-AL"/>
                </w:rPr>
                <w:t xml:space="preserve">https://eur-lex.europa.eu/legal-content/EN/TXT/?uri=CELEX%3A32023R1770#:~:text=Commission%20Implementing%20Regulation%20%28EU%29%202023%2F1770%20of%2012%20September,1206%2F2011%2C%20%28EU%29%20No%201207%2F2011%20and%20%28EU%29%20No%201079%2F2012 </w:t>
              </w:r>
            </w:hyperlink>
          </w:p>
        </w:tc>
        <w:tc>
          <w:tcPr>
            <w:tcW w:w="506" w:type="pct"/>
            <w:tcBorders>
              <w:top w:val="nil"/>
              <w:left w:val="nil"/>
              <w:bottom w:val="single" w:sz="4" w:space="0" w:color="auto"/>
              <w:right w:val="single" w:sz="4" w:space="0" w:color="auto"/>
            </w:tcBorders>
            <w:shd w:val="clear" w:color="FFFFFF" w:fill="FFFFFF"/>
            <w:vAlign w:val="center"/>
            <w:hideMark/>
          </w:tcPr>
          <w:p w14:paraId="367C1A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21489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përcaktimin e dispozitave mbi pajisjet e avionëve të nevojshme për përdorimin e hapësirës ajrore të Qiellit të Vetëm Evropian dhe rregullave të funksionimit lidhur me Qiellin e Vetëm Evropian"</w:t>
            </w:r>
          </w:p>
        </w:tc>
        <w:tc>
          <w:tcPr>
            <w:tcW w:w="330" w:type="pct"/>
            <w:tcBorders>
              <w:top w:val="nil"/>
              <w:left w:val="nil"/>
              <w:bottom w:val="single" w:sz="4" w:space="0" w:color="auto"/>
              <w:right w:val="single" w:sz="4" w:space="0" w:color="auto"/>
            </w:tcBorders>
            <w:shd w:val="clear" w:color="auto" w:fill="auto"/>
            <w:vAlign w:val="center"/>
            <w:hideMark/>
          </w:tcPr>
          <w:p w14:paraId="78DFE6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Procedurat Operative për përdorimin e hapësirës ajrore dhe pajisjeve të kërkuara të avionëve duhet të zbatohen në mënyrë uniforme brenda hapësirës ajrore "Qiellit të Vetëm Europian" në përputhje me kërkesat thelbësore të përcaktuara në pikën 1 të Aneksit VIII të VKM Nr. 1095, datë 24.12.2020, për arritjen e ndëroperabilitetit dhe operimeve të sigurta</w:t>
            </w:r>
          </w:p>
        </w:tc>
        <w:tc>
          <w:tcPr>
            <w:tcW w:w="126" w:type="pct"/>
            <w:tcBorders>
              <w:top w:val="nil"/>
              <w:left w:val="nil"/>
              <w:bottom w:val="single" w:sz="4" w:space="0" w:color="auto"/>
              <w:right w:val="single" w:sz="4" w:space="0" w:color="auto"/>
            </w:tcBorders>
            <w:shd w:val="clear" w:color="FFFFFF" w:fill="FFFFFF"/>
            <w:vAlign w:val="center"/>
            <w:hideMark/>
          </w:tcPr>
          <w:p w14:paraId="408A7F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1C56DD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B8ACF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275523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85048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B0253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349FF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78E5A0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C474A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6090F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4A408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DA71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E359C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50EEFA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18893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FA204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5839C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750A6E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C2C68B9" w14:textId="7FA68C7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 598/2014 e Parlamentit Europian dhe Këshillit e datës 16 Prill 2014 për vendosjen e rregulave dhe procedurave ne lidhje me perfshirjen e kufizimeve te operimit klidhur me zhurmën në Aeroportet e Bashkimit në kuadër të një qasje të balancuar dhe direktivës 2002/30/KE.</w:t>
            </w:r>
          </w:p>
        </w:tc>
        <w:tc>
          <w:tcPr>
            <w:tcW w:w="668" w:type="pct"/>
            <w:tcBorders>
              <w:top w:val="nil"/>
              <w:left w:val="nil"/>
              <w:bottom w:val="single" w:sz="4" w:space="0" w:color="auto"/>
              <w:right w:val="single" w:sz="4" w:space="0" w:color="auto"/>
            </w:tcBorders>
            <w:shd w:val="clear" w:color="auto" w:fill="auto"/>
            <w:vAlign w:val="center"/>
            <w:hideMark/>
          </w:tcPr>
          <w:p w14:paraId="3EBA5B0C" w14:textId="482F5D0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https://eur-lex.europa.eu/legal-content/EN/TXT/?uri=CELEX%3A32014R0598#:~:text=Regulation%20%28EU%29%20No%20598%2F2014%20of%20the%20European%20Parliament,within%20a%20Balanced%20Approach%20and%20repealing%20Directive%202002%2F30%2FEC</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p>
        </w:tc>
        <w:tc>
          <w:tcPr>
            <w:tcW w:w="506" w:type="pct"/>
            <w:tcBorders>
              <w:top w:val="nil"/>
              <w:left w:val="nil"/>
              <w:bottom w:val="single" w:sz="4" w:space="0" w:color="auto"/>
              <w:right w:val="single" w:sz="4" w:space="0" w:color="auto"/>
            </w:tcBorders>
            <w:shd w:val="clear" w:color="FFFFFF" w:fill="FFFFFF"/>
            <w:vAlign w:val="center"/>
            <w:hideMark/>
          </w:tcPr>
          <w:p w14:paraId="0E43AD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551E54B" w14:textId="120C36B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vendosjen e rregullave dhe procedurave në lidhje me perfshirjen e kufizimeve te operimit llidhur me zhurmën në Aeroportet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Shqiptare "</w:t>
            </w:r>
          </w:p>
        </w:tc>
        <w:tc>
          <w:tcPr>
            <w:tcW w:w="330" w:type="pct"/>
            <w:tcBorders>
              <w:top w:val="nil"/>
              <w:left w:val="nil"/>
              <w:bottom w:val="single" w:sz="4" w:space="0" w:color="auto"/>
              <w:right w:val="single" w:sz="4" w:space="0" w:color="auto"/>
            </w:tcBorders>
            <w:shd w:val="clear" w:color="auto" w:fill="auto"/>
            <w:vAlign w:val="center"/>
            <w:hideMark/>
          </w:tcPr>
          <w:p w14:paraId="41D662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Reduktimin e ndikimit të zhurmës nga avionët në aeroporte</w:t>
            </w:r>
          </w:p>
        </w:tc>
        <w:tc>
          <w:tcPr>
            <w:tcW w:w="126" w:type="pct"/>
            <w:tcBorders>
              <w:top w:val="nil"/>
              <w:left w:val="nil"/>
              <w:bottom w:val="single" w:sz="4" w:space="0" w:color="auto"/>
              <w:right w:val="single" w:sz="4" w:space="0" w:color="auto"/>
            </w:tcBorders>
            <w:shd w:val="clear" w:color="FFFFFF" w:fill="FFFFFF"/>
            <w:vAlign w:val="center"/>
            <w:hideMark/>
          </w:tcPr>
          <w:p w14:paraId="589A77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8E70F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33BAC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 / MTM / AAC</w:t>
            </w:r>
          </w:p>
        </w:tc>
        <w:tc>
          <w:tcPr>
            <w:tcW w:w="113" w:type="pct"/>
            <w:tcBorders>
              <w:top w:val="nil"/>
              <w:left w:val="nil"/>
              <w:bottom w:val="single" w:sz="4" w:space="0" w:color="auto"/>
              <w:right w:val="single" w:sz="4" w:space="0" w:color="auto"/>
            </w:tcBorders>
            <w:shd w:val="clear" w:color="FFFFFF" w:fill="FFFFFF"/>
            <w:vAlign w:val="center"/>
            <w:hideMark/>
          </w:tcPr>
          <w:p w14:paraId="735259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93C26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3AFE9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A1E6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441989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2CF0D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C3FB4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F96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58E9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F045A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E6FBA5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0BC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391CF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BD3DD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59F717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7565A50" w14:textId="53BF6D6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Komisionit (BE) 2018/395 e 13 Marsit 2018 percaktimi i rregullave të detajuara për funksionimin e balonave si dhe për licensimin e ekupazhit të fluturimit të tyre sipas Rregullores (BE) 2018/1139</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parlamentit Europian dhe këshillit.</w:t>
            </w:r>
          </w:p>
        </w:tc>
        <w:tc>
          <w:tcPr>
            <w:tcW w:w="668" w:type="pct"/>
            <w:tcBorders>
              <w:top w:val="nil"/>
              <w:left w:val="nil"/>
              <w:bottom w:val="single" w:sz="4" w:space="0" w:color="auto"/>
              <w:right w:val="single" w:sz="4" w:space="0" w:color="auto"/>
            </w:tcBorders>
            <w:shd w:val="clear" w:color="auto" w:fill="auto"/>
            <w:vAlign w:val="center"/>
            <w:hideMark/>
          </w:tcPr>
          <w:p w14:paraId="46D3B928" w14:textId="77777777" w:rsidR="00482167" w:rsidRPr="006D6BE5" w:rsidRDefault="00E63D69" w:rsidP="00A7241A">
            <w:pPr>
              <w:rPr>
                <w:rFonts w:ascii="Arial" w:hAnsi="Arial" w:cs="Arial"/>
                <w:color w:val="0563C1"/>
                <w:sz w:val="4"/>
                <w:szCs w:val="8"/>
                <w:u w:val="single"/>
                <w:lang w:val="sq-AL"/>
              </w:rPr>
            </w:pPr>
            <w:hyperlink r:id="rId201" w:history="1">
              <w:r w:rsidR="00482167" w:rsidRPr="006D6BE5">
                <w:rPr>
                  <w:rFonts w:ascii="Arial" w:hAnsi="Arial" w:cs="Arial"/>
                  <w:color w:val="0563C1"/>
                  <w:sz w:val="4"/>
                  <w:szCs w:val="8"/>
                  <w:u w:val="single"/>
                  <w:lang w:val="sq-AL"/>
                </w:rPr>
                <w:t xml:space="preserve">https://eur-lex.europa.eu/legal-content/EN/TXT/?uri=CELEX%3A02018R0395-20211115 </w:t>
              </w:r>
            </w:hyperlink>
          </w:p>
        </w:tc>
        <w:tc>
          <w:tcPr>
            <w:tcW w:w="506" w:type="pct"/>
            <w:tcBorders>
              <w:top w:val="nil"/>
              <w:left w:val="nil"/>
              <w:bottom w:val="single" w:sz="4" w:space="0" w:color="auto"/>
              <w:right w:val="single" w:sz="4" w:space="0" w:color="auto"/>
            </w:tcBorders>
            <w:shd w:val="clear" w:color="FFFFFF" w:fill="FFFFFF"/>
            <w:vAlign w:val="center"/>
            <w:hideMark/>
          </w:tcPr>
          <w:p w14:paraId="437304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E7BD6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vendosjen e rregullave të detajuara për funksionimin e balonave si dhe për licensimin e ekupazhit të fluturimit të tyre"</w:t>
            </w:r>
          </w:p>
        </w:tc>
        <w:tc>
          <w:tcPr>
            <w:tcW w:w="330" w:type="pct"/>
            <w:tcBorders>
              <w:top w:val="nil"/>
              <w:left w:val="nil"/>
              <w:bottom w:val="single" w:sz="4" w:space="0" w:color="auto"/>
              <w:right w:val="single" w:sz="4" w:space="0" w:color="auto"/>
            </w:tcBorders>
            <w:shd w:val="clear" w:color="auto" w:fill="auto"/>
            <w:vAlign w:val="center"/>
            <w:hideMark/>
          </w:tcPr>
          <w:p w14:paraId="5FE88C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Operatorët e balonave dhe ekupazhi përkatës i fluturimit duhet të respektojnë standartet përkatëse. Standarded ndaj operatorëve të balonave dhe ekuipazhit përkatës të fluturimit </w:t>
            </w:r>
          </w:p>
        </w:tc>
        <w:tc>
          <w:tcPr>
            <w:tcW w:w="126" w:type="pct"/>
            <w:tcBorders>
              <w:top w:val="nil"/>
              <w:left w:val="nil"/>
              <w:bottom w:val="single" w:sz="4" w:space="0" w:color="auto"/>
              <w:right w:val="single" w:sz="4" w:space="0" w:color="auto"/>
            </w:tcBorders>
            <w:shd w:val="clear" w:color="FFFFFF" w:fill="FFFFFF"/>
            <w:vAlign w:val="center"/>
            <w:hideMark/>
          </w:tcPr>
          <w:p w14:paraId="77661E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39E7D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253BD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319053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8EDF2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B75ED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62A42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7E417D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18A81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989FB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D8815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BC14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27ADC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6A6BC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F4DC8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605FF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F23F9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1216FB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6BC8200" w14:textId="0010DF0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deleguar e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2022/1645 e 14 Korrikut 2022 percaktimin e rregullave per zbatimin e Rregullores (BE) 2018/1139 të Parlamentit Europian dhe Këshillit, në lidhje me menaxhimin e risqeve tësigurise 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informacionit të n me një ndikim potencial në sigurinë në aviacion për organizatat sipas rregulloreve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748/2012 dhe (BE) Nr. 139/2014 dhe ndryshimin e 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748/2012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139/2014.</w:t>
            </w:r>
          </w:p>
        </w:tc>
        <w:tc>
          <w:tcPr>
            <w:tcW w:w="668" w:type="pct"/>
            <w:tcBorders>
              <w:top w:val="nil"/>
              <w:left w:val="nil"/>
              <w:bottom w:val="single" w:sz="4" w:space="0" w:color="auto"/>
              <w:right w:val="single" w:sz="4" w:space="0" w:color="auto"/>
            </w:tcBorders>
            <w:shd w:val="clear" w:color="auto" w:fill="auto"/>
            <w:vAlign w:val="center"/>
            <w:hideMark/>
          </w:tcPr>
          <w:p w14:paraId="58D3FB90" w14:textId="77777777" w:rsidR="00482167" w:rsidRPr="006D6BE5" w:rsidRDefault="00E63D69" w:rsidP="00A7241A">
            <w:pPr>
              <w:rPr>
                <w:rFonts w:ascii="Arial" w:hAnsi="Arial" w:cs="Arial"/>
                <w:color w:val="0563C1"/>
                <w:sz w:val="4"/>
                <w:szCs w:val="8"/>
                <w:u w:val="single"/>
                <w:lang w:val="sq-AL"/>
              </w:rPr>
            </w:pPr>
            <w:hyperlink r:id="rId202" w:history="1">
              <w:r w:rsidR="00482167" w:rsidRPr="006D6BE5">
                <w:rPr>
                  <w:rFonts w:ascii="Arial" w:hAnsi="Arial" w:cs="Arial"/>
                  <w:color w:val="0563C1"/>
                  <w:sz w:val="4"/>
                  <w:szCs w:val="8"/>
                  <w:u w:val="single"/>
                  <w:lang w:val="sq-AL"/>
                </w:rPr>
                <w:t xml:space="preserve">https://eur-lex.europa.eu/legal-content/EN/TXT/?uri=CELEX%3A32022R1645 </w:t>
              </w:r>
            </w:hyperlink>
          </w:p>
        </w:tc>
        <w:tc>
          <w:tcPr>
            <w:tcW w:w="506" w:type="pct"/>
            <w:tcBorders>
              <w:top w:val="nil"/>
              <w:left w:val="nil"/>
              <w:bottom w:val="single" w:sz="4" w:space="0" w:color="auto"/>
              <w:right w:val="single" w:sz="4" w:space="0" w:color="auto"/>
            </w:tcBorders>
            <w:shd w:val="clear" w:color="FFFFFF" w:fill="FFFFFF"/>
            <w:vAlign w:val="center"/>
            <w:hideMark/>
          </w:tcPr>
          <w:p w14:paraId="57669A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648D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 urdhër i Ministrit të Infrastrukturës dhe Energjisë "Për përcaktimin e rregullave për zbatimin e VKM-së nr.1095, datë 24.12.2020 , lidhur me kërkesat për menaxhimin e rreziqeve të sigurisë së informacionit me ndikim potencial në sigurinë e aviacionit për organizatat e mbuluara nga Urdhri i Ministrit Nr.326/2019 “Për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 dhe Urdhri i Ministrit nr 122, datë 12.03.2019 “Për miratimin e rregullores për përcaktimin e kërkesave dhe procedurave administrative që lidhen me aerodromet në Republikën e Shqipërisë" dhe ndryshimin e Urdhrit te Ministrit Nr.326/2019 “Për miratimin e rregullores për përcaktimin e rregullave zbatuese të vlefshmërisë ajrore dhe të certifikimit mjedisor të mjeteve fluturuese dhe të produkteve që kanë lidhje me to, pjesëve dhe pajisjeve, si dhe për certifikimin e organizatave të projektimit dhe prodhimit” dhe Urdhrit te Ministrit nr 122, datë 12.03.2019 “Për miratimin e rregullores për përcaktimin e kërkesave dhe procedurave administrative që lidhen me aerodromet në Republikën e Shqipërisë" </w:t>
            </w:r>
          </w:p>
        </w:tc>
        <w:tc>
          <w:tcPr>
            <w:tcW w:w="330" w:type="pct"/>
            <w:tcBorders>
              <w:top w:val="nil"/>
              <w:left w:val="nil"/>
              <w:bottom w:val="single" w:sz="4" w:space="0" w:color="auto"/>
              <w:right w:val="single" w:sz="4" w:space="0" w:color="auto"/>
            </w:tcBorders>
            <w:shd w:val="clear" w:color="auto" w:fill="auto"/>
            <w:vAlign w:val="center"/>
            <w:hideMark/>
          </w:tcPr>
          <w:p w14:paraId="037115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Përcaktohen kërkesat për menaxhimin e rrisqeve të sigurisë së informacionit me një ndikim të mundshëm në sigurinë e aviacionit</w:t>
            </w:r>
          </w:p>
        </w:tc>
        <w:tc>
          <w:tcPr>
            <w:tcW w:w="126" w:type="pct"/>
            <w:tcBorders>
              <w:top w:val="nil"/>
              <w:left w:val="nil"/>
              <w:bottom w:val="single" w:sz="4" w:space="0" w:color="auto"/>
              <w:right w:val="single" w:sz="4" w:space="0" w:color="auto"/>
            </w:tcBorders>
            <w:shd w:val="clear" w:color="FFFFFF" w:fill="FFFFFF"/>
            <w:vAlign w:val="center"/>
            <w:hideMark/>
          </w:tcPr>
          <w:p w14:paraId="24436E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9F989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51776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701E4B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554D0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31C1E2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622BC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2DB5B5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2F0193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A8FC2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3281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A8A6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4FBD6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162F6C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B483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D15B0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42B3D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19F178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FB0E31D" w14:textId="79F0949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Rregulloria Zbatuese e Komisionit (BE) 2023/203 e 27 tetorit 2022 që përcakton rregullat për zbatimin e Rregullores (BE) 2018/1139 të Parlamentit Evropian dhe të Këshillit, në lidhje me kërkesat për menaxhimin e rreziqeve të sigurisë së informacionit me një ndikim potencial në sigurinë e aviacionit për organizatat e mbuluara nga Rregulloret e Komisionit (BE) nr 1321/2014, (BE) nr. 965/2012, (BE) Nr 1178/2011, (BR) 2015/340 dhe (BE) Nr 139/2014, Rregullore e Zbatuese e Komisionit (BE) 2017/373 dhe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2021/664, (BE) Nr 1178/2011, (EU) Nr 748/2012, (BE) Nr 965/2012, (EU) Nr 139/2014, (BE) 1321/2014, (BE) 2015/340, Rregullores (BE)2017/373 dhe (BE) 2021/664.</w:t>
            </w:r>
          </w:p>
        </w:tc>
        <w:tc>
          <w:tcPr>
            <w:tcW w:w="668" w:type="pct"/>
            <w:tcBorders>
              <w:top w:val="nil"/>
              <w:left w:val="nil"/>
              <w:bottom w:val="single" w:sz="4" w:space="0" w:color="auto"/>
              <w:right w:val="single" w:sz="4" w:space="0" w:color="auto"/>
            </w:tcBorders>
            <w:shd w:val="clear" w:color="auto" w:fill="auto"/>
            <w:vAlign w:val="center"/>
            <w:hideMark/>
          </w:tcPr>
          <w:p w14:paraId="2005B930" w14:textId="77777777" w:rsidR="00482167" w:rsidRPr="006D6BE5" w:rsidRDefault="00E63D69" w:rsidP="00A7241A">
            <w:pPr>
              <w:rPr>
                <w:rFonts w:ascii="Arial" w:hAnsi="Arial" w:cs="Arial"/>
                <w:color w:val="0563C1"/>
                <w:sz w:val="4"/>
                <w:szCs w:val="8"/>
                <w:u w:val="single"/>
                <w:lang w:val="sq-AL"/>
              </w:rPr>
            </w:pPr>
            <w:hyperlink r:id="rId203" w:history="1">
              <w:r w:rsidR="00482167" w:rsidRPr="006D6BE5">
                <w:rPr>
                  <w:rFonts w:ascii="Arial" w:hAnsi="Arial" w:cs="Arial"/>
                  <w:color w:val="0563C1"/>
                  <w:sz w:val="4"/>
                  <w:szCs w:val="8"/>
                  <w:u w:val="single"/>
                  <w:lang w:val="sq-AL"/>
                </w:rPr>
                <w:t xml:space="preserve">https://eur-lex.europa.eu/eli/reg_impl/2023/203 </w:t>
              </w:r>
            </w:hyperlink>
          </w:p>
        </w:tc>
        <w:tc>
          <w:tcPr>
            <w:tcW w:w="506" w:type="pct"/>
            <w:tcBorders>
              <w:top w:val="nil"/>
              <w:left w:val="nil"/>
              <w:bottom w:val="single" w:sz="4" w:space="0" w:color="auto"/>
              <w:right w:val="single" w:sz="4" w:space="0" w:color="auto"/>
            </w:tcBorders>
            <w:shd w:val="clear" w:color="FFFFFF" w:fill="FFFFFF"/>
            <w:vAlign w:val="center"/>
            <w:hideMark/>
          </w:tcPr>
          <w:p w14:paraId="169E1E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AFBB02E" w14:textId="560047C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përcaktimin e rregullave për zbatimin e VKM-së nr.1095, datë 24.12.2020, "Për miratimin e kërkesave thelbësore në fushën e aviacionit civil” lidhur me kërkesat për menaxhimin e rreziqeve të sigurisë së informacionit me ndikim potencial në sigurinë në operim për organizatat dhe për autoritetet kompetente të mbuluara nga Urdhri i Ministrit Nr. 167, datë 04.06.2020,“Për miratimin e rregullores mbi vazhdueshmërinë e vlefshmërisë ajrore të avionit dhe produkteve, pjesëve dhe pajisjeve aeronautike dhe mbi miratimin e organizatave dhe personelit të përfshirë në këto detyra”,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Urdhri i Ministrit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 80, datë 30.06.2023,“Për miratimin e rregullores për kërkesat teknike dhe procedurat administrative për operimet ajrore”,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Urdhri i ministri nr.262/2019, “Për Miratimin e rregullores për kërkesat teknike dhe procedurat administrative në lidhje me ekuipazhin ajror të aviacionit civil”, Urdhri i ministri nr.91/2019 “Për miratimin e rregullores mbi përcaktimin e kërkesave teknike edhe procedurave administrative në lidhje me liçencat dhe çertifikatat e kontrollorëve të trafikut ajror”, Urdhri i Ministrit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 193, datë 06.10.2022,"Për miratimin e rregullores “Për përcaktimin e kërkesave të përbashkëta për ofruesit e shërbimeve të menaxhimit të trafikut ajror dhe të lundrimit ajror, si dhe funksionet e tjera të rrjetit të menaxhimit të trafikut ajror dhe mbikqyrjen e tyre”, Urdher i Ministrit Nr.119, datë 29.09.2023 “Për miratimin e rregullores mbi kuadrin rregullator për hapësirën – u të hapësirës ajrore”</w:t>
            </w:r>
          </w:p>
        </w:tc>
        <w:tc>
          <w:tcPr>
            <w:tcW w:w="330" w:type="pct"/>
            <w:tcBorders>
              <w:top w:val="nil"/>
              <w:left w:val="nil"/>
              <w:bottom w:val="single" w:sz="4" w:space="0" w:color="auto"/>
              <w:right w:val="single" w:sz="4" w:space="0" w:color="auto"/>
            </w:tcBorders>
            <w:shd w:val="clear" w:color="auto" w:fill="auto"/>
            <w:vAlign w:val="center"/>
            <w:hideMark/>
          </w:tcPr>
          <w:p w14:paraId="34A2A5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Kërkesat për menaxhimin e rreziqeve të sigurisë së informacionit me një ndikim potencial në sigurinë e aviacionit që mbulojnë të gjitha fushat e aviacionit dhe ndërfaqet e tyre</w:t>
            </w:r>
          </w:p>
        </w:tc>
        <w:tc>
          <w:tcPr>
            <w:tcW w:w="126" w:type="pct"/>
            <w:tcBorders>
              <w:top w:val="nil"/>
              <w:left w:val="nil"/>
              <w:bottom w:val="single" w:sz="4" w:space="0" w:color="auto"/>
              <w:right w:val="single" w:sz="4" w:space="0" w:color="auto"/>
            </w:tcBorders>
            <w:shd w:val="clear" w:color="FFFFFF" w:fill="FFFFFF"/>
            <w:vAlign w:val="center"/>
            <w:hideMark/>
          </w:tcPr>
          <w:p w14:paraId="5EAAB8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68568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6F8F3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279739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F74B1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6ABC90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F0E3F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40AA14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57CFA6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431ED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6228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C26F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83481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A7C392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CA2CB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C697E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6179D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72F8E9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23155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Rregullore e Komisionit (BE) 1254/2009, datë 18 dhjetor 2009, "Për përcaktimin e kritereve për t'i lejuar Shtetet Anëtare të derogojnë nga standardet bazë të përbashkëta mbi sigurinë e aviacionit civil dhe të miratojnë masa alternative të sigurisë" </w:t>
            </w:r>
          </w:p>
        </w:tc>
        <w:tc>
          <w:tcPr>
            <w:tcW w:w="668" w:type="pct"/>
            <w:tcBorders>
              <w:top w:val="nil"/>
              <w:left w:val="nil"/>
              <w:bottom w:val="single" w:sz="4" w:space="0" w:color="auto"/>
              <w:right w:val="single" w:sz="4" w:space="0" w:color="auto"/>
            </w:tcBorders>
            <w:shd w:val="clear" w:color="auto" w:fill="auto"/>
            <w:vAlign w:val="center"/>
            <w:hideMark/>
          </w:tcPr>
          <w:p w14:paraId="499988F4" w14:textId="77777777" w:rsidR="00482167" w:rsidRPr="006D6BE5" w:rsidRDefault="00E63D69" w:rsidP="00A7241A">
            <w:pPr>
              <w:rPr>
                <w:rFonts w:ascii="Arial" w:hAnsi="Arial" w:cs="Arial"/>
                <w:color w:val="0563C1"/>
                <w:sz w:val="4"/>
                <w:szCs w:val="8"/>
                <w:u w:val="single"/>
                <w:lang w:val="sq-AL"/>
              </w:rPr>
            </w:pPr>
            <w:hyperlink r:id="rId204" w:history="1">
              <w:r w:rsidR="00482167" w:rsidRPr="006D6BE5">
                <w:rPr>
                  <w:rFonts w:ascii="Arial" w:hAnsi="Arial" w:cs="Arial"/>
                  <w:color w:val="0563C1"/>
                  <w:sz w:val="4"/>
                  <w:szCs w:val="8"/>
                  <w:u w:val="single"/>
                  <w:lang w:val="sq-AL"/>
                </w:rPr>
                <w:t xml:space="preserve">https://eur-lex.europa.eu/legal-content/EN/TXT/?uri=CELEX%3A02009R1254-20161221 </w:t>
              </w:r>
            </w:hyperlink>
          </w:p>
        </w:tc>
        <w:tc>
          <w:tcPr>
            <w:tcW w:w="506" w:type="pct"/>
            <w:tcBorders>
              <w:top w:val="nil"/>
              <w:left w:val="nil"/>
              <w:bottom w:val="single" w:sz="4" w:space="0" w:color="auto"/>
              <w:right w:val="single" w:sz="4" w:space="0" w:color="auto"/>
            </w:tcBorders>
            <w:shd w:val="clear" w:color="FFFFFF" w:fill="FFFFFF"/>
            <w:vAlign w:val="center"/>
            <w:hideMark/>
          </w:tcPr>
          <w:p w14:paraId="2227C4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AA342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vendosjen e kritereve për të lejuar derogimin nga standardet bazë të përbashkëta mbi sigurinë e aviacionit civil dhe të miratimin e masave alternative te sigurise"</w:t>
            </w:r>
          </w:p>
        </w:tc>
        <w:tc>
          <w:tcPr>
            <w:tcW w:w="330" w:type="pct"/>
            <w:tcBorders>
              <w:top w:val="nil"/>
              <w:left w:val="nil"/>
              <w:bottom w:val="single" w:sz="4" w:space="0" w:color="auto"/>
              <w:right w:val="single" w:sz="4" w:space="0" w:color="auto"/>
            </w:tcBorders>
            <w:shd w:val="clear" w:color="auto" w:fill="auto"/>
            <w:vAlign w:val="center"/>
            <w:hideMark/>
          </w:tcPr>
          <w:p w14:paraId="1446711E" w14:textId="3EEF252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Synohen të përafrohen kriteret e derogimit të përcaktuara në rregullore. Sipas specifikimeve të kësaj rregullorehe Autoriteti i Aviacionit Civil</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mund të derogojë nga standardet bazë të përbashkëta të përmendura në nenin 4 (1),</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të Rregullores (KE) nr. 300/2008 dhe të miratojë masa alternative sigurie që sigurojnë një nivel të përshtatshëm mbrojtjeje në bazë të një vlerësimi të rrezikut të miratuar nga autoriteti i duhur në aeroporte ose zona të përcaktuara të aeroporteve ku trafiku kufizohet në një ose më shumë nga kategoritë e mëposhtme: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1. avionët me peshë maksimale të ngritjes prej më pak se 15 000 kilogramë; 2. helikopterë; 3. fluturimet shtetërore, ushtarake dhe të enforcement flight; Fluturimet për shuarjen e zjarrit;5. fluturime për shërbime mjekësore, shërbime emergjente ose shpëtuese; 6. fluturimet e kërkimit dhe zhvillimit; fluturime për punë ajrore;8. Fluturimet e ndihmave humanitare;9. fluturimet e operuara nga transportuesit ajrorë, prodhuesit e avionëve apo kompanitë e mirëmbajtjes, duke mos transportuar as pasagjerë dhe bagazhe, as mallra e postë; fluturimet me avionë me peshë maksimale të nisjes prej më pak se 45 500 kilogram, në pronësi të një kompanie për transportin e vetë stafit dhe pasagjerëve dhe mallrave që nuk paguajnë tarifa si ndihmë për kryerjen e biznesit të kompanisë; 11. fluturime me avionë me një peshë maksimale të ngritjes prej më pak se 45 500 kilogram; 12. Fluturimet me avionë me peshë maksimale të ngritjes prej më pak se 45 500 kilogramësh, për transportimin e pronarit të avionit dhe të pasagjerëve dhe mallrave që nuk paguajnë tarifa.</w:t>
            </w:r>
          </w:p>
        </w:tc>
        <w:tc>
          <w:tcPr>
            <w:tcW w:w="126" w:type="pct"/>
            <w:tcBorders>
              <w:top w:val="nil"/>
              <w:left w:val="nil"/>
              <w:bottom w:val="single" w:sz="4" w:space="0" w:color="auto"/>
              <w:right w:val="single" w:sz="4" w:space="0" w:color="auto"/>
            </w:tcBorders>
            <w:shd w:val="clear" w:color="FFFFFF" w:fill="FFFFFF"/>
            <w:vAlign w:val="center"/>
            <w:hideMark/>
          </w:tcPr>
          <w:p w14:paraId="6D6E39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8A7A1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1E6BF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5C5568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3A28F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1E73E4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F0DDB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31AF2F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28CEE7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492EC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7EC8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D891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C41FC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23E61D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AAA84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A981D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8AE5F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449391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C5374FD" w14:textId="15BD90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2018/1976 e 14 Dhjetorit 2018 Përcaktimi i rregullave të detajuara për funksionimin e avioneve pa motorre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si dhe për licencimin e ekuipazhit të fluturimit për aeroplanët pa motorre sipas Rregullores (BE) 2018/1139 të Parlamentit Evropian dhe të Këshillit.</w:t>
            </w:r>
          </w:p>
        </w:tc>
        <w:tc>
          <w:tcPr>
            <w:tcW w:w="668" w:type="pct"/>
            <w:tcBorders>
              <w:top w:val="nil"/>
              <w:left w:val="nil"/>
              <w:bottom w:val="single" w:sz="4" w:space="0" w:color="auto"/>
              <w:right w:val="single" w:sz="4" w:space="0" w:color="auto"/>
            </w:tcBorders>
            <w:shd w:val="clear" w:color="auto" w:fill="auto"/>
            <w:vAlign w:val="center"/>
            <w:hideMark/>
          </w:tcPr>
          <w:p w14:paraId="58BBF9F5" w14:textId="77777777" w:rsidR="00482167" w:rsidRPr="006D6BE5" w:rsidRDefault="00E63D69" w:rsidP="00A7241A">
            <w:pPr>
              <w:rPr>
                <w:rFonts w:ascii="Arial" w:hAnsi="Arial" w:cs="Arial"/>
                <w:color w:val="0563C1"/>
                <w:sz w:val="4"/>
                <w:szCs w:val="8"/>
                <w:u w:val="single"/>
                <w:lang w:val="sq-AL"/>
              </w:rPr>
            </w:pPr>
            <w:hyperlink r:id="rId205" w:history="1">
              <w:r w:rsidR="00482167" w:rsidRPr="006D6BE5">
                <w:rPr>
                  <w:rFonts w:ascii="Arial" w:hAnsi="Arial" w:cs="Arial"/>
                  <w:color w:val="0563C1"/>
                  <w:sz w:val="4"/>
                  <w:szCs w:val="8"/>
                  <w:u w:val="single"/>
                  <w:lang w:val="sq-AL"/>
                </w:rPr>
                <w:t xml:space="preserve">https://eur-lex.europa.eu/legal-content/EN/TXT/?uri=CELEX%3A02018R1976-20211115 </w:t>
              </w:r>
            </w:hyperlink>
          </w:p>
        </w:tc>
        <w:tc>
          <w:tcPr>
            <w:tcW w:w="506" w:type="pct"/>
            <w:tcBorders>
              <w:top w:val="nil"/>
              <w:left w:val="nil"/>
              <w:bottom w:val="single" w:sz="4" w:space="0" w:color="auto"/>
              <w:right w:val="single" w:sz="4" w:space="0" w:color="auto"/>
            </w:tcBorders>
            <w:shd w:val="clear" w:color="FFFFFF" w:fill="FFFFFF"/>
            <w:vAlign w:val="center"/>
            <w:hideMark/>
          </w:tcPr>
          <w:p w14:paraId="3E7103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09285CD" w14:textId="73D19B3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përcaktimin e rregullave të detajuara për funksionimin e avioneve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pa motorre dhe për licencimin e ekuipazhit të fluturimit të tyre</w:t>
            </w:r>
          </w:p>
        </w:tc>
        <w:tc>
          <w:tcPr>
            <w:tcW w:w="330" w:type="pct"/>
            <w:tcBorders>
              <w:top w:val="nil"/>
              <w:left w:val="nil"/>
              <w:bottom w:val="single" w:sz="4" w:space="0" w:color="auto"/>
              <w:right w:val="single" w:sz="4" w:space="0" w:color="auto"/>
            </w:tcBorders>
            <w:shd w:val="clear" w:color="auto" w:fill="auto"/>
            <w:vAlign w:val="center"/>
            <w:hideMark/>
          </w:tcPr>
          <w:p w14:paraId="6023B7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Avionet pa motorre dhe ekuipazhi përkatës i fluturimit duhet të respektojnë standardet përkatëse. Standarded për avionët pa motorr dhe ekuipazhin e fluturimit</w:t>
            </w:r>
          </w:p>
        </w:tc>
        <w:tc>
          <w:tcPr>
            <w:tcW w:w="126" w:type="pct"/>
            <w:tcBorders>
              <w:top w:val="nil"/>
              <w:left w:val="nil"/>
              <w:bottom w:val="single" w:sz="4" w:space="0" w:color="auto"/>
              <w:right w:val="single" w:sz="4" w:space="0" w:color="auto"/>
            </w:tcBorders>
            <w:shd w:val="clear" w:color="FFFFFF" w:fill="FFFFFF"/>
            <w:vAlign w:val="center"/>
            <w:hideMark/>
          </w:tcPr>
          <w:p w14:paraId="553FD1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C55B2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EB795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73E914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FCEFE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531560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625AE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1E9234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69E9C4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81998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0C63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B60C0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9BC27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0D8A48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E3C4D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3A686E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36B45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555651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B7FEF69" w14:textId="7FB0398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2023/893 e 21 Prillit 2023 për amandimin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2015/340 përcakton kërkesat teknike dhe procedurat administrative në lidhje me licencat dhe certifikatat e kontrollorëve të trafikut ajror.</w:t>
            </w:r>
          </w:p>
        </w:tc>
        <w:tc>
          <w:tcPr>
            <w:tcW w:w="668" w:type="pct"/>
            <w:tcBorders>
              <w:top w:val="nil"/>
              <w:left w:val="nil"/>
              <w:bottom w:val="single" w:sz="4" w:space="0" w:color="auto"/>
              <w:right w:val="single" w:sz="4" w:space="0" w:color="auto"/>
            </w:tcBorders>
            <w:shd w:val="clear" w:color="auto" w:fill="auto"/>
            <w:vAlign w:val="center"/>
            <w:hideMark/>
          </w:tcPr>
          <w:p w14:paraId="26107D4B" w14:textId="77777777" w:rsidR="00482167" w:rsidRPr="006D6BE5" w:rsidRDefault="00E63D69" w:rsidP="00A7241A">
            <w:pPr>
              <w:rPr>
                <w:rFonts w:ascii="Arial" w:hAnsi="Arial" w:cs="Arial"/>
                <w:color w:val="0563C1"/>
                <w:sz w:val="4"/>
                <w:szCs w:val="8"/>
                <w:u w:val="single"/>
                <w:lang w:val="sq-AL"/>
              </w:rPr>
            </w:pPr>
            <w:hyperlink r:id="rId206" w:history="1">
              <w:r w:rsidR="00482167" w:rsidRPr="006D6BE5">
                <w:rPr>
                  <w:rFonts w:ascii="Arial" w:hAnsi="Arial" w:cs="Arial"/>
                  <w:color w:val="0563C1"/>
                  <w:sz w:val="4"/>
                  <w:szCs w:val="8"/>
                  <w:u w:val="single"/>
                  <w:lang w:val="sq-AL"/>
                </w:rPr>
                <w:t xml:space="preserve">https://eur-lex.europa.eu/eli/reg_impl/2023/893/oj?eliuri=eli%3Areg_impl%3A2023%3A893%3Aoj </w:t>
              </w:r>
            </w:hyperlink>
          </w:p>
        </w:tc>
        <w:tc>
          <w:tcPr>
            <w:tcW w:w="506" w:type="pct"/>
            <w:tcBorders>
              <w:top w:val="nil"/>
              <w:left w:val="nil"/>
              <w:bottom w:val="single" w:sz="4" w:space="0" w:color="auto"/>
              <w:right w:val="single" w:sz="4" w:space="0" w:color="auto"/>
            </w:tcBorders>
            <w:shd w:val="clear" w:color="FFFFFF" w:fill="FFFFFF"/>
            <w:vAlign w:val="center"/>
            <w:hideMark/>
          </w:tcPr>
          <w:p w14:paraId="61A35A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2CCDE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 urdhër i Ministrit të Infrastrukturës dhe Energjisë "Për disa ndryshime ne Urdhrin e Ministrit Nr.91, datë 21.02.2019 "Per miratimin e rregullores “Për përcaktimin e kërkesave teknike dhe procedurave administrative në lidhje me licencat dhe certifikatat e kontrollorëve të trafikut ajror”, </w:t>
            </w:r>
          </w:p>
        </w:tc>
        <w:tc>
          <w:tcPr>
            <w:tcW w:w="330" w:type="pct"/>
            <w:tcBorders>
              <w:top w:val="nil"/>
              <w:left w:val="nil"/>
              <w:bottom w:val="single" w:sz="4" w:space="0" w:color="auto"/>
              <w:right w:val="single" w:sz="4" w:space="0" w:color="auto"/>
            </w:tcBorders>
            <w:shd w:val="clear" w:color="auto" w:fill="auto"/>
            <w:vAlign w:val="center"/>
            <w:hideMark/>
          </w:tcPr>
          <w:p w14:paraId="188DE3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Synohen të përafrohen ndryshimet e reja të bëra në Rregulloren (BE) 2015/340. Ndryshimet e reja konsistojnë në cështje proceduriale të cilat lidhen me aplikimin pë licensë. Pas aplikimit për konvertimin e licencës kombëtare të kontrollit të trafikut ajror ushtarak, mund të lëshohet një licencë kontrolluese e trafikut ajror studentor, me kusht që përvoja ushtarake e trajnimit fillestar të aplikantit të plotësojë kërkesat fillestare të trajnimit të përcaktuara në Urdhrin e Ministrit Nr.91, datë 21.02.2019 bazuar në raportin kombëtar të konvertimit dhe pas përfundimit të çdo trajnimi shtesë që rezulton nga analiza e hendekut që përmban ky raport.</w:t>
            </w:r>
          </w:p>
        </w:tc>
        <w:tc>
          <w:tcPr>
            <w:tcW w:w="126" w:type="pct"/>
            <w:tcBorders>
              <w:top w:val="nil"/>
              <w:left w:val="nil"/>
              <w:bottom w:val="single" w:sz="4" w:space="0" w:color="auto"/>
              <w:right w:val="single" w:sz="4" w:space="0" w:color="auto"/>
            </w:tcBorders>
            <w:shd w:val="clear" w:color="FFFFFF" w:fill="FFFFFF"/>
            <w:vAlign w:val="center"/>
            <w:hideMark/>
          </w:tcPr>
          <w:p w14:paraId="165405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070B8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F69F8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4F701C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B0408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04B558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BFEC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388CCA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0C5358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463AB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EB918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DFBAB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AF415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B749F3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22DE0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54F97E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27DD4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304432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342F8A6" w14:textId="6540E8D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2023/1769 e 12 Shtatorit 2023 përcaktimin e kërkesave teknike dhe procedurave administrative për miratimin e organizatave të përfshira në projektimin ose prodhimin e sistemeve dhe përbërësve të shërbimeve të menaxhimit të trafikut ajror/navigacionit ajror dhe ndryshimin e Rregullores implementuese (BE) 2023/203.</w:t>
            </w:r>
          </w:p>
        </w:tc>
        <w:tc>
          <w:tcPr>
            <w:tcW w:w="668" w:type="pct"/>
            <w:tcBorders>
              <w:top w:val="nil"/>
              <w:left w:val="nil"/>
              <w:bottom w:val="single" w:sz="4" w:space="0" w:color="auto"/>
              <w:right w:val="single" w:sz="4" w:space="0" w:color="auto"/>
            </w:tcBorders>
            <w:shd w:val="clear" w:color="auto" w:fill="auto"/>
            <w:vAlign w:val="center"/>
            <w:hideMark/>
          </w:tcPr>
          <w:p w14:paraId="7B49C3AE" w14:textId="77777777" w:rsidR="00482167" w:rsidRPr="006D6BE5" w:rsidRDefault="00E63D69" w:rsidP="00A7241A">
            <w:pPr>
              <w:rPr>
                <w:rFonts w:ascii="Arial" w:hAnsi="Arial" w:cs="Arial"/>
                <w:color w:val="0563C1"/>
                <w:sz w:val="4"/>
                <w:szCs w:val="8"/>
                <w:u w:val="single"/>
                <w:lang w:val="sq-AL"/>
              </w:rPr>
            </w:pPr>
            <w:hyperlink r:id="rId207" w:history="1">
              <w:r w:rsidR="00482167" w:rsidRPr="006D6BE5">
                <w:rPr>
                  <w:rFonts w:ascii="Arial" w:hAnsi="Arial" w:cs="Arial"/>
                  <w:color w:val="0563C1"/>
                  <w:sz w:val="4"/>
                  <w:szCs w:val="8"/>
                  <w:u w:val="single"/>
                  <w:lang w:val="sq-AL"/>
                </w:rPr>
                <w:t xml:space="preserve">https://eur-lex.europa.eu/legal-content/EN/TXT/?uri=OJ%3AJOL_2023_228_R_0002 </w:t>
              </w:r>
            </w:hyperlink>
          </w:p>
        </w:tc>
        <w:tc>
          <w:tcPr>
            <w:tcW w:w="506" w:type="pct"/>
            <w:tcBorders>
              <w:top w:val="nil"/>
              <w:left w:val="nil"/>
              <w:bottom w:val="single" w:sz="4" w:space="0" w:color="auto"/>
              <w:right w:val="single" w:sz="4" w:space="0" w:color="auto"/>
            </w:tcBorders>
            <w:shd w:val="clear" w:color="FFFFFF" w:fill="FFFFFF"/>
            <w:vAlign w:val="center"/>
            <w:hideMark/>
          </w:tcPr>
          <w:p w14:paraId="57E4E0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27508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"Për përcaktimin e kërkesave teknike dhe procedurave administrative për miratimin e organizatave të përfshira në projektimin ose prodhimin e sistemeve dhe përbërësve të shërbimeve të menaxhimit të trafikut ajror/navigimit ajror</w:t>
            </w:r>
          </w:p>
        </w:tc>
        <w:tc>
          <w:tcPr>
            <w:tcW w:w="330" w:type="pct"/>
            <w:tcBorders>
              <w:top w:val="nil"/>
              <w:left w:val="nil"/>
              <w:bottom w:val="single" w:sz="4" w:space="0" w:color="auto"/>
              <w:right w:val="single" w:sz="4" w:space="0" w:color="auto"/>
            </w:tcBorders>
            <w:shd w:val="clear" w:color="FFFFFF" w:fill="FFFFFF"/>
            <w:vAlign w:val="center"/>
            <w:hideMark/>
          </w:tcPr>
          <w:p w14:paraId="5EC4A7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EASA ('Agjencia') do të njihet si përgjegjëse për të gjitha detyrat e autoritetit kompetent lidhur me certifikatat dhe deklaratat për sistemet ATM/ANS dhe zgjedhësit e ATM/ANS ('pajisjet ATM/ANS'), duke përfshirë mbikëqyrjen dhe zbatimin</w:t>
            </w:r>
          </w:p>
        </w:tc>
        <w:tc>
          <w:tcPr>
            <w:tcW w:w="126" w:type="pct"/>
            <w:tcBorders>
              <w:top w:val="nil"/>
              <w:left w:val="nil"/>
              <w:bottom w:val="single" w:sz="4" w:space="0" w:color="auto"/>
              <w:right w:val="single" w:sz="4" w:space="0" w:color="auto"/>
            </w:tcBorders>
            <w:shd w:val="clear" w:color="FFFFFF" w:fill="FFFFFF"/>
            <w:vAlign w:val="center"/>
            <w:hideMark/>
          </w:tcPr>
          <w:p w14:paraId="3949CD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F60A3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96E0F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2E5DB6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C33D5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B83B4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6A4A2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450A4F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379355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A3BBB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09C5D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CB30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307C0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27FC20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40E22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6D5925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00FE1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4C3ED9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2257FFB" w14:textId="4F7CCCB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Amendimi i Rregulores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139/2014, datë 12 shkurt 2014, "Për përcaktimin e kërkesave dhe procedurave administrative lidhur me aerodromet në përputhje me Rregulloren (KE) nr. 216/2008 të Parlamentit Evropian dhe të Tekstit të Këshillit me rëndësi EEA; Rregullorja e deleguar e Komisionit (BE) 2022/2074 e 20 korrikut 2022 që ndryshon Rregulloren (BE) nr. 139/2014, sa i përket përcaktimit të SNOWTAM</w:t>
            </w:r>
          </w:p>
        </w:tc>
        <w:tc>
          <w:tcPr>
            <w:tcW w:w="668" w:type="pct"/>
            <w:tcBorders>
              <w:top w:val="nil"/>
              <w:left w:val="nil"/>
              <w:bottom w:val="single" w:sz="4" w:space="0" w:color="auto"/>
              <w:right w:val="single" w:sz="4" w:space="0" w:color="auto"/>
            </w:tcBorders>
            <w:shd w:val="clear" w:color="auto" w:fill="auto"/>
            <w:vAlign w:val="center"/>
            <w:hideMark/>
          </w:tcPr>
          <w:p w14:paraId="13AB86B2" w14:textId="77777777" w:rsidR="00482167" w:rsidRPr="006D6BE5" w:rsidRDefault="00E63D69" w:rsidP="00A7241A">
            <w:pPr>
              <w:rPr>
                <w:rFonts w:ascii="Arial" w:hAnsi="Arial" w:cs="Arial"/>
                <w:color w:val="0563C1"/>
                <w:sz w:val="4"/>
                <w:szCs w:val="8"/>
                <w:u w:val="single"/>
                <w:lang w:val="sq-AL"/>
              </w:rPr>
            </w:pPr>
            <w:hyperlink r:id="rId208" w:history="1">
              <w:r w:rsidR="00482167" w:rsidRPr="006D6BE5">
                <w:rPr>
                  <w:rFonts w:ascii="Arial" w:hAnsi="Arial" w:cs="Arial"/>
                  <w:color w:val="0563C1"/>
                  <w:sz w:val="4"/>
                  <w:szCs w:val="8"/>
                  <w:u w:val="single"/>
                  <w:lang w:val="sq-AL"/>
                </w:rPr>
                <w:t xml:space="preserve">https://eur-lex.europa.eu/legal-content/EN/TXT/?uri=CELEX%3A32022R2074 </w:t>
              </w:r>
            </w:hyperlink>
          </w:p>
        </w:tc>
        <w:tc>
          <w:tcPr>
            <w:tcW w:w="506" w:type="pct"/>
            <w:tcBorders>
              <w:top w:val="nil"/>
              <w:left w:val="nil"/>
              <w:bottom w:val="single" w:sz="4" w:space="0" w:color="auto"/>
              <w:right w:val="single" w:sz="4" w:space="0" w:color="auto"/>
            </w:tcBorders>
            <w:shd w:val="clear" w:color="FFFFFF" w:fill="FFFFFF"/>
            <w:vAlign w:val="center"/>
            <w:hideMark/>
          </w:tcPr>
          <w:p w14:paraId="365B0B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DCA31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ndryshimin e Urdhrit të Ministrit, nr 193, datë 06.10.2022 "Për miratimin e rregullores “Për përcaktimin e kërkesave të përbashkëta për ofruesit e shërbimeve të menaxhimit të trafikut ajror dhe të lundrimit ajror, si dhe funksionet e tjera të rrjetit të menaxhimit të trafikut ajror dhe mbikëqyrjen e tyre"</w:t>
            </w:r>
          </w:p>
        </w:tc>
        <w:tc>
          <w:tcPr>
            <w:tcW w:w="330" w:type="pct"/>
            <w:tcBorders>
              <w:top w:val="nil"/>
              <w:left w:val="nil"/>
              <w:bottom w:val="single" w:sz="4" w:space="0" w:color="auto"/>
              <w:right w:val="single" w:sz="4" w:space="0" w:color="auto"/>
            </w:tcBorders>
            <w:shd w:val="clear" w:color="FFFFFF" w:fill="FFFFFF"/>
            <w:vAlign w:val="center"/>
            <w:hideMark/>
          </w:tcPr>
          <w:p w14:paraId="30E519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SNOWTAM që përmbahet në shtojcën I të Urdhrit të Ministrit, nr 193, datë 06.10.2022 duhet ndryshuar për të qenë në përputhje me atë të Aneksit 15 të Konventës së Çikagos</w:t>
            </w:r>
          </w:p>
        </w:tc>
        <w:tc>
          <w:tcPr>
            <w:tcW w:w="126" w:type="pct"/>
            <w:tcBorders>
              <w:top w:val="nil"/>
              <w:left w:val="nil"/>
              <w:bottom w:val="single" w:sz="4" w:space="0" w:color="auto"/>
              <w:right w:val="single" w:sz="4" w:space="0" w:color="auto"/>
            </w:tcBorders>
            <w:shd w:val="clear" w:color="FFFFFF" w:fill="FFFFFF"/>
            <w:vAlign w:val="center"/>
            <w:hideMark/>
          </w:tcPr>
          <w:p w14:paraId="600C6A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75A86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6EE4A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3EBF63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F621A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19A06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D0975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3EF5B4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731532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F462C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16DB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1DE7A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F08DF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67837A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A4248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BEDC3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B81E3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010F78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999BF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deleguar e Komisionit (BE) 2023/1768 e 14 korrikut 2023 "Për përcaktimin e rregullave të detajuara për certifikimin dhe deklarimin e sistemeve të menaxhimit të trafikut ajror/shërbimeve të navigimit ajror dhe përbërësve të shërbimeve të menaxhimit të trafikut ajror/navigimit ajror</w:t>
            </w:r>
          </w:p>
        </w:tc>
        <w:tc>
          <w:tcPr>
            <w:tcW w:w="668" w:type="pct"/>
            <w:tcBorders>
              <w:top w:val="nil"/>
              <w:left w:val="nil"/>
              <w:bottom w:val="single" w:sz="4" w:space="0" w:color="auto"/>
              <w:right w:val="single" w:sz="4" w:space="0" w:color="auto"/>
            </w:tcBorders>
            <w:shd w:val="clear" w:color="auto" w:fill="auto"/>
            <w:vAlign w:val="center"/>
            <w:hideMark/>
          </w:tcPr>
          <w:p w14:paraId="2A58C8E6" w14:textId="77777777" w:rsidR="00482167" w:rsidRPr="006D6BE5" w:rsidRDefault="00E63D69" w:rsidP="00A7241A">
            <w:pPr>
              <w:rPr>
                <w:rFonts w:ascii="Arial" w:hAnsi="Arial" w:cs="Arial"/>
                <w:color w:val="0563C1"/>
                <w:sz w:val="4"/>
                <w:szCs w:val="8"/>
                <w:u w:val="single"/>
                <w:lang w:val="sq-AL"/>
              </w:rPr>
            </w:pPr>
            <w:hyperlink r:id="rId209" w:history="1">
              <w:r w:rsidR="00482167" w:rsidRPr="006D6BE5">
                <w:rPr>
                  <w:rFonts w:ascii="Arial" w:hAnsi="Arial" w:cs="Arial"/>
                  <w:color w:val="0563C1"/>
                  <w:sz w:val="4"/>
                  <w:szCs w:val="8"/>
                  <w:u w:val="single"/>
                  <w:lang w:val="sq-AL"/>
                </w:rPr>
                <w:t xml:space="preserve">https://eur-lex.europa.eu/legal-content/EN/TXT/?uri=CELEX%3A32023R1768 </w:t>
              </w:r>
            </w:hyperlink>
          </w:p>
        </w:tc>
        <w:tc>
          <w:tcPr>
            <w:tcW w:w="506" w:type="pct"/>
            <w:tcBorders>
              <w:top w:val="nil"/>
              <w:left w:val="nil"/>
              <w:bottom w:val="single" w:sz="4" w:space="0" w:color="auto"/>
              <w:right w:val="single" w:sz="4" w:space="0" w:color="auto"/>
            </w:tcBorders>
            <w:shd w:val="clear" w:color="FFFFFF" w:fill="FFFFFF"/>
            <w:vAlign w:val="center"/>
            <w:hideMark/>
          </w:tcPr>
          <w:p w14:paraId="2B1FDC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0683A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përcaktimin e rregullave të detajuara për certifikimin dhe deklarimin e sistemeve të menaxhimit të trafikut ajror/shërbimeve të navigacionit ajror dhe përbërësve të shërbimeve të menaxhimit të trafikut ajror/navigacionit ajror</w:t>
            </w:r>
          </w:p>
        </w:tc>
        <w:tc>
          <w:tcPr>
            <w:tcW w:w="330" w:type="pct"/>
            <w:tcBorders>
              <w:top w:val="nil"/>
              <w:left w:val="nil"/>
              <w:bottom w:val="single" w:sz="4" w:space="0" w:color="auto"/>
              <w:right w:val="single" w:sz="4" w:space="0" w:color="auto"/>
            </w:tcBorders>
            <w:shd w:val="clear" w:color="FFFFFF" w:fill="FFFFFF"/>
            <w:vAlign w:val="center"/>
            <w:hideMark/>
          </w:tcPr>
          <w:p w14:paraId="399E55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Percaktohen rregullat e detajuara për certifikimin dhe deklarimin e sistemeve të menaxhimit të trafikut ajror/shërbimeve të navigacionit ajror dhe përbërësve të shërbimeve të menaxhimit të trafikut ajror/navigacionit ajror</w:t>
            </w:r>
          </w:p>
        </w:tc>
        <w:tc>
          <w:tcPr>
            <w:tcW w:w="126" w:type="pct"/>
            <w:tcBorders>
              <w:top w:val="nil"/>
              <w:left w:val="nil"/>
              <w:bottom w:val="single" w:sz="4" w:space="0" w:color="auto"/>
              <w:right w:val="single" w:sz="4" w:space="0" w:color="auto"/>
            </w:tcBorders>
            <w:shd w:val="clear" w:color="FFFFFF" w:fill="FFFFFF"/>
            <w:vAlign w:val="center"/>
            <w:hideMark/>
          </w:tcPr>
          <w:p w14:paraId="0A4FA5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C8613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EB857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70FAE3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3ED98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D105A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77BCF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13DE84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5A8CC9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61B58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2D11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6153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65142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552689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CFCA4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0335A1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B84C0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6EE718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290C0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2006/93/KE e Parlamentit Evropian dhe e Këshillit, datë 12 dhjetor 2006, "Për rregullimin e funksionimit të avionëve të përfshira në pjesën II, kapitulli 3, vëllimi 1 i Aneksit 16 të Konventës për Aviacionin Civil Ndërkombëtar, botimi i dytë (1988) </w:t>
            </w:r>
          </w:p>
        </w:tc>
        <w:tc>
          <w:tcPr>
            <w:tcW w:w="668" w:type="pct"/>
            <w:tcBorders>
              <w:top w:val="nil"/>
              <w:left w:val="nil"/>
              <w:bottom w:val="single" w:sz="4" w:space="0" w:color="auto"/>
              <w:right w:val="single" w:sz="4" w:space="0" w:color="auto"/>
            </w:tcBorders>
            <w:shd w:val="clear" w:color="auto" w:fill="auto"/>
            <w:vAlign w:val="center"/>
            <w:hideMark/>
          </w:tcPr>
          <w:p w14:paraId="763C45F2" w14:textId="77777777" w:rsidR="00482167" w:rsidRPr="006D6BE5" w:rsidRDefault="00E63D69" w:rsidP="00A7241A">
            <w:pPr>
              <w:rPr>
                <w:rFonts w:ascii="Arial" w:hAnsi="Arial" w:cs="Arial"/>
                <w:color w:val="0563C1"/>
                <w:sz w:val="4"/>
                <w:szCs w:val="8"/>
                <w:u w:val="single"/>
                <w:lang w:val="sq-AL"/>
              </w:rPr>
            </w:pPr>
            <w:hyperlink r:id="rId210" w:history="1">
              <w:r w:rsidR="00482167" w:rsidRPr="006D6BE5">
                <w:rPr>
                  <w:rFonts w:ascii="Arial" w:hAnsi="Arial" w:cs="Arial"/>
                  <w:color w:val="0563C1"/>
                  <w:sz w:val="4"/>
                  <w:szCs w:val="8"/>
                  <w:u w:val="single"/>
                  <w:lang w:val="sq-AL"/>
                </w:rPr>
                <w:t xml:space="preserve">https://eur-lex.europa.eu/legal-content/EN/ALL/?uri=CELEX%3A32006L0093 </w:t>
              </w:r>
            </w:hyperlink>
          </w:p>
        </w:tc>
        <w:tc>
          <w:tcPr>
            <w:tcW w:w="506" w:type="pct"/>
            <w:tcBorders>
              <w:top w:val="nil"/>
              <w:left w:val="nil"/>
              <w:bottom w:val="single" w:sz="4" w:space="0" w:color="auto"/>
              <w:right w:val="single" w:sz="4" w:space="0" w:color="auto"/>
            </w:tcBorders>
            <w:shd w:val="clear" w:color="FFFFFF" w:fill="FFFFFF"/>
            <w:vAlign w:val="center"/>
            <w:hideMark/>
          </w:tcPr>
          <w:p w14:paraId="01544F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A74DB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rregullimin e funksionimit të avionëve të përfshirë në pjesën II, kapitulli 3 , vëllimi 1 i Aneksit 16 të Konventës për Aviacionin Civil Ndërkombëtar, botimi i dytë"</w:t>
            </w:r>
          </w:p>
        </w:tc>
        <w:tc>
          <w:tcPr>
            <w:tcW w:w="330" w:type="pct"/>
            <w:tcBorders>
              <w:top w:val="nil"/>
              <w:left w:val="nil"/>
              <w:bottom w:val="single" w:sz="4" w:space="0" w:color="auto"/>
              <w:right w:val="single" w:sz="4" w:space="0" w:color="auto"/>
            </w:tcBorders>
            <w:shd w:val="clear" w:color="FFFFFF" w:fill="FFFFFF"/>
            <w:vAlign w:val="center"/>
            <w:hideMark/>
          </w:tcPr>
          <w:p w14:paraId="101C6D98" w14:textId="0F2FCFC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Rregullohet funksionimi i "</w:t>
            </w:r>
            <w:r w:rsidRPr="006D6BE5">
              <w:rPr>
                <w:rFonts w:ascii="Arial" w:hAnsi="Arial" w:cs="Arial"/>
                <w:i/>
                <w:iCs/>
                <w:color w:val="000000"/>
                <w:sz w:val="4"/>
                <w:szCs w:val="8"/>
                <w:lang w:val="sq-AL"/>
              </w:rPr>
              <w:t>civil subsonic jet aeroplanes</w:t>
            </w:r>
            <w:r w:rsidRPr="006D6BE5">
              <w:rPr>
                <w:rFonts w:ascii="Arial" w:hAnsi="Arial" w:cs="Arial"/>
                <w:color w:val="000000"/>
                <w:sz w:val="4"/>
                <w:szCs w:val="8"/>
                <w:lang w:val="sq-AL"/>
              </w:rPr>
              <w: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që shfaqen në regjistrat e Shteteve Anëtare dhe që përputhen me standardet e kapitullit 3 të Aneksit 16.</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Shtetet anëtare duhet të vendosin rregulla mbi dënimet e zbatueshme për shkeljet e dispozitave kombëtare të miratuara sipas kësaj direktive. Këto dënime duhet të jenë efektive, proporcionale .</w:t>
            </w:r>
          </w:p>
        </w:tc>
        <w:tc>
          <w:tcPr>
            <w:tcW w:w="126" w:type="pct"/>
            <w:tcBorders>
              <w:top w:val="nil"/>
              <w:left w:val="nil"/>
              <w:bottom w:val="single" w:sz="4" w:space="0" w:color="auto"/>
              <w:right w:val="single" w:sz="4" w:space="0" w:color="auto"/>
            </w:tcBorders>
            <w:shd w:val="clear" w:color="FFFFFF" w:fill="FFFFFF"/>
            <w:vAlign w:val="center"/>
            <w:hideMark/>
          </w:tcPr>
          <w:p w14:paraId="2DA514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11DF3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50CD6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389E89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5030B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0D185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10B02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6E5B89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48ABD5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9" w:type="pct"/>
            <w:tcBorders>
              <w:top w:val="nil"/>
              <w:left w:val="nil"/>
              <w:bottom w:val="single" w:sz="4" w:space="0" w:color="auto"/>
              <w:right w:val="single" w:sz="4" w:space="0" w:color="auto"/>
            </w:tcBorders>
            <w:shd w:val="clear" w:color="FFFFFF" w:fill="FFFFFF"/>
            <w:vAlign w:val="center"/>
            <w:hideMark/>
          </w:tcPr>
          <w:p w14:paraId="032C62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D198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BC50B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16330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617AC4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583CB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4C31AB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88EB2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Transporti Ajror</w:t>
            </w:r>
          </w:p>
        </w:tc>
        <w:tc>
          <w:tcPr>
            <w:tcW w:w="171" w:type="pct"/>
            <w:tcBorders>
              <w:top w:val="nil"/>
              <w:left w:val="nil"/>
              <w:bottom w:val="single" w:sz="4" w:space="0" w:color="auto"/>
              <w:right w:val="single" w:sz="4" w:space="0" w:color="auto"/>
            </w:tcBorders>
            <w:shd w:val="clear" w:color="FFFFFF" w:fill="FFFFFF"/>
            <w:vAlign w:val="center"/>
            <w:hideMark/>
          </w:tcPr>
          <w:p w14:paraId="05603C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7F7C4A6" w14:textId="2498A43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2019/317 e 11 Shkurtit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2019</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percaktimin e një skeme të performancës dhe tarifave gnë qiellin e vetëm evropian dhe shquqëzimin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Rregulloreve Implementuese (BE) Nr 390/2013 dhe (BE) Nr 391/2013 </w:t>
            </w:r>
          </w:p>
        </w:tc>
        <w:tc>
          <w:tcPr>
            <w:tcW w:w="668" w:type="pct"/>
            <w:tcBorders>
              <w:top w:val="nil"/>
              <w:left w:val="nil"/>
              <w:bottom w:val="single" w:sz="4" w:space="0" w:color="auto"/>
              <w:right w:val="single" w:sz="4" w:space="0" w:color="auto"/>
            </w:tcBorders>
            <w:shd w:val="clear" w:color="auto" w:fill="auto"/>
            <w:vAlign w:val="center"/>
            <w:hideMark/>
          </w:tcPr>
          <w:p w14:paraId="573FF57C" w14:textId="77777777" w:rsidR="00482167" w:rsidRPr="006D6BE5" w:rsidRDefault="00E63D69" w:rsidP="00A7241A">
            <w:pPr>
              <w:rPr>
                <w:rFonts w:ascii="Arial" w:hAnsi="Arial" w:cs="Arial"/>
                <w:color w:val="0563C1"/>
                <w:sz w:val="4"/>
                <w:szCs w:val="8"/>
                <w:u w:val="single"/>
                <w:lang w:val="sq-AL"/>
              </w:rPr>
            </w:pPr>
            <w:hyperlink r:id="rId211" w:history="1">
              <w:r w:rsidR="00482167" w:rsidRPr="006D6BE5">
                <w:rPr>
                  <w:rFonts w:ascii="Arial" w:hAnsi="Arial" w:cs="Arial"/>
                  <w:color w:val="0563C1"/>
                  <w:sz w:val="4"/>
                  <w:szCs w:val="8"/>
                  <w:u w:val="single"/>
                  <w:lang w:val="sq-AL"/>
                </w:rPr>
                <w:t xml:space="preserve">https://eur-lex.europa.eu/legal-content/EN/TXT/?uri=CELEX%3A32019R0317 </w:t>
              </w:r>
            </w:hyperlink>
          </w:p>
        </w:tc>
        <w:tc>
          <w:tcPr>
            <w:tcW w:w="506" w:type="pct"/>
            <w:tcBorders>
              <w:top w:val="nil"/>
              <w:left w:val="nil"/>
              <w:bottom w:val="single" w:sz="4" w:space="0" w:color="auto"/>
              <w:right w:val="single" w:sz="4" w:space="0" w:color="auto"/>
            </w:tcBorders>
            <w:shd w:val="clear" w:color="FFFFFF" w:fill="FFFFFF"/>
            <w:vAlign w:val="center"/>
            <w:hideMark/>
          </w:tcPr>
          <w:p w14:paraId="4BB986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76762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vendosjen e një skeme të performancës dhe tarifave</w:t>
            </w:r>
          </w:p>
        </w:tc>
        <w:tc>
          <w:tcPr>
            <w:tcW w:w="330" w:type="pct"/>
            <w:tcBorders>
              <w:top w:val="nil"/>
              <w:left w:val="nil"/>
              <w:bottom w:val="single" w:sz="4" w:space="0" w:color="auto"/>
              <w:right w:val="single" w:sz="4" w:space="0" w:color="auto"/>
            </w:tcBorders>
            <w:shd w:val="clear" w:color="auto" w:fill="auto"/>
            <w:vAlign w:val="center"/>
            <w:hideMark/>
          </w:tcPr>
          <w:p w14:paraId="442F7E32" w14:textId="08CE86E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Skema e tarifave duhet të kontribuojë në një transparencë më të madhe në përcaktimin, vendosjen dhe zbatimin e funksioneve për përdoruesit e hapësirës ajrore dhe duhet të kontribuojë në efikasitetin e kostos së ofrimit të shërbimeve të navigimit ajror dhe në efikasitetin e fluturimeve, duke ruajtur një nivel optimal sigurie. Skema e performancës dhe tarifave duhet të rrisin performancën e shërbimeve të navigimit ajror nëpërmjet një gate-to-gate approach</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që mbulon si në rrugë ashtu edhe në shërbimet terminale të navigimit ajror</w:t>
            </w:r>
          </w:p>
        </w:tc>
        <w:tc>
          <w:tcPr>
            <w:tcW w:w="126" w:type="pct"/>
            <w:tcBorders>
              <w:top w:val="nil"/>
              <w:left w:val="nil"/>
              <w:bottom w:val="single" w:sz="4" w:space="0" w:color="auto"/>
              <w:right w:val="single" w:sz="4" w:space="0" w:color="auto"/>
            </w:tcBorders>
            <w:shd w:val="clear" w:color="FFFFFF" w:fill="FFFFFF"/>
            <w:vAlign w:val="center"/>
            <w:hideMark/>
          </w:tcPr>
          <w:p w14:paraId="6D0910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FBA36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B9E8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782C53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79BBA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C3C9B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C18DD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30ED59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1C7F83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9" w:type="pct"/>
            <w:tcBorders>
              <w:top w:val="nil"/>
              <w:left w:val="nil"/>
              <w:bottom w:val="single" w:sz="4" w:space="0" w:color="auto"/>
              <w:right w:val="single" w:sz="4" w:space="0" w:color="auto"/>
            </w:tcBorders>
            <w:shd w:val="clear" w:color="FFFFFF" w:fill="FFFFFF"/>
            <w:vAlign w:val="center"/>
            <w:hideMark/>
          </w:tcPr>
          <w:p w14:paraId="62E85F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B4A4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10B1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375B7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A31597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537E9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5CF9E3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9A32C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Transporti Ajror </w:t>
            </w:r>
          </w:p>
        </w:tc>
        <w:tc>
          <w:tcPr>
            <w:tcW w:w="171" w:type="pct"/>
            <w:tcBorders>
              <w:top w:val="nil"/>
              <w:left w:val="nil"/>
              <w:bottom w:val="single" w:sz="4" w:space="0" w:color="auto"/>
              <w:right w:val="single" w:sz="4" w:space="0" w:color="auto"/>
            </w:tcBorders>
            <w:shd w:val="clear" w:color="FFFFFF" w:fill="FFFFFF"/>
            <w:vAlign w:val="center"/>
            <w:hideMark/>
          </w:tcPr>
          <w:p w14:paraId="03F38A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3115604A" w14:textId="0CFC36F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Ndryshimet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255/2010:</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2016/1006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22 Qershorit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2016 per amendimin e 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 Nr 255/2010 në lidhej me dispozitat e ICAO-s referuar në nenin 3 (1) -Rregullore e Zbatimit të Komisionit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2017/2159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 Nëntorit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2017 amendimi i Rregullores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(BE) Nr. 255/2010 në lidhje me disa referenca të dispozitave të ICAO-s.</w:t>
            </w:r>
          </w:p>
        </w:tc>
        <w:tc>
          <w:tcPr>
            <w:tcW w:w="668" w:type="pct"/>
            <w:tcBorders>
              <w:top w:val="nil"/>
              <w:left w:val="nil"/>
              <w:bottom w:val="single" w:sz="4" w:space="0" w:color="auto"/>
              <w:right w:val="single" w:sz="4" w:space="0" w:color="auto"/>
            </w:tcBorders>
            <w:shd w:val="clear" w:color="auto" w:fill="auto"/>
            <w:vAlign w:val="center"/>
            <w:hideMark/>
          </w:tcPr>
          <w:p w14:paraId="1C1BC02A" w14:textId="77777777" w:rsidR="00482167" w:rsidRPr="006D6BE5" w:rsidRDefault="00E63D69" w:rsidP="00A7241A">
            <w:pPr>
              <w:rPr>
                <w:rFonts w:ascii="Arial" w:hAnsi="Arial" w:cs="Arial"/>
                <w:color w:val="0563C1"/>
                <w:sz w:val="4"/>
                <w:szCs w:val="8"/>
                <w:u w:val="single"/>
                <w:lang w:val="sq-AL"/>
              </w:rPr>
            </w:pPr>
            <w:hyperlink r:id="rId212" w:history="1">
              <w:r w:rsidR="00482167" w:rsidRPr="006D6BE5">
                <w:rPr>
                  <w:rFonts w:ascii="Arial" w:hAnsi="Arial" w:cs="Arial"/>
                  <w:color w:val="0563C1"/>
                  <w:sz w:val="4"/>
                  <w:szCs w:val="8"/>
                  <w:u w:val="single"/>
                  <w:lang w:val="sq-AL"/>
                </w:rPr>
                <w:t xml:space="preserve">https://eur-lex.europa.eu/legal-content/EN/TXT/?uri=CELEX%3A02010R0255-20171211 </w:t>
              </w:r>
            </w:hyperlink>
          </w:p>
        </w:tc>
        <w:tc>
          <w:tcPr>
            <w:tcW w:w="506" w:type="pct"/>
            <w:tcBorders>
              <w:top w:val="nil"/>
              <w:left w:val="nil"/>
              <w:bottom w:val="single" w:sz="4" w:space="0" w:color="auto"/>
              <w:right w:val="single" w:sz="4" w:space="0" w:color="auto"/>
            </w:tcBorders>
            <w:shd w:val="clear" w:color="FFFFFF" w:fill="FFFFFF"/>
            <w:vAlign w:val="center"/>
            <w:hideMark/>
          </w:tcPr>
          <w:p w14:paraId="6FA7D7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501994B" w14:textId="1D32CBA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 "Mbi ndryshimin e Urdhërit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Ministri Nr.281, datë 14.10.2014 “Për miratimin e rregullores që përcakton rregullat e përbashkëta mbi menaxhimin e fluksit të trafikut ajror”</w:t>
            </w:r>
          </w:p>
        </w:tc>
        <w:tc>
          <w:tcPr>
            <w:tcW w:w="330" w:type="pct"/>
            <w:tcBorders>
              <w:top w:val="nil"/>
              <w:left w:val="nil"/>
              <w:bottom w:val="single" w:sz="4" w:space="0" w:color="auto"/>
              <w:right w:val="single" w:sz="4" w:space="0" w:color="auto"/>
            </w:tcBorders>
            <w:shd w:val="clear" w:color="FFFFFF" w:fill="FFFFFF"/>
            <w:vAlign w:val="center"/>
            <w:hideMark/>
          </w:tcPr>
          <w:p w14:paraId="79629A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 të sigurohet referimi i saktë ndaj standarteve të Anekseve të ICAO-s</w:t>
            </w:r>
          </w:p>
        </w:tc>
        <w:tc>
          <w:tcPr>
            <w:tcW w:w="126" w:type="pct"/>
            <w:tcBorders>
              <w:top w:val="nil"/>
              <w:left w:val="nil"/>
              <w:bottom w:val="single" w:sz="4" w:space="0" w:color="auto"/>
              <w:right w:val="single" w:sz="4" w:space="0" w:color="auto"/>
            </w:tcBorders>
            <w:shd w:val="clear" w:color="FFFFFF" w:fill="FFFFFF"/>
            <w:vAlign w:val="center"/>
            <w:hideMark/>
          </w:tcPr>
          <w:p w14:paraId="56CA38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6DA4A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F5997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 / AAC</w:t>
            </w:r>
          </w:p>
        </w:tc>
        <w:tc>
          <w:tcPr>
            <w:tcW w:w="113" w:type="pct"/>
            <w:tcBorders>
              <w:top w:val="nil"/>
              <w:left w:val="nil"/>
              <w:bottom w:val="single" w:sz="4" w:space="0" w:color="auto"/>
              <w:right w:val="single" w:sz="4" w:space="0" w:color="auto"/>
            </w:tcBorders>
            <w:shd w:val="clear" w:color="FFFFFF" w:fill="FFFFFF"/>
            <w:vAlign w:val="center"/>
            <w:hideMark/>
          </w:tcPr>
          <w:p w14:paraId="4B25EF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95C5F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37D640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17C31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047736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6C6A45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9" w:type="pct"/>
            <w:tcBorders>
              <w:top w:val="nil"/>
              <w:left w:val="nil"/>
              <w:bottom w:val="single" w:sz="4" w:space="0" w:color="auto"/>
              <w:right w:val="single" w:sz="4" w:space="0" w:color="auto"/>
            </w:tcBorders>
            <w:shd w:val="clear" w:color="FFFFFF" w:fill="FFFFFF"/>
            <w:vAlign w:val="center"/>
            <w:hideMark/>
          </w:tcPr>
          <w:p w14:paraId="43E880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98396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3875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0AB0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EEAB27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24147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14</w:t>
            </w:r>
          </w:p>
        </w:tc>
        <w:tc>
          <w:tcPr>
            <w:tcW w:w="144" w:type="pct"/>
            <w:tcBorders>
              <w:top w:val="nil"/>
              <w:left w:val="nil"/>
              <w:bottom w:val="single" w:sz="4" w:space="0" w:color="auto"/>
              <w:right w:val="single" w:sz="4" w:space="0" w:color="auto"/>
            </w:tcBorders>
            <w:shd w:val="clear" w:color="FFFFFF" w:fill="FFFFFF"/>
            <w:vAlign w:val="center"/>
            <w:hideMark/>
          </w:tcPr>
          <w:p w14:paraId="2D6E3D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92CDB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Transporti Ajror </w:t>
            </w:r>
          </w:p>
        </w:tc>
        <w:tc>
          <w:tcPr>
            <w:tcW w:w="171" w:type="pct"/>
            <w:tcBorders>
              <w:top w:val="nil"/>
              <w:left w:val="nil"/>
              <w:bottom w:val="single" w:sz="4" w:space="0" w:color="auto"/>
              <w:right w:val="single" w:sz="4" w:space="0" w:color="auto"/>
            </w:tcBorders>
            <w:shd w:val="clear" w:color="FFFFFF" w:fill="FFFFFF"/>
            <w:vAlign w:val="center"/>
            <w:hideMark/>
          </w:tcPr>
          <w:p w14:paraId="48EECC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C27E0C2" w14:textId="47AF30C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Komisionit (BE)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Nr 176/2011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24 Shkurtit 2011 mbi informacionin që do të jepet sigurohet përpara krijimit dhe modifikimit të një bloku funksional të hapësirës ajrore</w:t>
            </w:r>
          </w:p>
        </w:tc>
        <w:tc>
          <w:tcPr>
            <w:tcW w:w="668" w:type="pct"/>
            <w:tcBorders>
              <w:top w:val="nil"/>
              <w:left w:val="nil"/>
              <w:bottom w:val="single" w:sz="4" w:space="0" w:color="auto"/>
              <w:right w:val="single" w:sz="4" w:space="0" w:color="auto"/>
            </w:tcBorders>
            <w:shd w:val="clear" w:color="auto" w:fill="auto"/>
            <w:vAlign w:val="center"/>
            <w:hideMark/>
          </w:tcPr>
          <w:p w14:paraId="70E623ED" w14:textId="77777777" w:rsidR="00482167" w:rsidRPr="006D6BE5" w:rsidRDefault="00E63D69" w:rsidP="00A7241A">
            <w:pPr>
              <w:rPr>
                <w:rFonts w:ascii="Arial" w:hAnsi="Arial" w:cs="Arial"/>
                <w:color w:val="0563C1"/>
                <w:sz w:val="4"/>
                <w:szCs w:val="8"/>
                <w:u w:val="single"/>
                <w:lang w:val="sq-AL"/>
              </w:rPr>
            </w:pPr>
            <w:hyperlink r:id="rId213" w:anchor=":~:text=This%20Regulation%20lays%20down%20the%20requirements%20for%3A%20the,and%20modification%20of%20a%20func%20tional%20airspace%20block%3B" w:history="1">
              <w:r w:rsidR="00482167" w:rsidRPr="006D6BE5">
                <w:rPr>
                  <w:rFonts w:ascii="Arial" w:hAnsi="Arial" w:cs="Arial"/>
                  <w:color w:val="0563C1"/>
                  <w:sz w:val="4"/>
                  <w:szCs w:val="8"/>
                  <w:u w:val="single"/>
                  <w:lang w:val="sq-AL"/>
                </w:rPr>
                <w:t>https://eur-lex.europa.eu/legal-content/EN/TXT/PDF/?uri=CELEX:32011R0176#:~:text=This%20Regulation%20lays%20down%20the%20requirements%20for%3A%20the,and%20modification%20of%20a%20func%20tional%20airspace%20block%3B</w:t>
              </w:r>
            </w:hyperlink>
          </w:p>
        </w:tc>
        <w:tc>
          <w:tcPr>
            <w:tcW w:w="506" w:type="pct"/>
            <w:tcBorders>
              <w:top w:val="nil"/>
              <w:left w:val="nil"/>
              <w:bottom w:val="single" w:sz="4" w:space="0" w:color="auto"/>
              <w:right w:val="single" w:sz="4" w:space="0" w:color="auto"/>
            </w:tcBorders>
            <w:shd w:val="clear" w:color="FFFFFF" w:fill="FFFFFF"/>
            <w:vAlign w:val="center"/>
            <w:hideMark/>
          </w:tcPr>
          <w:p w14:paraId="47FD36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82C527A" w14:textId="147D152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urdhër i Ministrit të Infrastrukturës dhe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"Mbi informacionin që do të sigurohet përpara krijimit dhe modifikimit të një bloku funksional të hapësirës ajrore</w:t>
            </w:r>
          </w:p>
        </w:tc>
        <w:tc>
          <w:tcPr>
            <w:tcW w:w="330" w:type="pct"/>
            <w:tcBorders>
              <w:top w:val="nil"/>
              <w:left w:val="nil"/>
              <w:bottom w:val="single" w:sz="4" w:space="0" w:color="auto"/>
              <w:right w:val="single" w:sz="4" w:space="0" w:color="auto"/>
            </w:tcBorders>
            <w:shd w:val="clear" w:color="auto" w:fill="auto"/>
            <w:vAlign w:val="center"/>
            <w:hideMark/>
          </w:tcPr>
          <w:p w14:paraId="376503C3" w14:textId="7364990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Blloqet funksionale të hapësirës ajrore janë mjete Kyçe për zgjerimin e bashkëpunimit midis Shteteve në mënyrë që të përmirësojnë performancën dhe të krijojnë sinergji. Për këtë qëllim dhe për të optimizuar ndërfaqene e blloqeve funksionale të hapësirës ajrore brenda Qiellit të Vetëm Europian, shtetet e interesuara duhet të bashkëpunojnë me njëra tjetrën. Synohet që përafrimi të kryhet lidhur me informacionin që duhet raportuar ne Komision dhe pranë EASA si dhe tek palët e interesuara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përpara krijimit dhe modifikimit të një blloku funksional të hapësirës ajrore. Gjithashtu dhe procedurat për dhënien e informacionit dhe</w:t>
            </w:r>
            <w:r w:rsidRPr="006D6BE5">
              <w:rPr>
                <w:rFonts w:ascii="Arial" w:hAnsi="Arial" w:cs="Arial"/>
                <w:color w:val="000000"/>
                <w:sz w:val="4"/>
                <w:szCs w:val="8"/>
                <w:lang w:val="sq-AL"/>
              </w:rPr>
              <w:br/>
              <w:t xml:space="preserve">paraqitjen e vërejtjeve </w:t>
            </w:r>
          </w:p>
        </w:tc>
        <w:tc>
          <w:tcPr>
            <w:tcW w:w="126" w:type="pct"/>
            <w:tcBorders>
              <w:top w:val="nil"/>
              <w:left w:val="nil"/>
              <w:bottom w:val="single" w:sz="4" w:space="0" w:color="auto"/>
              <w:right w:val="single" w:sz="4" w:space="0" w:color="auto"/>
            </w:tcBorders>
            <w:shd w:val="clear" w:color="FFFFFF" w:fill="FFFFFF"/>
            <w:vAlign w:val="center"/>
            <w:hideMark/>
          </w:tcPr>
          <w:p w14:paraId="394E29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6A789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45790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MIE </w:t>
            </w:r>
          </w:p>
        </w:tc>
        <w:tc>
          <w:tcPr>
            <w:tcW w:w="113" w:type="pct"/>
            <w:tcBorders>
              <w:top w:val="nil"/>
              <w:left w:val="nil"/>
              <w:bottom w:val="single" w:sz="4" w:space="0" w:color="auto"/>
              <w:right w:val="single" w:sz="4" w:space="0" w:color="auto"/>
            </w:tcBorders>
            <w:shd w:val="clear" w:color="FFFFFF" w:fill="FFFFFF"/>
            <w:vAlign w:val="center"/>
            <w:hideMark/>
          </w:tcPr>
          <w:p w14:paraId="0E469C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5EB06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464D8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BE1FA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6" w:type="pct"/>
            <w:tcBorders>
              <w:top w:val="nil"/>
              <w:left w:val="nil"/>
              <w:bottom w:val="single" w:sz="4" w:space="0" w:color="auto"/>
              <w:right w:val="single" w:sz="4" w:space="0" w:color="auto"/>
            </w:tcBorders>
            <w:shd w:val="clear" w:color="FFFFFF" w:fill="FFFFFF"/>
            <w:vAlign w:val="center"/>
            <w:hideMark/>
          </w:tcPr>
          <w:p w14:paraId="7755A4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17" w:type="pct"/>
            <w:tcBorders>
              <w:top w:val="nil"/>
              <w:left w:val="nil"/>
              <w:bottom w:val="single" w:sz="4" w:space="0" w:color="auto"/>
              <w:right w:val="single" w:sz="4" w:space="0" w:color="auto"/>
            </w:tcBorders>
            <w:shd w:val="clear" w:color="FFFFFF" w:fill="FFFFFF"/>
            <w:vAlign w:val="center"/>
            <w:hideMark/>
          </w:tcPr>
          <w:p w14:paraId="2B9596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600</w:t>
            </w:r>
          </w:p>
        </w:tc>
        <w:tc>
          <w:tcPr>
            <w:tcW w:w="129" w:type="pct"/>
            <w:tcBorders>
              <w:top w:val="nil"/>
              <w:left w:val="nil"/>
              <w:bottom w:val="single" w:sz="4" w:space="0" w:color="auto"/>
              <w:right w:val="single" w:sz="4" w:space="0" w:color="auto"/>
            </w:tcBorders>
            <w:shd w:val="clear" w:color="FFFFFF" w:fill="FFFFFF"/>
            <w:vAlign w:val="center"/>
            <w:hideMark/>
          </w:tcPr>
          <w:p w14:paraId="24B997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EFC1F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4170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E7378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AA312E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CCE2D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1CA5AB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AA65C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Efiçenca e energjisë dhe burimet e rinovueshme të energjisë</w:t>
            </w:r>
          </w:p>
        </w:tc>
        <w:tc>
          <w:tcPr>
            <w:tcW w:w="171" w:type="pct"/>
            <w:tcBorders>
              <w:top w:val="nil"/>
              <w:left w:val="nil"/>
              <w:bottom w:val="single" w:sz="4" w:space="0" w:color="auto"/>
              <w:right w:val="single" w:sz="4" w:space="0" w:color="auto"/>
            </w:tcBorders>
            <w:shd w:val="clear" w:color="FFFFFF" w:fill="FFFFFF"/>
            <w:vAlign w:val="center"/>
            <w:hideMark/>
          </w:tcPr>
          <w:p w14:paraId="7B3AA6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Eficenca e energjise</w:t>
            </w:r>
          </w:p>
        </w:tc>
        <w:tc>
          <w:tcPr>
            <w:tcW w:w="661" w:type="pct"/>
            <w:tcBorders>
              <w:top w:val="nil"/>
              <w:left w:val="nil"/>
              <w:bottom w:val="single" w:sz="4" w:space="0" w:color="auto"/>
              <w:right w:val="single" w:sz="4" w:space="0" w:color="auto"/>
            </w:tcBorders>
            <w:shd w:val="clear" w:color="FFFFFF" w:fill="FFFFFF"/>
            <w:vAlign w:val="center"/>
            <w:hideMark/>
          </w:tcPr>
          <w:p w14:paraId="141D1A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2023/955/BE e Parlamentit Evropian dhe e Këshillit e datës 13.07.2023 për efiçencën e energjisë</w:t>
            </w:r>
          </w:p>
        </w:tc>
        <w:tc>
          <w:tcPr>
            <w:tcW w:w="668" w:type="pct"/>
            <w:tcBorders>
              <w:top w:val="nil"/>
              <w:left w:val="nil"/>
              <w:bottom w:val="single" w:sz="4" w:space="0" w:color="auto"/>
              <w:right w:val="single" w:sz="4" w:space="0" w:color="auto"/>
            </w:tcBorders>
            <w:shd w:val="clear" w:color="auto" w:fill="auto"/>
            <w:vAlign w:val="center"/>
            <w:hideMark/>
          </w:tcPr>
          <w:p w14:paraId="3B9443F9" w14:textId="77777777" w:rsidR="00482167" w:rsidRPr="006D6BE5" w:rsidRDefault="00E63D69" w:rsidP="00A7241A">
            <w:pPr>
              <w:rPr>
                <w:rFonts w:ascii="Arial" w:hAnsi="Arial" w:cs="Arial"/>
                <w:color w:val="0563C1"/>
                <w:sz w:val="4"/>
                <w:szCs w:val="8"/>
                <w:u w:val="single"/>
                <w:lang w:val="sq-AL"/>
              </w:rPr>
            </w:pPr>
            <w:hyperlink r:id="rId214" w:history="1">
              <w:r w:rsidR="00482167" w:rsidRPr="006D6BE5">
                <w:rPr>
                  <w:rFonts w:ascii="Arial" w:hAnsi="Arial" w:cs="Arial"/>
                  <w:color w:val="0563C1"/>
                  <w:sz w:val="4"/>
                  <w:szCs w:val="8"/>
                  <w:u w:val="single"/>
                  <w:lang w:val="sq-AL"/>
                </w:rPr>
                <w:t xml:space="preserve">https://eur-lex.europa.eu/legal-content/EN/TXT/?uri=OJ%3AJOL_2023_231_R_0001 </w:t>
              </w:r>
            </w:hyperlink>
          </w:p>
        </w:tc>
        <w:tc>
          <w:tcPr>
            <w:tcW w:w="506" w:type="pct"/>
            <w:tcBorders>
              <w:top w:val="nil"/>
              <w:left w:val="nil"/>
              <w:bottom w:val="single" w:sz="4" w:space="0" w:color="auto"/>
              <w:right w:val="single" w:sz="4" w:space="0" w:color="auto"/>
            </w:tcBorders>
            <w:shd w:val="clear" w:color="FFFFFF" w:fill="FFFFFF"/>
            <w:vAlign w:val="center"/>
            <w:hideMark/>
          </w:tcPr>
          <w:p w14:paraId="42006F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5D510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Projektligji "Për efiçencën e energjisë" </w:t>
            </w:r>
          </w:p>
        </w:tc>
        <w:tc>
          <w:tcPr>
            <w:tcW w:w="330" w:type="pct"/>
            <w:tcBorders>
              <w:top w:val="nil"/>
              <w:left w:val="nil"/>
              <w:bottom w:val="single" w:sz="4" w:space="0" w:color="auto"/>
              <w:right w:val="single" w:sz="4" w:space="0" w:color="auto"/>
            </w:tcBorders>
            <w:shd w:val="clear" w:color="FFFFFF" w:fill="FFFFFF"/>
            <w:vAlign w:val="center"/>
            <w:hideMark/>
          </w:tcPr>
          <w:p w14:paraId="79D9A0CD" w14:textId="20E8E64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1.Percaktimi i eficencës së energjisë në të gjithë sektorët ekonomik;</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2. Sistemet e menaxhimit të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3. Skemat detyruese</w:t>
            </w:r>
          </w:p>
        </w:tc>
        <w:tc>
          <w:tcPr>
            <w:tcW w:w="126" w:type="pct"/>
            <w:tcBorders>
              <w:top w:val="nil"/>
              <w:left w:val="nil"/>
              <w:bottom w:val="single" w:sz="4" w:space="0" w:color="auto"/>
              <w:right w:val="single" w:sz="4" w:space="0" w:color="auto"/>
            </w:tcBorders>
            <w:shd w:val="clear" w:color="FFFFFF" w:fill="FFFFFF"/>
            <w:vAlign w:val="center"/>
            <w:hideMark/>
          </w:tcPr>
          <w:p w14:paraId="2CFAC3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B211B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02BF8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1F66E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60883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FADB1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57757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1E72E6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90AF3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43E4E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68BD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E3B2B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F0555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C6D69E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D18B5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57E5C5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4D998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Efiçenca e energjisë dhe burimet e rinovueshme të energjisë</w:t>
            </w:r>
          </w:p>
        </w:tc>
        <w:tc>
          <w:tcPr>
            <w:tcW w:w="171" w:type="pct"/>
            <w:tcBorders>
              <w:top w:val="nil"/>
              <w:left w:val="nil"/>
              <w:bottom w:val="single" w:sz="4" w:space="0" w:color="auto"/>
              <w:right w:val="single" w:sz="4" w:space="0" w:color="auto"/>
            </w:tcBorders>
            <w:shd w:val="clear" w:color="FFFFFF" w:fill="FFFFFF"/>
            <w:vAlign w:val="center"/>
            <w:hideMark/>
          </w:tcPr>
          <w:p w14:paraId="4AAF04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Performanca e ndertesave</w:t>
            </w:r>
          </w:p>
        </w:tc>
        <w:tc>
          <w:tcPr>
            <w:tcW w:w="661" w:type="pct"/>
            <w:tcBorders>
              <w:top w:val="nil"/>
              <w:left w:val="nil"/>
              <w:bottom w:val="single" w:sz="4" w:space="0" w:color="auto"/>
              <w:right w:val="single" w:sz="4" w:space="0" w:color="auto"/>
            </w:tcBorders>
            <w:shd w:val="clear" w:color="FFFFFF" w:fill="FFFFFF"/>
            <w:vAlign w:val="center"/>
            <w:hideMark/>
          </w:tcPr>
          <w:p w14:paraId="375652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2018/844/BE e Parlamentit dhe e Këshillit e datës 30.05.2018 për performancën energjitike në ndërtesa</w:t>
            </w:r>
          </w:p>
        </w:tc>
        <w:tc>
          <w:tcPr>
            <w:tcW w:w="668" w:type="pct"/>
            <w:tcBorders>
              <w:top w:val="nil"/>
              <w:left w:val="nil"/>
              <w:bottom w:val="single" w:sz="4" w:space="0" w:color="auto"/>
              <w:right w:val="single" w:sz="4" w:space="0" w:color="auto"/>
            </w:tcBorders>
            <w:shd w:val="clear" w:color="auto" w:fill="auto"/>
            <w:vAlign w:val="center"/>
            <w:hideMark/>
          </w:tcPr>
          <w:p w14:paraId="059D6D6A" w14:textId="77777777" w:rsidR="00482167" w:rsidRPr="006D6BE5" w:rsidRDefault="00E63D69" w:rsidP="00A7241A">
            <w:pPr>
              <w:rPr>
                <w:rFonts w:ascii="Arial" w:hAnsi="Arial" w:cs="Arial"/>
                <w:color w:val="0563C1"/>
                <w:sz w:val="4"/>
                <w:szCs w:val="8"/>
                <w:u w:val="single"/>
                <w:lang w:val="sq-AL"/>
              </w:rPr>
            </w:pPr>
            <w:hyperlink r:id="rId215" w:history="1">
              <w:r w:rsidR="00482167" w:rsidRPr="006D6BE5">
                <w:rPr>
                  <w:rFonts w:ascii="Arial" w:hAnsi="Arial" w:cs="Arial"/>
                  <w:color w:val="0563C1"/>
                  <w:sz w:val="4"/>
                  <w:szCs w:val="8"/>
                  <w:u w:val="single"/>
                  <w:lang w:val="sq-AL"/>
                </w:rPr>
                <w:t xml:space="preserve">https://eur-lex.europa.eu/legal-content/EN/TXT/?uri=uriserv%3AOJ.L_.2018.156.01.0075.01.ENG </w:t>
              </w:r>
            </w:hyperlink>
          </w:p>
        </w:tc>
        <w:tc>
          <w:tcPr>
            <w:tcW w:w="506" w:type="pct"/>
            <w:tcBorders>
              <w:top w:val="nil"/>
              <w:left w:val="nil"/>
              <w:bottom w:val="single" w:sz="4" w:space="0" w:color="auto"/>
              <w:right w:val="single" w:sz="4" w:space="0" w:color="auto"/>
            </w:tcBorders>
            <w:shd w:val="clear" w:color="FFFFFF" w:fill="FFFFFF"/>
            <w:vAlign w:val="center"/>
            <w:hideMark/>
          </w:tcPr>
          <w:p w14:paraId="037B36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8D47F10" w14:textId="6EE9C95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disa ndryshime ne Ligjin 116/2016 "Per performancën e energjise në ndërtesa"</w:t>
            </w:r>
          </w:p>
        </w:tc>
        <w:tc>
          <w:tcPr>
            <w:tcW w:w="330" w:type="pct"/>
            <w:tcBorders>
              <w:top w:val="nil"/>
              <w:left w:val="nil"/>
              <w:bottom w:val="single" w:sz="4" w:space="0" w:color="auto"/>
              <w:right w:val="single" w:sz="4" w:space="0" w:color="auto"/>
            </w:tcBorders>
            <w:shd w:val="clear" w:color="FFFFFF" w:fill="FFFFFF"/>
            <w:vAlign w:val="center"/>
            <w:hideMark/>
          </w:tcPr>
          <w:p w14:paraId="7B1B5E74" w14:textId="5CC5C66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1.Perfshirja e infrastruktures së furnizimit me energji për burimet alternative;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2. Strategjia e rinovimit te ndertesave;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br/>
              <w:t>3. Faturimi i energjise se ngrohje ftohjes;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4. Treguesi i dixhitalizimit te ndertesave</w:t>
            </w:r>
          </w:p>
        </w:tc>
        <w:tc>
          <w:tcPr>
            <w:tcW w:w="126" w:type="pct"/>
            <w:tcBorders>
              <w:top w:val="nil"/>
              <w:left w:val="nil"/>
              <w:bottom w:val="single" w:sz="4" w:space="0" w:color="auto"/>
              <w:right w:val="single" w:sz="4" w:space="0" w:color="auto"/>
            </w:tcBorders>
            <w:shd w:val="clear" w:color="FFFFFF" w:fill="FFFFFF"/>
            <w:vAlign w:val="center"/>
            <w:hideMark/>
          </w:tcPr>
          <w:p w14:paraId="640379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45C23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DC1D5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01EC1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6EAAB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3AED4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51820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29A8A1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554CD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15319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1533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663A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0D2A7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6D2FAE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C844E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3AC877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78B6F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Efiçenca e energjisë dhe burimet e rinovueshme të energjisë</w:t>
            </w:r>
          </w:p>
        </w:tc>
        <w:tc>
          <w:tcPr>
            <w:tcW w:w="171" w:type="pct"/>
            <w:tcBorders>
              <w:top w:val="nil"/>
              <w:left w:val="nil"/>
              <w:bottom w:val="single" w:sz="4" w:space="0" w:color="auto"/>
              <w:right w:val="single" w:sz="4" w:space="0" w:color="auto"/>
            </w:tcBorders>
            <w:shd w:val="clear" w:color="FFFFFF" w:fill="FFFFFF"/>
            <w:vAlign w:val="center"/>
            <w:hideMark/>
          </w:tcPr>
          <w:p w14:paraId="7B3717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Eko-Projektim</w:t>
            </w:r>
          </w:p>
        </w:tc>
        <w:tc>
          <w:tcPr>
            <w:tcW w:w="661" w:type="pct"/>
            <w:tcBorders>
              <w:top w:val="nil"/>
              <w:left w:val="nil"/>
              <w:bottom w:val="single" w:sz="4" w:space="0" w:color="auto"/>
              <w:right w:val="single" w:sz="4" w:space="0" w:color="auto"/>
            </w:tcBorders>
            <w:shd w:val="clear" w:color="FFFFFF" w:fill="FFFFFF"/>
            <w:vAlign w:val="center"/>
            <w:hideMark/>
          </w:tcPr>
          <w:p w14:paraId="0B9CE1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2009/125/EC e Parlamentit Evropian dhe e Këshillit e datës 21 tetor 2009 që vendos një kornizë për vendosjen e kërkesave të projektimit ekologjik për produktet që lidhen me energjinë</w:t>
            </w:r>
          </w:p>
        </w:tc>
        <w:tc>
          <w:tcPr>
            <w:tcW w:w="668" w:type="pct"/>
            <w:tcBorders>
              <w:top w:val="nil"/>
              <w:left w:val="nil"/>
              <w:bottom w:val="single" w:sz="4" w:space="0" w:color="auto"/>
              <w:right w:val="single" w:sz="4" w:space="0" w:color="auto"/>
            </w:tcBorders>
            <w:shd w:val="clear" w:color="auto" w:fill="auto"/>
            <w:vAlign w:val="center"/>
            <w:hideMark/>
          </w:tcPr>
          <w:p w14:paraId="1C78F531" w14:textId="77777777" w:rsidR="00482167" w:rsidRPr="006D6BE5" w:rsidRDefault="00E63D69" w:rsidP="00A7241A">
            <w:pPr>
              <w:rPr>
                <w:rFonts w:ascii="Arial" w:hAnsi="Arial" w:cs="Arial"/>
                <w:color w:val="0563C1"/>
                <w:sz w:val="4"/>
                <w:szCs w:val="8"/>
                <w:u w:val="single"/>
                <w:lang w:val="sq-AL"/>
              </w:rPr>
            </w:pPr>
            <w:hyperlink r:id="rId216" w:history="1">
              <w:r w:rsidR="00482167" w:rsidRPr="006D6BE5">
                <w:rPr>
                  <w:rFonts w:ascii="Arial" w:hAnsi="Arial" w:cs="Arial"/>
                  <w:color w:val="0563C1"/>
                  <w:sz w:val="4"/>
                  <w:szCs w:val="8"/>
                  <w:u w:val="single"/>
                  <w:lang w:val="sq-AL"/>
                </w:rPr>
                <w:t xml:space="preserve">https://eur-lex.europa.eu/legal-content/EN/ALL/?uri=celex%3A32009L0125 </w:t>
              </w:r>
            </w:hyperlink>
          </w:p>
        </w:tc>
        <w:tc>
          <w:tcPr>
            <w:tcW w:w="506" w:type="pct"/>
            <w:tcBorders>
              <w:top w:val="nil"/>
              <w:left w:val="nil"/>
              <w:bottom w:val="single" w:sz="4" w:space="0" w:color="auto"/>
              <w:right w:val="single" w:sz="4" w:space="0" w:color="auto"/>
            </w:tcBorders>
            <w:shd w:val="clear" w:color="FFFFFF" w:fill="FFFFFF"/>
            <w:vAlign w:val="center"/>
            <w:hideMark/>
          </w:tcPr>
          <w:p w14:paraId="676316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F5360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Projektimin Ekologjik për produktet me ndikim ne Energji"</w:t>
            </w:r>
          </w:p>
        </w:tc>
        <w:tc>
          <w:tcPr>
            <w:tcW w:w="330" w:type="pct"/>
            <w:tcBorders>
              <w:top w:val="nil"/>
              <w:left w:val="nil"/>
              <w:bottom w:val="single" w:sz="4" w:space="0" w:color="auto"/>
              <w:right w:val="single" w:sz="4" w:space="0" w:color="auto"/>
            </w:tcBorders>
            <w:shd w:val="clear" w:color="FFFFFF" w:fill="FFFFFF"/>
            <w:vAlign w:val="center"/>
            <w:hideMark/>
          </w:tcPr>
          <w:p w14:paraId="1CAACB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Përmirësimi i konsumit të energjisë për produktet me ndikim në energji;</w:t>
            </w:r>
            <w:r w:rsidRPr="006D6BE5">
              <w:rPr>
                <w:rFonts w:ascii="Arial" w:hAnsi="Arial" w:cs="Arial"/>
                <w:color w:val="000000"/>
                <w:sz w:val="4"/>
                <w:szCs w:val="8"/>
                <w:lang w:val="sq-AL"/>
              </w:rPr>
              <w:br/>
              <w:t>2. Përmirësimi i performancës mjedisore të produkteve;</w:t>
            </w:r>
            <w:r w:rsidRPr="006D6BE5">
              <w:rPr>
                <w:rFonts w:ascii="Arial" w:hAnsi="Arial" w:cs="Arial"/>
                <w:color w:val="000000"/>
                <w:sz w:val="4"/>
                <w:szCs w:val="8"/>
                <w:lang w:val="sq-AL"/>
              </w:rPr>
              <w:br/>
              <w:t>3. Vendosja e detyrimeve për prodhuesit e produkteve me ndikim në energji;</w:t>
            </w:r>
            <w:r w:rsidRPr="006D6BE5">
              <w:rPr>
                <w:rFonts w:ascii="Arial" w:hAnsi="Arial" w:cs="Arial"/>
                <w:color w:val="000000"/>
                <w:sz w:val="4"/>
                <w:szCs w:val="8"/>
                <w:lang w:val="sq-AL"/>
              </w:rPr>
              <w:br/>
              <w:t>4. Sigurimi i lëvizjes së lirë të kësaj kategorie produktesh</w:t>
            </w:r>
          </w:p>
        </w:tc>
        <w:tc>
          <w:tcPr>
            <w:tcW w:w="126" w:type="pct"/>
            <w:tcBorders>
              <w:top w:val="nil"/>
              <w:left w:val="nil"/>
              <w:bottom w:val="single" w:sz="4" w:space="0" w:color="auto"/>
              <w:right w:val="single" w:sz="4" w:space="0" w:color="auto"/>
            </w:tcBorders>
            <w:shd w:val="clear" w:color="FFFFFF" w:fill="FFFFFF"/>
            <w:vAlign w:val="center"/>
            <w:hideMark/>
          </w:tcPr>
          <w:p w14:paraId="5F45FB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AD01B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CA8B3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EFA3F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15F95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AE9FC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D8C1D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635944C3" w14:textId="722F7C8B"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3,617 </w:t>
            </w:r>
          </w:p>
        </w:tc>
        <w:tc>
          <w:tcPr>
            <w:tcW w:w="117" w:type="pct"/>
            <w:tcBorders>
              <w:top w:val="nil"/>
              <w:left w:val="nil"/>
              <w:bottom w:val="single" w:sz="4" w:space="0" w:color="auto"/>
              <w:right w:val="single" w:sz="4" w:space="0" w:color="auto"/>
            </w:tcBorders>
            <w:shd w:val="clear" w:color="FFFFFF" w:fill="FFFFFF"/>
            <w:vAlign w:val="center"/>
            <w:hideMark/>
          </w:tcPr>
          <w:p w14:paraId="72AFCB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D124B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D8D3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62698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1C4D2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BE7D0F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6EF87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5E2438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EA6E4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Efiçenca e energjisë dhe burimet e rinovueshme të energjisë</w:t>
            </w:r>
          </w:p>
        </w:tc>
        <w:tc>
          <w:tcPr>
            <w:tcW w:w="171" w:type="pct"/>
            <w:tcBorders>
              <w:top w:val="nil"/>
              <w:left w:val="nil"/>
              <w:bottom w:val="single" w:sz="4" w:space="0" w:color="auto"/>
              <w:right w:val="single" w:sz="4" w:space="0" w:color="auto"/>
            </w:tcBorders>
            <w:shd w:val="clear" w:color="FFFFFF" w:fill="FFFFFF"/>
            <w:vAlign w:val="center"/>
            <w:hideMark/>
          </w:tcPr>
          <w:p w14:paraId="538CAD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Etiketimi I Energjise</w:t>
            </w:r>
          </w:p>
        </w:tc>
        <w:tc>
          <w:tcPr>
            <w:tcW w:w="661" w:type="pct"/>
            <w:tcBorders>
              <w:top w:val="nil"/>
              <w:left w:val="nil"/>
              <w:bottom w:val="single" w:sz="4" w:space="0" w:color="auto"/>
              <w:right w:val="single" w:sz="4" w:space="0" w:color="auto"/>
            </w:tcBorders>
            <w:shd w:val="clear" w:color="FFFFFF" w:fill="FFFFFF"/>
            <w:vAlign w:val="center"/>
            <w:hideMark/>
          </w:tcPr>
          <w:p w14:paraId="56F26D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2017/1369 e Parlamentit Evropian dhe e Këshillit e datës 4 korrik 2017 që përcakton një kornizë për etiketimin e energjisë dhe shfuqizimin e Direktivës 2010/30/BE</w:t>
            </w:r>
          </w:p>
        </w:tc>
        <w:tc>
          <w:tcPr>
            <w:tcW w:w="668" w:type="pct"/>
            <w:tcBorders>
              <w:top w:val="nil"/>
              <w:left w:val="nil"/>
              <w:bottom w:val="single" w:sz="4" w:space="0" w:color="auto"/>
              <w:right w:val="single" w:sz="4" w:space="0" w:color="auto"/>
            </w:tcBorders>
            <w:shd w:val="clear" w:color="auto" w:fill="auto"/>
            <w:vAlign w:val="center"/>
            <w:hideMark/>
          </w:tcPr>
          <w:p w14:paraId="2D70DCE5" w14:textId="77777777" w:rsidR="00482167" w:rsidRPr="006D6BE5" w:rsidRDefault="00E63D69" w:rsidP="00A7241A">
            <w:pPr>
              <w:rPr>
                <w:rFonts w:ascii="Arial" w:hAnsi="Arial" w:cs="Arial"/>
                <w:color w:val="0563C1"/>
                <w:sz w:val="4"/>
                <w:szCs w:val="8"/>
                <w:u w:val="single"/>
                <w:lang w:val="sq-AL"/>
              </w:rPr>
            </w:pPr>
            <w:hyperlink r:id="rId217" w:history="1">
              <w:r w:rsidR="00482167" w:rsidRPr="006D6BE5">
                <w:rPr>
                  <w:rFonts w:ascii="Arial" w:hAnsi="Arial" w:cs="Arial"/>
                  <w:color w:val="0563C1"/>
                  <w:sz w:val="4"/>
                  <w:szCs w:val="8"/>
                  <w:u w:val="single"/>
                  <w:lang w:val="sq-AL"/>
                </w:rPr>
                <w:t xml:space="preserve">https://eur-lex.europa.eu/eli/reg/2017/1369/oj </w:t>
              </w:r>
            </w:hyperlink>
          </w:p>
        </w:tc>
        <w:tc>
          <w:tcPr>
            <w:tcW w:w="506" w:type="pct"/>
            <w:tcBorders>
              <w:top w:val="nil"/>
              <w:left w:val="nil"/>
              <w:bottom w:val="single" w:sz="4" w:space="0" w:color="auto"/>
              <w:right w:val="single" w:sz="4" w:space="0" w:color="auto"/>
            </w:tcBorders>
            <w:shd w:val="clear" w:color="FFFFFF" w:fill="FFFFFF"/>
            <w:vAlign w:val="center"/>
            <w:hideMark/>
          </w:tcPr>
          <w:p w14:paraId="5DD6F9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B4011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Projektligji "Për etiketimin e produkteve me ndikim në energji"</w:t>
            </w:r>
          </w:p>
        </w:tc>
        <w:tc>
          <w:tcPr>
            <w:tcW w:w="330" w:type="pct"/>
            <w:tcBorders>
              <w:top w:val="nil"/>
              <w:left w:val="nil"/>
              <w:bottom w:val="single" w:sz="4" w:space="0" w:color="auto"/>
              <w:right w:val="single" w:sz="4" w:space="0" w:color="auto"/>
            </w:tcBorders>
            <w:shd w:val="clear" w:color="auto" w:fill="auto"/>
            <w:vAlign w:val="center"/>
            <w:hideMark/>
          </w:tcPr>
          <w:p w14:paraId="03F60C95" w14:textId="610FC91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Etiketimi i produkteve me ndikim ne energji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nga pikëpamja e konsumit të energjisë për informimin e perdoruesit fundor;</w:t>
            </w:r>
            <w:r w:rsidRPr="006D6BE5">
              <w:rPr>
                <w:rFonts w:ascii="Arial" w:hAnsi="Arial" w:cs="Arial"/>
                <w:color w:val="000000"/>
                <w:sz w:val="4"/>
                <w:szCs w:val="8"/>
                <w:lang w:val="sq-AL"/>
              </w:rPr>
              <w:br/>
              <w:t>2. Detyrimet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produktet me ndikim në energji të vendosura në treg ose të vëna në shërbim;</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3. Mbikqyrja e tregut të produkteve me ndikim në energji;</w:t>
            </w:r>
          </w:p>
        </w:tc>
        <w:tc>
          <w:tcPr>
            <w:tcW w:w="126" w:type="pct"/>
            <w:tcBorders>
              <w:top w:val="nil"/>
              <w:left w:val="nil"/>
              <w:bottom w:val="single" w:sz="4" w:space="0" w:color="auto"/>
              <w:right w:val="single" w:sz="4" w:space="0" w:color="auto"/>
            </w:tcBorders>
            <w:shd w:val="clear" w:color="FFFFFF" w:fill="FFFFFF"/>
            <w:vAlign w:val="center"/>
            <w:hideMark/>
          </w:tcPr>
          <w:p w14:paraId="114D60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06BE9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6D8BF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43F8C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4EE72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ABAB6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8076B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904.26</w:t>
            </w:r>
          </w:p>
        </w:tc>
        <w:tc>
          <w:tcPr>
            <w:tcW w:w="126" w:type="pct"/>
            <w:tcBorders>
              <w:top w:val="nil"/>
              <w:left w:val="nil"/>
              <w:bottom w:val="single" w:sz="4" w:space="0" w:color="auto"/>
              <w:right w:val="single" w:sz="4" w:space="0" w:color="auto"/>
            </w:tcBorders>
            <w:shd w:val="clear" w:color="FFFFFF" w:fill="FFFFFF"/>
            <w:vAlign w:val="center"/>
            <w:hideMark/>
          </w:tcPr>
          <w:p w14:paraId="7FA84E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6DF4A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F2D2F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37AD6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8429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B461D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7E6523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74920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3B7376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579F8B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171" w:type="pct"/>
            <w:tcBorders>
              <w:top w:val="nil"/>
              <w:left w:val="nil"/>
              <w:bottom w:val="single" w:sz="4" w:space="0" w:color="auto"/>
              <w:right w:val="single" w:sz="4" w:space="0" w:color="auto"/>
            </w:tcBorders>
            <w:shd w:val="clear" w:color="FFFFFF" w:fill="FFFFFF"/>
            <w:vAlign w:val="center"/>
            <w:hideMark/>
          </w:tcPr>
          <w:p w14:paraId="1EAFE3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Elektriciteti</w:t>
            </w:r>
          </w:p>
        </w:tc>
        <w:tc>
          <w:tcPr>
            <w:tcW w:w="661" w:type="pct"/>
            <w:tcBorders>
              <w:top w:val="nil"/>
              <w:left w:val="nil"/>
              <w:bottom w:val="single" w:sz="4" w:space="0" w:color="auto"/>
              <w:right w:val="single" w:sz="4" w:space="0" w:color="auto"/>
            </w:tcBorders>
            <w:shd w:val="clear" w:color="FFFFFF" w:fill="FFFFFF"/>
            <w:vAlign w:val="center"/>
            <w:hideMark/>
          </w:tcPr>
          <w:p w14:paraId="5CC555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2019/941 e Parlamentit Evropian dhe e Këshillit e datës 5 qershor 2019 mbi gatishmërinë ndaj rrezikut në sektorin e energjisë elektrike dhe shfuqizimin e Direktivës 2005/89/EC</w:t>
            </w:r>
          </w:p>
        </w:tc>
        <w:tc>
          <w:tcPr>
            <w:tcW w:w="668" w:type="pct"/>
            <w:tcBorders>
              <w:top w:val="nil"/>
              <w:left w:val="nil"/>
              <w:bottom w:val="single" w:sz="4" w:space="0" w:color="auto"/>
              <w:right w:val="single" w:sz="4" w:space="0" w:color="auto"/>
            </w:tcBorders>
            <w:shd w:val="clear" w:color="auto" w:fill="auto"/>
            <w:vAlign w:val="center"/>
            <w:hideMark/>
          </w:tcPr>
          <w:p w14:paraId="196AFCA9" w14:textId="77777777" w:rsidR="00482167" w:rsidRPr="006D6BE5" w:rsidRDefault="00E63D69" w:rsidP="00A7241A">
            <w:pPr>
              <w:rPr>
                <w:rFonts w:ascii="Arial" w:hAnsi="Arial" w:cs="Arial"/>
                <w:color w:val="0563C1"/>
                <w:sz w:val="4"/>
                <w:szCs w:val="8"/>
                <w:u w:val="single"/>
                <w:lang w:val="sq-AL"/>
              </w:rPr>
            </w:pPr>
            <w:hyperlink r:id="rId218" w:history="1">
              <w:r w:rsidR="00482167" w:rsidRPr="006D6BE5">
                <w:rPr>
                  <w:rFonts w:ascii="Arial" w:hAnsi="Arial" w:cs="Arial"/>
                  <w:color w:val="0563C1"/>
                  <w:sz w:val="4"/>
                  <w:szCs w:val="8"/>
                  <w:u w:val="single"/>
                  <w:lang w:val="sq-AL"/>
                </w:rPr>
                <w:t xml:space="preserve">https://eur-lex.europa.eu/eli/dir/2014/24/oj </w:t>
              </w:r>
            </w:hyperlink>
          </w:p>
        </w:tc>
        <w:tc>
          <w:tcPr>
            <w:tcW w:w="506" w:type="pct"/>
            <w:tcBorders>
              <w:top w:val="nil"/>
              <w:left w:val="nil"/>
              <w:bottom w:val="single" w:sz="4" w:space="0" w:color="auto"/>
              <w:right w:val="single" w:sz="4" w:space="0" w:color="auto"/>
            </w:tcBorders>
            <w:shd w:val="clear" w:color="FFFFFF" w:fill="FFFFFF"/>
            <w:vAlign w:val="center"/>
            <w:hideMark/>
          </w:tcPr>
          <w:p w14:paraId="386B8C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0F9F1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Rregullores për Sigurinë e Furnizimit dhe Menaxhimin e Riskut në Sektorin e Energjisë Elektrike"</w:t>
            </w:r>
          </w:p>
        </w:tc>
        <w:tc>
          <w:tcPr>
            <w:tcW w:w="330" w:type="pct"/>
            <w:tcBorders>
              <w:top w:val="nil"/>
              <w:left w:val="nil"/>
              <w:bottom w:val="single" w:sz="4" w:space="0" w:color="auto"/>
              <w:right w:val="single" w:sz="4" w:space="0" w:color="auto"/>
            </w:tcBorders>
            <w:shd w:val="clear" w:color="auto" w:fill="auto"/>
            <w:vAlign w:val="center"/>
            <w:hideMark/>
          </w:tcPr>
          <w:p w14:paraId="5FB95841" w14:textId="0F5BA7A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për sigurinë e furnizimit me energji elektrike të cilat përfshijnë masat që duhet të ndërmerren në rastet e situatave emergjente, rolin dhe detyrimet e pjesëmarrësve të tregut të energjisë elektrike në lidhje me sigurinë e furnizimit me energji elektrike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647BB0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8376D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016C7A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39A0C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76480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159373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54B7AB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253DC8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E3E9C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3085B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29845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6B8B1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67B01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3C9939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9ED91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19E378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69163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Tregu i Energjisë</w:t>
            </w:r>
          </w:p>
        </w:tc>
        <w:tc>
          <w:tcPr>
            <w:tcW w:w="171" w:type="pct"/>
            <w:tcBorders>
              <w:top w:val="nil"/>
              <w:left w:val="nil"/>
              <w:bottom w:val="single" w:sz="4" w:space="0" w:color="auto"/>
              <w:right w:val="single" w:sz="4" w:space="0" w:color="auto"/>
            </w:tcBorders>
            <w:shd w:val="clear" w:color="FFFFFF" w:fill="FFFFFF"/>
            <w:vAlign w:val="center"/>
            <w:hideMark/>
          </w:tcPr>
          <w:p w14:paraId="52907E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Elektriciteti</w:t>
            </w:r>
          </w:p>
        </w:tc>
        <w:tc>
          <w:tcPr>
            <w:tcW w:w="661" w:type="pct"/>
            <w:tcBorders>
              <w:top w:val="nil"/>
              <w:left w:val="nil"/>
              <w:bottom w:val="single" w:sz="4" w:space="0" w:color="auto"/>
              <w:right w:val="single" w:sz="4" w:space="0" w:color="auto"/>
            </w:tcBorders>
            <w:shd w:val="clear" w:color="FFFFFF" w:fill="FFFFFF"/>
            <w:vAlign w:val="center"/>
            <w:hideMark/>
          </w:tcPr>
          <w:p w14:paraId="0C63ED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2019/944 e Parlamentit Evropian dhe e Këshillit e datës 5 qershor 2019 mbi rregullat e përbashkëta për tregun e brendshëm të energjisë elektrike dhe ndryshimin e Direktivës 2012/27/BE</w:t>
            </w:r>
          </w:p>
        </w:tc>
        <w:tc>
          <w:tcPr>
            <w:tcW w:w="668" w:type="pct"/>
            <w:tcBorders>
              <w:top w:val="nil"/>
              <w:left w:val="nil"/>
              <w:bottom w:val="single" w:sz="4" w:space="0" w:color="auto"/>
              <w:right w:val="single" w:sz="4" w:space="0" w:color="auto"/>
            </w:tcBorders>
            <w:shd w:val="clear" w:color="auto" w:fill="auto"/>
            <w:vAlign w:val="center"/>
            <w:hideMark/>
          </w:tcPr>
          <w:p w14:paraId="70908A95" w14:textId="77777777" w:rsidR="00482167" w:rsidRPr="006D6BE5" w:rsidRDefault="00E63D69" w:rsidP="00A7241A">
            <w:pPr>
              <w:rPr>
                <w:rFonts w:ascii="Arial" w:hAnsi="Arial" w:cs="Arial"/>
                <w:color w:val="0563C1"/>
                <w:sz w:val="4"/>
                <w:szCs w:val="8"/>
                <w:u w:val="single"/>
                <w:lang w:val="sq-AL"/>
              </w:rPr>
            </w:pPr>
            <w:hyperlink r:id="rId219" w:history="1">
              <w:r w:rsidR="00482167" w:rsidRPr="006D6BE5">
                <w:rPr>
                  <w:rFonts w:ascii="Arial" w:hAnsi="Arial" w:cs="Arial"/>
                  <w:color w:val="0563C1"/>
                  <w:sz w:val="4"/>
                  <w:szCs w:val="8"/>
                  <w:u w:val="single"/>
                  <w:lang w:val="sq-AL"/>
                </w:rPr>
                <w:t xml:space="preserve">http://data.europa.eu/eli/dir/2019/944/oj </w:t>
              </w:r>
            </w:hyperlink>
          </w:p>
        </w:tc>
        <w:tc>
          <w:tcPr>
            <w:tcW w:w="506" w:type="pct"/>
            <w:tcBorders>
              <w:top w:val="nil"/>
              <w:left w:val="nil"/>
              <w:bottom w:val="single" w:sz="4" w:space="0" w:color="auto"/>
              <w:right w:val="single" w:sz="4" w:space="0" w:color="auto"/>
            </w:tcBorders>
            <w:shd w:val="clear" w:color="FFFFFF" w:fill="FFFFFF"/>
            <w:vAlign w:val="center"/>
            <w:hideMark/>
          </w:tcPr>
          <w:p w14:paraId="74215F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F4774C5" w14:textId="0FAAF30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ndryshime në sektorin e energjisë elektrike Nr. 43/2015", i ndryshuar"</w:t>
            </w:r>
          </w:p>
        </w:tc>
        <w:tc>
          <w:tcPr>
            <w:tcW w:w="330" w:type="pct"/>
            <w:tcBorders>
              <w:top w:val="nil"/>
              <w:left w:val="nil"/>
              <w:bottom w:val="single" w:sz="4" w:space="0" w:color="auto"/>
              <w:right w:val="single" w:sz="4" w:space="0" w:color="auto"/>
            </w:tcBorders>
            <w:shd w:val="clear" w:color="auto" w:fill="auto"/>
            <w:vAlign w:val="center"/>
            <w:hideMark/>
          </w:tcPr>
          <w:p w14:paraId="335792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Rregullat e përbashkëta për prodhimin, transmetimin, shpërndarjen dhe furnizimin me energji elektrike, së bashku me dispozitat për mbrojtjen e konsumatorit, me qëllim krijimin e kushteve për një treg të integruar të energjisë elektrike në rajon si dhe përmirësimin e sigurisë së furnizimit dhe funksionimin e përgjithshëm të sistemit energjetik të Shqipërisë </w:t>
            </w:r>
          </w:p>
        </w:tc>
        <w:tc>
          <w:tcPr>
            <w:tcW w:w="126" w:type="pct"/>
            <w:tcBorders>
              <w:top w:val="nil"/>
              <w:left w:val="nil"/>
              <w:bottom w:val="single" w:sz="4" w:space="0" w:color="auto"/>
              <w:right w:val="single" w:sz="4" w:space="0" w:color="auto"/>
            </w:tcBorders>
            <w:shd w:val="clear" w:color="FFFFFF" w:fill="FFFFFF"/>
            <w:vAlign w:val="center"/>
            <w:hideMark/>
          </w:tcPr>
          <w:p w14:paraId="41A364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3442E3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513F6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9D10D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40E4D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3B47C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3E28D9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402347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47E2F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7EED5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8AD6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449B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81BF6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4C0D80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72F88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159E34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15E2F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Tregu i Energjisë</w:t>
            </w:r>
          </w:p>
        </w:tc>
        <w:tc>
          <w:tcPr>
            <w:tcW w:w="171" w:type="pct"/>
            <w:tcBorders>
              <w:top w:val="nil"/>
              <w:left w:val="nil"/>
              <w:bottom w:val="single" w:sz="4" w:space="0" w:color="auto"/>
              <w:right w:val="single" w:sz="4" w:space="0" w:color="auto"/>
            </w:tcBorders>
            <w:shd w:val="clear" w:color="FFFFFF" w:fill="FFFFFF"/>
            <w:vAlign w:val="center"/>
            <w:hideMark/>
          </w:tcPr>
          <w:p w14:paraId="454DD3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Elektriciteti</w:t>
            </w:r>
          </w:p>
        </w:tc>
        <w:tc>
          <w:tcPr>
            <w:tcW w:w="661" w:type="pct"/>
            <w:tcBorders>
              <w:top w:val="nil"/>
              <w:left w:val="nil"/>
              <w:bottom w:val="single" w:sz="4" w:space="0" w:color="auto"/>
              <w:right w:val="single" w:sz="4" w:space="0" w:color="auto"/>
            </w:tcBorders>
            <w:shd w:val="clear" w:color="FFFFFF" w:fill="FFFFFF"/>
            <w:vAlign w:val="center"/>
            <w:hideMark/>
          </w:tcPr>
          <w:p w14:paraId="55B394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2019/943 e Parlamentit Evropian dhe e Këshillit e datës 5 qershor 2019 mbi tregun e brendshëm të energjisë elektrike</w:t>
            </w:r>
          </w:p>
        </w:tc>
        <w:tc>
          <w:tcPr>
            <w:tcW w:w="668" w:type="pct"/>
            <w:tcBorders>
              <w:top w:val="nil"/>
              <w:left w:val="nil"/>
              <w:bottom w:val="single" w:sz="4" w:space="0" w:color="auto"/>
              <w:right w:val="single" w:sz="4" w:space="0" w:color="auto"/>
            </w:tcBorders>
            <w:shd w:val="clear" w:color="auto" w:fill="auto"/>
            <w:vAlign w:val="center"/>
            <w:hideMark/>
          </w:tcPr>
          <w:p w14:paraId="654544B8" w14:textId="77777777" w:rsidR="00482167" w:rsidRPr="006D6BE5" w:rsidRDefault="00E63D69" w:rsidP="00A7241A">
            <w:pPr>
              <w:rPr>
                <w:rFonts w:ascii="Arial" w:hAnsi="Arial" w:cs="Arial"/>
                <w:color w:val="0563C1"/>
                <w:sz w:val="4"/>
                <w:szCs w:val="8"/>
                <w:u w:val="single"/>
                <w:lang w:val="sq-AL"/>
              </w:rPr>
            </w:pPr>
            <w:hyperlink r:id="rId220" w:history="1">
              <w:r w:rsidR="00482167" w:rsidRPr="006D6BE5">
                <w:rPr>
                  <w:rFonts w:ascii="Arial" w:hAnsi="Arial" w:cs="Arial"/>
                  <w:color w:val="0563C1"/>
                  <w:sz w:val="4"/>
                  <w:szCs w:val="8"/>
                  <w:u w:val="single"/>
                  <w:lang w:val="sq-AL"/>
                </w:rPr>
                <w:t xml:space="preserve">http://data.europa.eu/eli/reg/2019/943/oj </w:t>
              </w:r>
            </w:hyperlink>
          </w:p>
        </w:tc>
        <w:tc>
          <w:tcPr>
            <w:tcW w:w="506" w:type="pct"/>
            <w:tcBorders>
              <w:top w:val="nil"/>
              <w:left w:val="nil"/>
              <w:bottom w:val="single" w:sz="4" w:space="0" w:color="auto"/>
              <w:right w:val="single" w:sz="4" w:space="0" w:color="auto"/>
            </w:tcBorders>
            <w:shd w:val="clear" w:color="FFFFFF" w:fill="FFFFFF"/>
            <w:vAlign w:val="center"/>
            <w:hideMark/>
          </w:tcPr>
          <w:p w14:paraId="2D6A25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C21237C" w14:textId="4DB2885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ndryshime në sektorin e energjisë elektrike Nr. 43/2015", i ndryshuar"</w:t>
            </w:r>
          </w:p>
        </w:tc>
        <w:tc>
          <w:tcPr>
            <w:tcW w:w="330" w:type="pct"/>
            <w:tcBorders>
              <w:top w:val="nil"/>
              <w:left w:val="nil"/>
              <w:bottom w:val="single" w:sz="4" w:space="0" w:color="auto"/>
              <w:right w:val="single" w:sz="4" w:space="0" w:color="auto"/>
            </w:tcBorders>
            <w:shd w:val="clear" w:color="auto" w:fill="auto"/>
            <w:vAlign w:val="center"/>
            <w:hideMark/>
          </w:tcPr>
          <w:p w14:paraId="7E5B3A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Rregullat e përbashkëta për prodhimin, transmetimin, shpërndarjen dhe furnizimin me energji elektrike, së bashku me dispozitat për mbrojtjen e konsumatorit, me qëllim krijimin e kushteve për një treg të integruar të energjisë elektrike në rajon, si dhe përmirësimin e sigurisë së furnizimit dhe funksionimin e përgjithshëm të sistemit energjetik të Shqipërisë </w:t>
            </w:r>
          </w:p>
        </w:tc>
        <w:tc>
          <w:tcPr>
            <w:tcW w:w="126" w:type="pct"/>
            <w:tcBorders>
              <w:top w:val="nil"/>
              <w:left w:val="nil"/>
              <w:bottom w:val="single" w:sz="4" w:space="0" w:color="auto"/>
              <w:right w:val="single" w:sz="4" w:space="0" w:color="auto"/>
            </w:tcBorders>
            <w:shd w:val="clear" w:color="FFFFFF" w:fill="FFFFFF"/>
            <w:vAlign w:val="center"/>
            <w:hideMark/>
          </w:tcPr>
          <w:p w14:paraId="0CE863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A31E0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68669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1D8672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9E764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CFCB6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15E788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6E6DFC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C7080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2ED38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1A264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DF1F3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604E4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A8A1AF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52D5A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280793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45AB5F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Tregu i Energjisë</w:t>
            </w:r>
          </w:p>
        </w:tc>
        <w:tc>
          <w:tcPr>
            <w:tcW w:w="171" w:type="pct"/>
            <w:tcBorders>
              <w:top w:val="nil"/>
              <w:left w:val="nil"/>
              <w:bottom w:val="single" w:sz="4" w:space="0" w:color="auto"/>
              <w:right w:val="single" w:sz="4" w:space="0" w:color="auto"/>
            </w:tcBorders>
            <w:shd w:val="clear" w:color="FFFFFF" w:fill="FFFFFF"/>
            <w:vAlign w:val="center"/>
            <w:hideMark/>
          </w:tcPr>
          <w:p w14:paraId="5A71BF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Elektriciteti</w:t>
            </w:r>
          </w:p>
        </w:tc>
        <w:tc>
          <w:tcPr>
            <w:tcW w:w="661" w:type="pct"/>
            <w:tcBorders>
              <w:top w:val="nil"/>
              <w:left w:val="nil"/>
              <w:bottom w:val="single" w:sz="4" w:space="0" w:color="auto"/>
              <w:right w:val="single" w:sz="4" w:space="0" w:color="auto"/>
            </w:tcBorders>
            <w:shd w:val="clear" w:color="FFFFFF" w:fill="FFFFFF"/>
            <w:vAlign w:val="center"/>
            <w:hideMark/>
          </w:tcPr>
          <w:p w14:paraId="58BAC3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ACER- Rregullorja 2019/942 e Parlamenti Evropian dhe Këshillit e datës 5 qershor 2019 për krijimin e Agjencisë së Bashkimit Evropian për Bashkëpunimin e Rregullatorëve të Energjisë</w:t>
            </w:r>
          </w:p>
        </w:tc>
        <w:tc>
          <w:tcPr>
            <w:tcW w:w="668" w:type="pct"/>
            <w:tcBorders>
              <w:top w:val="nil"/>
              <w:left w:val="nil"/>
              <w:bottom w:val="single" w:sz="4" w:space="0" w:color="auto"/>
              <w:right w:val="single" w:sz="4" w:space="0" w:color="auto"/>
            </w:tcBorders>
            <w:shd w:val="clear" w:color="auto" w:fill="auto"/>
            <w:vAlign w:val="center"/>
            <w:hideMark/>
          </w:tcPr>
          <w:p w14:paraId="0FEE5359" w14:textId="77777777" w:rsidR="00482167" w:rsidRPr="006D6BE5" w:rsidRDefault="00E63D69" w:rsidP="00A7241A">
            <w:pPr>
              <w:rPr>
                <w:rFonts w:ascii="Arial" w:hAnsi="Arial" w:cs="Arial"/>
                <w:color w:val="0563C1"/>
                <w:sz w:val="4"/>
                <w:szCs w:val="8"/>
                <w:u w:val="single"/>
                <w:lang w:val="sq-AL"/>
              </w:rPr>
            </w:pPr>
            <w:hyperlink r:id="rId221" w:history="1">
              <w:r w:rsidR="00482167" w:rsidRPr="006D6BE5">
                <w:rPr>
                  <w:rFonts w:ascii="Arial" w:hAnsi="Arial" w:cs="Arial"/>
                  <w:color w:val="0563C1"/>
                  <w:sz w:val="4"/>
                  <w:szCs w:val="8"/>
                  <w:u w:val="single"/>
                  <w:lang w:val="sq-AL"/>
                </w:rPr>
                <w:t xml:space="preserve">http://data.europa.eu/eli/reg/2019/942/oj </w:t>
              </w:r>
            </w:hyperlink>
          </w:p>
        </w:tc>
        <w:tc>
          <w:tcPr>
            <w:tcW w:w="506" w:type="pct"/>
            <w:tcBorders>
              <w:top w:val="nil"/>
              <w:left w:val="nil"/>
              <w:bottom w:val="single" w:sz="4" w:space="0" w:color="auto"/>
              <w:right w:val="single" w:sz="4" w:space="0" w:color="auto"/>
            </w:tcBorders>
            <w:shd w:val="clear" w:color="FFFFFF" w:fill="FFFFFF"/>
            <w:vAlign w:val="center"/>
            <w:hideMark/>
          </w:tcPr>
          <w:p w14:paraId="450028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21E35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 Për përcaktimin e kushteve dhe procedurave për pjesëmarrjen në ACER"</w:t>
            </w:r>
          </w:p>
        </w:tc>
        <w:tc>
          <w:tcPr>
            <w:tcW w:w="330" w:type="pct"/>
            <w:tcBorders>
              <w:top w:val="nil"/>
              <w:left w:val="nil"/>
              <w:bottom w:val="single" w:sz="4" w:space="0" w:color="auto"/>
              <w:right w:val="single" w:sz="4" w:space="0" w:color="auto"/>
            </w:tcBorders>
            <w:shd w:val="clear" w:color="auto" w:fill="auto"/>
            <w:vAlign w:val="center"/>
            <w:hideMark/>
          </w:tcPr>
          <w:p w14:paraId="4BECC8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Përmirësimin e koordinimit ndërmjet autoriteteve rregullatore të energjisë të vendeve të ndryshme për çështjet ndërkufitare</w:t>
            </w:r>
          </w:p>
        </w:tc>
        <w:tc>
          <w:tcPr>
            <w:tcW w:w="126" w:type="pct"/>
            <w:tcBorders>
              <w:top w:val="nil"/>
              <w:left w:val="nil"/>
              <w:bottom w:val="single" w:sz="4" w:space="0" w:color="auto"/>
              <w:right w:val="single" w:sz="4" w:space="0" w:color="auto"/>
            </w:tcBorders>
            <w:shd w:val="clear" w:color="FFFFFF" w:fill="FFFFFF"/>
            <w:vAlign w:val="center"/>
            <w:hideMark/>
          </w:tcPr>
          <w:p w14:paraId="55D621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2C20E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9BC26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20BAB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4B814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5077B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3B087F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5022AD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D6708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4B375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3A262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A733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470E8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12FCEE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F3A49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0A3215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E74C5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Efiçenca e energjisë dhe burimet e rinovueshme të energjisë</w:t>
            </w:r>
          </w:p>
        </w:tc>
        <w:tc>
          <w:tcPr>
            <w:tcW w:w="171" w:type="pct"/>
            <w:tcBorders>
              <w:top w:val="nil"/>
              <w:left w:val="nil"/>
              <w:bottom w:val="single" w:sz="4" w:space="0" w:color="auto"/>
              <w:right w:val="single" w:sz="4" w:space="0" w:color="auto"/>
            </w:tcBorders>
            <w:shd w:val="clear" w:color="FFFFFF" w:fill="FFFFFF"/>
            <w:vAlign w:val="center"/>
            <w:hideMark/>
          </w:tcPr>
          <w:p w14:paraId="20BE8E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Energjia e Rinovueshme</w:t>
            </w:r>
          </w:p>
        </w:tc>
        <w:tc>
          <w:tcPr>
            <w:tcW w:w="661" w:type="pct"/>
            <w:tcBorders>
              <w:top w:val="nil"/>
              <w:left w:val="nil"/>
              <w:bottom w:val="single" w:sz="4" w:space="0" w:color="auto"/>
              <w:right w:val="single" w:sz="4" w:space="0" w:color="auto"/>
            </w:tcBorders>
            <w:shd w:val="clear" w:color="FFFFFF" w:fill="FFFFFF"/>
            <w:vAlign w:val="center"/>
            <w:hideMark/>
          </w:tcPr>
          <w:p w14:paraId="497CBE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(BE) 2022/2577 e datës 22 dhjetor 2022 që përcakton një kornizë për të përshpejtuar vendosjen e energjisë së rinovueshme.</w:t>
            </w:r>
          </w:p>
        </w:tc>
        <w:tc>
          <w:tcPr>
            <w:tcW w:w="668" w:type="pct"/>
            <w:tcBorders>
              <w:top w:val="nil"/>
              <w:left w:val="nil"/>
              <w:bottom w:val="single" w:sz="4" w:space="0" w:color="auto"/>
              <w:right w:val="single" w:sz="4" w:space="0" w:color="auto"/>
            </w:tcBorders>
            <w:shd w:val="clear" w:color="auto" w:fill="auto"/>
            <w:vAlign w:val="center"/>
            <w:hideMark/>
          </w:tcPr>
          <w:p w14:paraId="51AD0596" w14:textId="77777777" w:rsidR="00482167" w:rsidRPr="006D6BE5" w:rsidRDefault="00E63D69" w:rsidP="00A7241A">
            <w:pPr>
              <w:rPr>
                <w:rFonts w:ascii="Arial" w:hAnsi="Arial" w:cs="Arial"/>
                <w:color w:val="0563C1"/>
                <w:sz w:val="4"/>
                <w:szCs w:val="8"/>
                <w:u w:val="single"/>
                <w:lang w:val="sq-AL"/>
              </w:rPr>
            </w:pPr>
            <w:hyperlink r:id="rId222" w:history="1">
              <w:r w:rsidR="00482167" w:rsidRPr="006D6BE5">
                <w:rPr>
                  <w:rFonts w:ascii="Arial" w:hAnsi="Arial" w:cs="Arial"/>
                  <w:color w:val="0563C1"/>
                  <w:sz w:val="4"/>
                  <w:szCs w:val="8"/>
                  <w:u w:val="single"/>
                  <w:lang w:val="sq-AL"/>
                </w:rPr>
                <w:t>http://data.europa.eu/eli/reg/2022/2577/oj</w:t>
              </w:r>
            </w:hyperlink>
          </w:p>
        </w:tc>
        <w:tc>
          <w:tcPr>
            <w:tcW w:w="506" w:type="pct"/>
            <w:tcBorders>
              <w:top w:val="nil"/>
              <w:left w:val="nil"/>
              <w:bottom w:val="single" w:sz="4" w:space="0" w:color="auto"/>
              <w:right w:val="single" w:sz="4" w:space="0" w:color="auto"/>
            </w:tcBorders>
            <w:shd w:val="clear" w:color="FFFFFF" w:fill="FFFFFF"/>
            <w:vAlign w:val="center"/>
            <w:hideMark/>
          </w:tcPr>
          <w:p w14:paraId="75BC31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FC58A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rishikim i VKM-së Nr. 822, datë 7.10.2015 "Për miratimin e rregullave dhe procedurave të ndërtimit të kapaciteteve të reja prodhuese të energjisë elektrike, që nuk janë objekt koncesion", e ndryshuar</w:t>
            </w:r>
          </w:p>
        </w:tc>
        <w:tc>
          <w:tcPr>
            <w:tcW w:w="330" w:type="pct"/>
            <w:tcBorders>
              <w:top w:val="nil"/>
              <w:left w:val="nil"/>
              <w:bottom w:val="single" w:sz="4" w:space="0" w:color="auto"/>
              <w:right w:val="single" w:sz="4" w:space="0" w:color="auto"/>
            </w:tcBorders>
            <w:shd w:val="clear" w:color="auto" w:fill="auto"/>
            <w:vAlign w:val="center"/>
            <w:hideMark/>
          </w:tcPr>
          <w:p w14:paraId="685E0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Kushtet dhe procedurat për të ndihmuar në përshpejtimin procesin e dhënies së lejeve për prodhimin e energjisë nga burimet e rinovueshme të energjisë</w:t>
            </w:r>
          </w:p>
        </w:tc>
        <w:tc>
          <w:tcPr>
            <w:tcW w:w="126" w:type="pct"/>
            <w:tcBorders>
              <w:top w:val="nil"/>
              <w:left w:val="nil"/>
              <w:bottom w:val="single" w:sz="4" w:space="0" w:color="auto"/>
              <w:right w:val="single" w:sz="4" w:space="0" w:color="auto"/>
            </w:tcBorders>
            <w:shd w:val="clear" w:color="FFFFFF" w:fill="FFFFFF"/>
            <w:vAlign w:val="center"/>
            <w:hideMark/>
          </w:tcPr>
          <w:p w14:paraId="7AAD4F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5C387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1923DA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0F8ACD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B0C3F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FF258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F31BC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3,617 </w:t>
            </w:r>
          </w:p>
        </w:tc>
        <w:tc>
          <w:tcPr>
            <w:tcW w:w="126" w:type="pct"/>
            <w:tcBorders>
              <w:top w:val="nil"/>
              <w:left w:val="nil"/>
              <w:bottom w:val="single" w:sz="4" w:space="0" w:color="auto"/>
              <w:right w:val="single" w:sz="4" w:space="0" w:color="auto"/>
            </w:tcBorders>
            <w:shd w:val="clear" w:color="FFFFFF" w:fill="FFFFFF"/>
            <w:vAlign w:val="center"/>
            <w:hideMark/>
          </w:tcPr>
          <w:p w14:paraId="022B1E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B3D2A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4A1C2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B6D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00F2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866F7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07F2F7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220F2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14F27B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35768A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171" w:type="pct"/>
            <w:tcBorders>
              <w:top w:val="nil"/>
              <w:left w:val="nil"/>
              <w:bottom w:val="single" w:sz="4" w:space="0" w:color="auto"/>
              <w:right w:val="single" w:sz="4" w:space="0" w:color="auto"/>
            </w:tcBorders>
            <w:shd w:val="clear" w:color="FFFFFF" w:fill="FFFFFF"/>
            <w:vAlign w:val="center"/>
            <w:hideMark/>
          </w:tcPr>
          <w:p w14:paraId="1F99D8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661" w:type="pct"/>
            <w:tcBorders>
              <w:top w:val="nil"/>
              <w:left w:val="nil"/>
              <w:bottom w:val="single" w:sz="4" w:space="0" w:color="auto"/>
              <w:right w:val="single" w:sz="4" w:space="0" w:color="auto"/>
            </w:tcBorders>
            <w:shd w:val="clear" w:color="FFFFFF" w:fill="FFFFFF"/>
            <w:vAlign w:val="center"/>
            <w:hideMark/>
          </w:tcPr>
          <w:p w14:paraId="6C081C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2009/119/KE e 14 Shtatorit 2009 që vendos një detyrim për shtetet anëtare për të mbajtur rezerva minimale të naftës së papërpunuar dhe/ose produkteve të naftës</w:t>
            </w:r>
          </w:p>
        </w:tc>
        <w:tc>
          <w:tcPr>
            <w:tcW w:w="668" w:type="pct"/>
            <w:tcBorders>
              <w:top w:val="nil"/>
              <w:left w:val="nil"/>
              <w:bottom w:val="single" w:sz="4" w:space="0" w:color="auto"/>
              <w:right w:val="single" w:sz="4" w:space="0" w:color="auto"/>
            </w:tcBorders>
            <w:shd w:val="clear" w:color="auto" w:fill="auto"/>
            <w:vAlign w:val="center"/>
            <w:hideMark/>
          </w:tcPr>
          <w:p w14:paraId="0E378420" w14:textId="3F0C886A" w:rsidR="00482167" w:rsidRPr="006D6BE5" w:rsidRDefault="00E63D69" w:rsidP="00A7241A">
            <w:pPr>
              <w:rPr>
                <w:rFonts w:ascii="Arial" w:hAnsi="Arial" w:cs="Arial"/>
                <w:color w:val="0563C1"/>
                <w:sz w:val="4"/>
                <w:szCs w:val="8"/>
                <w:u w:val="single"/>
                <w:lang w:val="sq-AL"/>
              </w:rPr>
            </w:pPr>
            <w:hyperlink r:id="rId223" w:history="1">
              <w:r w:rsidR="00482167" w:rsidRPr="006D6BE5">
                <w:rPr>
                  <w:rFonts w:ascii="Arial" w:hAnsi="Arial" w:cs="Arial"/>
                  <w:color w:val="0563C1"/>
                  <w:sz w:val="4"/>
                  <w:szCs w:val="8"/>
                  <w:u w:val="single"/>
                  <w:lang w:val="sq-AL"/>
                </w:rPr>
                <w:t>https://eur-lex.europa.eu/eli/dir/2009/119/2020-01-01</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02D483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DBD62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Projekligj "Për krijimin, mirëmbajtjen dhe menaxhimin e rezervave minimale të sigurisë së naftës bruto dhe produkteve të naftës </w:t>
            </w:r>
          </w:p>
        </w:tc>
        <w:tc>
          <w:tcPr>
            <w:tcW w:w="330" w:type="pct"/>
            <w:tcBorders>
              <w:top w:val="nil"/>
              <w:left w:val="nil"/>
              <w:bottom w:val="single" w:sz="4" w:space="0" w:color="auto"/>
              <w:right w:val="single" w:sz="4" w:space="0" w:color="auto"/>
            </w:tcBorders>
            <w:shd w:val="clear" w:color="auto" w:fill="auto"/>
            <w:vAlign w:val="center"/>
            <w:hideMark/>
          </w:tcPr>
          <w:p w14:paraId="556C76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Transpozimin e Direktivës së Këshillit 2009/119 që vendos një detyrim. nga Shtetet Anëtare që të mbajnë rezerva minimale të naftës së papërpunuar dhe/ose produkteve të naftës</w:t>
            </w:r>
          </w:p>
        </w:tc>
        <w:tc>
          <w:tcPr>
            <w:tcW w:w="126" w:type="pct"/>
            <w:tcBorders>
              <w:top w:val="nil"/>
              <w:left w:val="nil"/>
              <w:bottom w:val="single" w:sz="4" w:space="0" w:color="auto"/>
              <w:right w:val="single" w:sz="4" w:space="0" w:color="auto"/>
            </w:tcBorders>
            <w:shd w:val="clear" w:color="FFFFFF" w:fill="FFFFFF"/>
            <w:vAlign w:val="center"/>
            <w:hideMark/>
          </w:tcPr>
          <w:p w14:paraId="3D118D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57DEC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AF70C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629FB5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3FED2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1D338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F26EE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3397A739" w14:textId="287F9C6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3,600 </w:t>
            </w:r>
          </w:p>
        </w:tc>
        <w:tc>
          <w:tcPr>
            <w:tcW w:w="117" w:type="pct"/>
            <w:tcBorders>
              <w:top w:val="nil"/>
              <w:left w:val="nil"/>
              <w:bottom w:val="single" w:sz="4" w:space="0" w:color="auto"/>
              <w:right w:val="single" w:sz="4" w:space="0" w:color="auto"/>
            </w:tcBorders>
            <w:shd w:val="clear" w:color="FFFFFF" w:fill="FFFFFF"/>
            <w:vAlign w:val="center"/>
            <w:hideMark/>
          </w:tcPr>
          <w:p w14:paraId="5BF70B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F83E6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2A31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7BD4E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47CBD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7645F5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A4BEE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4E0E2B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09AEF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171" w:type="pct"/>
            <w:tcBorders>
              <w:top w:val="nil"/>
              <w:left w:val="nil"/>
              <w:bottom w:val="single" w:sz="4" w:space="0" w:color="auto"/>
              <w:right w:val="single" w:sz="4" w:space="0" w:color="auto"/>
            </w:tcBorders>
            <w:shd w:val="clear" w:color="FFFFFF" w:fill="FFFFFF"/>
            <w:vAlign w:val="center"/>
            <w:hideMark/>
          </w:tcPr>
          <w:p w14:paraId="22E4F9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661" w:type="pct"/>
            <w:tcBorders>
              <w:top w:val="nil"/>
              <w:left w:val="nil"/>
              <w:bottom w:val="single" w:sz="4" w:space="0" w:color="auto"/>
              <w:right w:val="single" w:sz="4" w:space="0" w:color="auto"/>
            </w:tcBorders>
            <w:shd w:val="clear" w:color="FFFFFF" w:fill="FFFFFF"/>
            <w:vAlign w:val="center"/>
            <w:hideMark/>
          </w:tcPr>
          <w:p w14:paraId="454DE2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(BE) 2018/2001 e Parlamentit Evropian dhe e Këshillit e datës 11 dhjetor 2018 për promovimin e përdorimit të energjisë nga burimet e rinovueshme (VETËM SEKSIONET në fushën e karburanteve të rinovueshme për sektorin e transportit)</w:t>
            </w:r>
          </w:p>
        </w:tc>
        <w:tc>
          <w:tcPr>
            <w:tcW w:w="668" w:type="pct"/>
            <w:tcBorders>
              <w:top w:val="nil"/>
              <w:left w:val="nil"/>
              <w:bottom w:val="single" w:sz="4" w:space="0" w:color="auto"/>
              <w:right w:val="single" w:sz="4" w:space="0" w:color="auto"/>
            </w:tcBorders>
            <w:shd w:val="clear" w:color="auto" w:fill="auto"/>
            <w:vAlign w:val="center"/>
            <w:hideMark/>
          </w:tcPr>
          <w:p w14:paraId="57E74DB1" w14:textId="154A5DAD" w:rsidR="00482167" w:rsidRPr="006D6BE5" w:rsidRDefault="00E63D69" w:rsidP="00A7241A">
            <w:pPr>
              <w:rPr>
                <w:rFonts w:ascii="Arial" w:hAnsi="Arial" w:cs="Arial"/>
                <w:color w:val="0563C1"/>
                <w:sz w:val="4"/>
                <w:szCs w:val="8"/>
                <w:u w:val="single"/>
                <w:lang w:val="sq-AL"/>
              </w:rPr>
            </w:pPr>
            <w:hyperlink r:id="rId224" w:history="1">
              <w:r w:rsidR="00482167" w:rsidRPr="006D6BE5">
                <w:rPr>
                  <w:rFonts w:ascii="Arial" w:hAnsi="Arial" w:cs="Arial"/>
                  <w:color w:val="0563C1"/>
                  <w:sz w:val="4"/>
                  <w:szCs w:val="8"/>
                  <w:u w:val="single"/>
                  <w:lang w:val="sq-AL"/>
                </w:rPr>
                <w:t>http://data.europa.eu/eli/dir/2018/2001/2022-06-07</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5F9C68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E5371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Projekligj "Për prodhimin, transportin dhe tregtimin e biokarburanteve dhe lëndëve djegëse të tjera të rinovueshme, për transport</w:t>
            </w:r>
          </w:p>
        </w:tc>
        <w:tc>
          <w:tcPr>
            <w:tcW w:w="330" w:type="pct"/>
            <w:tcBorders>
              <w:top w:val="nil"/>
              <w:left w:val="nil"/>
              <w:bottom w:val="single" w:sz="4" w:space="0" w:color="auto"/>
              <w:right w:val="single" w:sz="4" w:space="0" w:color="auto"/>
            </w:tcBorders>
            <w:shd w:val="clear" w:color="auto" w:fill="auto"/>
            <w:vAlign w:val="center"/>
            <w:hideMark/>
          </w:tcPr>
          <w:p w14:paraId="3244D846" w14:textId="3BE3CCF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Promovimi i prodhimit dhe të përdorimit të biokarburanteve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lëndëve të tjera djegëse, të rinovueshme, për zëvendësimin e nënprodukteve të naftës për sektorin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transportit, për të kontribuar në përmbushjen e angazhimeve të ndërmarra, në kuadër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Protokollit të Kiotos për ndryshimet klimatike, si dhe për të siguruar furnizimin e promovimin me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burime energjetike të rinovueshme, nëpërmjet nxitjes e kultivimit të bimëve energjetike, për të mbrojtur mjedisin</w:t>
            </w:r>
          </w:p>
        </w:tc>
        <w:tc>
          <w:tcPr>
            <w:tcW w:w="126" w:type="pct"/>
            <w:tcBorders>
              <w:top w:val="nil"/>
              <w:left w:val="nil"/>
              <w:bottom w:val="single" w:sz="4" w:space="0" w:color="auto"/>
              <w:right w:val="single" w:sz="4" w:space="0" w:color="auto"/>
            </w:tcBorders>
            <w:shd w:val="clear" w:color="FFFFFF" w:fill="FFFFFF"/>
            <w:vAlign w:val="center"/>
            <w:hideMark/>
          </w:tcPr>
          <w:p w14:paraId="1629C1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AFED2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CED30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326F1B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B84B2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CAF9B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7ED64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492AE0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CE180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206CB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AD51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910A8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1B5A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5C1588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0A97F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418803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1A0B7F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171" w:type="pct"/>
            <w:tcBorders>
              <w:top w:val="nil"/>
              <w:left w:val="nil"/>
              <w:bottom w:val="single" w:sz="4" w:space="0" w:color="auto"/>
              <w:right w:val="single" w:sz="4" w:space="0" w:color="auto"/>
            </w:tcBorders>
            <w:shd w:val="clear" w:color="FFFFFF" w:fill="FFFFFF"/>
            <w:vAlign w:val="center"/>
            <w:hideMark/>
          </w:tcPr>
          <w:p w14:paraId="462A1A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e Furnizimit</w:t>
            </w:r>
          </w:p>
        </w:tc>
        <w:tc>
          <w:tcPr>
            <w:tcW w:w="661" w:type="pct"/>
            <w:tcBorders>
              <w:top w:val="nil"/>
              <w:left w:val="nil"/>
              <w:bottom w:val="single" w:sz="4" w:space="0" w:color="auto"/>
              <w:right w:val="single" w:sz="4" w:space="0" w:color="auto"/>
            </w:tcBorders>
            <w:shd w:val="clear" w:color="FFFFFF" w:fill="FFFFFF"/>
            <w:vAlign w:val="center"/>
            <w:hideMark/>
          </w:tcPr>
          <w:p w14:paraId="584749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2022/1032 e Parlamentit Evropian dhe e Këshillit e datës 29 qershor 2022 që ndryshon Rregulloret (BE) 2017/1938 dhe (KE) Nr. 715/2009 në lidhje me ruajtjen e gazit</w:t>
            </w:r>
          </w:p>
        </w:tc>
        <w:tc>
          <w:tcPr>
            <w:tcW w:w="668" w:type="pct"/>
            <w:tcBorders>
              <w:top w:val="nil"/>
              <w:left w:val="nil"/>
              <w:bottom w:val="single" w:sz="4" w:space="0" w:color="auto"/>
              <w:right w:val="single" w:sz="4" w:space="0" w:color="auto"/>
            </w:tcBorders>
            <w:shd w:val="clear" w:color="auto" w:fill="auto"/>
            <w:vAlign w:val="center"/>
            <w:hideMark/>
          </w:tcPr>
          <w:p w14:paraId="41E68115" w14:textId="67D3962B" w:rsidR="00482167" w:rsidRPr="006D6BE5" w:rsidRDefault="00E63D69" w:rsidP="00A7241A">
            <w:pPr>
              <w:rPr>
                <w:rFonts w:ascii="Arial" w:hAnsi="Arial" w:cs="Arial"/>
                <w:color w:val="0563C1"/>
                <w:sz w:val="4"/>
                <w:szCs w:val="8"/>
                <w:u w:val="single"/>
                <w:lang w:val="sq-AL"/>
              </w:rPr>
            </w:pPr>
            <w:hyperlink r:id="rId225" w:history="1">
              <w:r w:rsidR="00482167" w:rsidRPr="006D6BE5">
                <w:rPr>
                  <w:rFonts w:ascii="Arial" w:hAnsi="Arial" w:cs="Arial"/>
                  <w:color w:val="0563C1"/>
                  <w:sz w:val="4"/>
                  <w:szCs w:val="8"/>
                  <w:u w:val="single"/>
                  <w:lang w:val="sq-AL"/>
                </w:rPr>
                <w:t>http://data.europa.eu/eli/reg/2022/1032/oj</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42F2CD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7B093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vendim I Këshillit të Ministrave"Mbi sigurine e furnizimit me gaz natyror nepermjet kapaciteteve depozituese</w:t>
            </w:r>
          </w:p>
        </w:tc>
        <w:tc>
          <w:tcPr>
            <w:tcW w:w="330" w:type="pct"/>
            <w:tcBorders>
              <w:top w:val="nil"/>
              <w:left w:val="nil"/>
              <w:bottom w:val="single" w:sz="4" w:space="0" w:color="auto"/>
              <w:right w:val="single" w:sz="4" w:space="0" w:color="auto"/>
            </w:tcBorders>
            <w:shd w:val="clear" w:color="auto" w:fill="auto"/>
            <w:vAlign w:val="center"/>
            <w:hideMark/>
          </w:tcPr>
          <w:p w14:paraId="4C2709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që mund të forcojnë sigurinë e furnizimit me gaz në nivel lokal dhe rajonal, në veçanti furnizimet me gaz për klientët e mbrojtur. PÇdo Shtet Anëtar duhet, në parim, të sigurojë që objektet nëntokësore të depozitimit të gazit që ndodhen në territorin e tij dhe të ndërlidhura drejtpërdrejt me një zonë tregu të atij Shteti Anëtar, të mbushen të paktën 90% të kapacitetit të tyre në nivel Shteti Anëtar deri më 1 nëntor të këtij viti, cdo vit</w:t>
            </w:r>
          </w:p>
        </w:tc>
        <w:tc>
          <w:tcPr>
            <w:tcW w:w="126" w:type="pct"/>
            <w:tcBorders>
              <w:top w:val="nil"/>
              <w:left w:val="nil"/>
              <w:bottom w:val="single" w:sz="4" w:space="0" w:color="auto"/>
              <w:right w:val="single" w:sz="4" w:space="0" w:color="auto"/>
            </w:tcBorders>
            <w:shd w:val="clear" w:color="FFFFFF" w:fill="FFFFFF"/>
            <w:vAlign w:val="center"/>
            <w:hideMark/>
          </w:tcPr>
          <w:p w14:paraId="10A8C0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4E426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2FA6C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2B9DC0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DE8FC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E2A0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CF971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4883AD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EAC0F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9CD7A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ADD56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39FC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38AFA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095C86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56E44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624BAB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C0142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bërthamore dhe mbrojtja nga rrezatimet</w:t>
            </w:r>
          </w:p>
        </w:tc>
        <w:tc>
          <w:tcPr>
            <w:tcW w:w="171" w:type="pct"/>
            <w:tcBorders>
              <w:top w:val="nil"/>
              <w:left w:val="nil"/>
              <w:bottom w:val="single" w:sz="4" w:space="0" w:color="auto"/>
              <w:right w:val="single" w:sz="4" w:space="0" w:color="auto"/>
            </w:tcBorders>
            <w:shd w:val="clear" w:color="FFFFFF" w:fill="FFFFFF"/>
            <w:vAlign w:val="center"/>
            <w:hideMark/>
          </w:tcPr>
          <w:p w14:paraId="277322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nga rrezatimet</w:t>
            </w:r>
          </w:p>
        </w:tc>
        <w:tc>
          <w:tcPr>
            <w:tcW w:w="661" w:type="pct"/>
            <w:tcBorders>
              <w:top w:val="nil"/>
              <w:left w:val="nil"/>
              <w:bottom w:val="single" w:sz="4" w:space="0" w:color="auto"/>
              <w:right w:val="single" w:sz="4" w:space="0" w:color="auto"/>
            </w:tcBorders>
            <w:shd w:val="clear" w:color="FFFFFF" w:fill="FFFFFF"/>
            <w:vAlign w:val="center"/>
            <w:hideMark/>
          </w:tcPr>
          <w:p w14:paraId="070DAB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2013/51/Euratom e 22 tetorit 2013 që përcakton kërkesat për mbrojtjen e shëndetit të publikut të gjerë në lidhje me substancat radioaktive në ujin e destinuar për konsum njerëzor</w:t>
            </w:r>
          </w:p>
        </w:tc>
        <w:tc>
          <w:tcPr>
            <w:tcW w:w="668" w:type="pct"/>
            <w:tcBorders>
              <w:top w:val="nil"/>
              <w:left w:val="nil"/>
              <w:bottom w:val="single" w:sz="4" w:space="0" w:color="auto"/>
              <w:right w:val="single" w:sz="4" w:space="0" w:color="auto"/>
            </w:tcBorders>
            <w:shd w:val="clear" w:color="auto" w:fill="auto"/>
            <w:vAlign w:val="center"/>
            <w:hideMark/>
          </w:tcPr>
          <w:p w14:paraId="32824CA0" w14:textId="77777777" w:rsidR="00482167" w:rsidRPr="006D6BE5" w:rsidRDefault="00E63D69" w:rsidP="00A7241A">
            <w:pPr>
              <w:rPr>
                <w:rFonts w:ascii="Arial" w:hAnsi="Arial" w:cs="Arial"/>
                <w:color w:val="0563C1"/>
                <w:sz w:val="4"/>
                <w:szCs w:val="8"/>
                <w:u w:val="single"/>
                <w:lang w:val="sq-AL"/>
              </w:rPr>
            </w:pPr>
            <w:hyperlink r:id="rId226" w:history="1">
              <w:r w:rsidR="00482167" w:rsidRPr="006D6BE5">
                <w:rPr>
                  <w:rFonts w:ascii="Arial" w:hAnsi="Arial" w:cs="Arial"/>
                  <w:color w:val="0563C1"/>
                  <w:sz w:val="4"/>
                  <w:szCs w:val="8"/>
                  <w:u w:val="single"/>
                  <w:lang w:val="sq-AL"/>
                </w:rPr>
                <w:t xml:space="preserve">http://data.europa.eu/eli/dir/2013/51/oj </w:t>
              </w:r>
            </w:hyperlink>
          </w:p>
        </w:tc>
        <w:tc>
          <w:tcPr>
            <w:tcW w:w="506" w:type="pct"/>
            <w:tcBorders>
              <w:top w:val="nil"/>
              <w:left w:val="nil"/>
              <w:bottom w:val="single" w:sz="4" w:space="0" w:color="auto"/>
              <w:right w:val="single" w:sz="4" w:space="0" w:color="auto"/>
            </w:tcBorders>
            <w:shd w:val="clear" w:color="FFFFFF" w:fill="FFFFFF"/>
            <w:vAlign w:val="center"/>
            <w:hideMark/>
          </w:tcPr>
          <w:p w14:paraId="4BC25D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A7F88BB" w14:textId="620E5B0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vendim I Këshillit të Ministrave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miratimin e Rregullores “Nivelet e lejuara të radiobërthamave në ujin për konsum njerëzor, për mbrojtjen e publikut"</w:t>
            </w:r>
          </w:p>
        </w:tc>
        <w:tc>
          <w:tcPr>
            <w:tcW w:w="330" w:type="pct"/>
            <w:tcBorders>
              <w:top w:val="nil"/>
              <w:left w:val="nil"/>
              <w:bottom w:val="single" w:sz="4" w:space="0" w:color="auto"/>
              <w:right w:val="single" w:sz="4" w:space="0" w:color="auto"/>
            </w:tcBorders>
            <w:shd w:val="clear" w:color="FFFFFF" w:fill="FFFFFF"/>
            <w:vAlign w:val="center"/>
            <w:hideMark/>
          </w:tcPr>
          <w:p w14:paraId="09AD68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Kërkesat për mbrojtjen e shëndetit të publikut të gjerë me fokus substancat radioaktive në ujërat e destinuara për konsum njerëzor, vlerat parametrike dhe frekuencat dhe metodat e monitorimit të substancave radioaktive, plotësisht në përputhje me Direktivën e Këshillit 2013/51/Euratom të 22 tetorit 2013</w:t>
            </w:r>
          </w:p>
        </w:tc>
        <w:tc>
          <w:tcPr>
            <w:tcW w:w="126" w:type="pct"/>
            <w:tcBorders>
              <w:top w:val="nil"/>
              <w:left w:val="nil"/>
              <w:bottom w:val="single" w:sz="4" w:space="0" w:color="auto"/>
              <w:right w:val="single" w:sz="4" w:space="0" w:color="auto"/>
            </w:tcBorders>
            <w:shd w:val="clear" w:color="FFFFFF" w:fill="FFFFFF"/>
            <w:vAlign w:val="center"/>
            <w:hideMark/>
          </w:tcPr>
          <w:p w14:paraId="5C8110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E6EA5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5E213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5D2450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5428E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55870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CD5B9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1,920 </w:t>
            </w:r>
          </w:p>
        </w:tc>
        <w:tc>
          <w:tcPr>
            <w:tcW w:w="126" w:type="pct"/>
            <w:tcBorders>
              <w:top w:val="nil"/>
              <w:left w:val="nil"/>
              <w:bottom w:val="single" w:sz="4" w:space="0" w:color="auto"/>
              <w:right w:val="single" w:sz="4" w:space="0" w:color="auto"/>
            </w:tcBorders>
            <w:shd w:val="clear" w:color="FFFFFF" w:fill="FFFFFF"/>
            <w:vAlign w:val="center"/>
            <w:hideMark/>
          </w:tcPr>
          <w:p w14:paraId="0E3D6D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5A2C3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02F1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96E67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B7B59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627D1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AC3FB6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D35BE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21E6B9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2B6E53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bërthamore dhe mbrojtja nga rrezatimet</w:t>
            </w:r>
          </w:p>
        </w:tc>
        <w:tc>
          <w:tcPr>
            <w:tcW w:w="171" w:type="pct"/>
            <w:tcBorders>
              <w:top w:val="nil"/>
              <w:left w:val="nil"/>
              <w:bottom w:val="single" w:sz="4" w:space="0" w:color="auto"/>
              <w:right w:val="single" w:sz="4" w:space="0" w:color="auto"/>
            </w:tcBorders>
            <w:shd w:val="clear" w:color="FFFFFF" w:fill="FFFFFF"/>
            <w:vAlign w:val="center"/>
            <w:hideMark/>
          </w:tcPr>
          <w:p w14:paraId="427DA9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nga rrezatimet</w:t>
            </w:r>
          </w:p>
        </w:tc>
        <w:tc>
          <w:tcPr>
            <w:tcW w:w="661" w:type="pct"/>
            <w:tcBorders>
              <w:top w:val="nil"/>
              <w:left w:val="nil"/>
              <w:bottom w:val="single" w:sz="4" w:space="0" w:color="auto"/>
              <w:right w:val="single" w:sz="4" w:space="0" w:color="auto"/>
            </w:tcBorders>
            <w:shd w:val="clear" w:color="FFFFFF" w:fill="FFFFFF"/>
            <w:vAlign w:val="center"/>
            <w:hideMark/>
          </w:tcPr>
          <w:p w14:paraId="69D9A4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2006/117/Euratom e 20 nëntorit 2006 mbi mbikëqyrjen dhe kontrollin e dërgesave të mbetjeve radioaktive dhe karburantit të shpenzuar ndërmjet Shteteve Anëtare dhe brenda dhe jashtë Komunitetit, duke shfuqizuar Direktivën e Këshillit 92/3/Euratom (OJ L 337, 5.12. 2006, f. 21)</w:t>
            </w:r>
            <w:r w:rsidRPr="006D6BE5">
              <w:rPr>
                <w:rFonts w:ascii="Arial" w:hAnsi="Arial" w:cs="Arial"/>
                <w:color w:val="000000"/>
                <w:sz w:val="4"/>
                <w:szCs w:val="8"/>
                <w:lang w:val="sq-AL"/>
              </w:rPr>
              <w:br w:type="page"/>
              <w:t> </w:t>
            </w:r>
            <w:r w:rsidRPr="006D6BE5">
              <w:rPr>
                <w:rFonts w:ascii="Arial" w:hAnsi="Arial" w:cs="Arial"/>
                <w:color w:val="000000"/>
                <w:sz w:val="4"/>
                <w:szCs w:val="8"/>
                <w:lang w:val="sq-AL"/>
              </w:rPr>
              <w:br w:type="page"/>
            </w:r>
          </w:p>
        </w:tc>
        <w:tc>
          <w:tcPr>
            <w:tcW w:w="668" w:type="pct"/>
            <w:tcBorders>
              <w:top w:val="nil"/>
              <w:left w:val="nil"/>
              <w:bottom w:val="single" w:sz="4" w:space="0" w:color="auto"/>
              <w:right w:val="single" w:sz="4" w:space="0" w:color="auto"/>
            </w:tcBorders>
            <w:shd w:val="clear" w:color="auto" w:fill="auto"/>
            <w:vAlign w:val="center"/>
            <w:hideMark/>
          </w:tcPr>
          <w:p w14:paraId="5D7EE312" w14:textId="77777777" w:rsidR="00482167" w:rsidRPr="006D6BE5" w:rsidRDefault="00E63D69" w:rsidP="00A7241A">
            <w:pPr>
              <w:rPr>
                <w:rFonts w:ascii="Arial" w:hAnsi="Arial" w:cs="Arial"/>
                <w:color w:val="0563C1"/>
                <w:sz w:val="4"/>
                <w:szCs w:val="8"/>
                <w:u w:val="single"/>
                <w:lang w:val="sq-AL"/>
              </w:rPr>
            </w:pPr>
            <w:hyperlink r:id="rId227" w:history="1">
              <w:r w:rsidR="00482167" w:rsidRPr="006D6BE5">
                <w:rPr>
                  <w:rFonts w:ascii="Arial" w:hAnsi="Arial" w:cs="Arial"/>
                  <w:color w:val="0563C1"/>
                  <w:sz w:val="4"/>
                  <w:szCs w:val="8"/>
                  <w:u w:val="single"/>
                  <w:lang w:val="sq-AL"/>
                </w:rPr>
                <w:t xml:space="preserve">http://data.europa.eu/eli/dir/2006/117/oj </w:t>
              </w:r>
            </w:hyperlink>
          </w:p>
        </w:tc>
        <w:tc>
          <w:tcPr>
            <w:tcW w:w="506" w:type="pct"/>
            <w:tcBorders>
              <w:top w:val="nil"/>
              <w:left w:val="nil"/>
              <w:bottom w:val="single" w:sz="4" w:space="0" w:color="auto"/>
              <w:right w:val="single" w:sz="4" w:space="0" w:color="auto"/>
            </w:tcBorders>
            <w:shd w:val="clear" w:color="FFFFFF" w:fill="FFFFFF"/>
            <w:vAlign w:val="center"/>
            <w:hideMark/>
          </w:tcPr>
          <w:p w14:paraId="67DA0F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39ABC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kontrollin e dërgesave të mbetjeve radioaktive ndërmjet shtetit anëtar dhe brenda dhe jashtë Komunitetit</w:t>
            </w:r>
          </w:p>
        </w:tc>
        <w:tc>
          <w:tcPr>
            <w:tcW w:w="330" w:type="pct"/>
            <w:tcBorders>
              <w:top w:val="nil"/>
              <w:left w:val="nil"/>
              <w:bottom w:val="single" w:sz="4" w:space="0" w:color="auto"/>
              <w:right w:val="single" w:sz="4" w:space="0" w:color="auto"/>
            </w:tcBorders>
            <w:shd w:val="clear" w:color="FFFFFF" w:fill="FFFFFF"/>
            <w:vAlign w:val="center"/>
            <w:hideMark/>
          </w:tcPr>
          <w:p w14:paraId="524110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Kërkesat për kontrollin e dërgesave të mbetjeve radioaktive ndërmjet shtetit anëtar dhe brenda dhe jashtë Komunitetit dhe të jetë plotësisht në përputhje me Direktivën e Këshillit 2006/117/Euratom të datës 20 nëntor 2006.</w:t>
            </w:r>
          </w:p>
        </w:tc>
        <w:tc>
          <w:tcPr>
            <w:tcW w:w="126" w:type="pct"/>
            <w:tcBorders>
              <w:top w:val="nil"/>
              <w:left w:val="nil"/>
              <w:bottom w:val="single" w:sz="4" w:space="0" w:color="auto"/>
              <w:right w:val="single" w:sz="4" w:space="0" w:color="auto"/>
            </w:tcBorders>
            <w:shd w:val="clear" w:color="FFFFFF" w:fill="FFFFFF"/>
            <w:vAlign w:val="center"/>
            <w:hideMark/>
          </w:tcPr>
          <w:p w14:paraId="2535C5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AF7E7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38371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54A106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077D7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099D9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9295D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1,920 </w:t>
            </w:r>
          </w:p>
        </w:tc>
        <w:tc>
          <w:tcPr>
            <w:tcW w:w="126" w:type="pct"/>
            <w:tcBorders>
              <w:top w:val="nil"/>
              <w:left w:val="nil"/>
              <w:bottom w:val="single" w:sz="4" w:space="0" w:color="auto"/>
              <w:right w:val="single" w:sz="4" w:space="0" w:color="auto"/>
            </w:tcBorders>
            <w:shd w:val="clear" w:color="FFFFFF" w:fill="FFFFFF"/>
            <w:vAlign w:val="center"/>
            <w:hideMark/>
          </w:tcPr>
          <w:p w14:paraId="02F41EA4" w14:textId="3032DF0C"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1,920 </w:t>
            </w:r>
          </w:p>
        </w:tc>
        <w:tc>
          <w:tcPr>
            <w:tcW w:w="117" w:type="pct"/>
            <w:tcBorders>
              <w:top w:val="nil"/>
              <w:left w:val="nil"/>
              <w:bottom w:val="single" w:sz="4" w:space="0" w:color="auto"/>
              <w:right w:val="single" w:sz="4" w:space="0" w:color="auto"/>
            </w:tcBorders>
            <w:shd w:val="clear" w:color="FFFFFF" w:fill="FFFFFF"/>
            <w:vAlign w:val="center"/>
            <w:hideMark/>
          </w:tcPr>
          <w:p w14:paraId="6A481C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B829F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D3F2D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BC939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1A10E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7ABB30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B9013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15</w:t>
            </w:r>
          </w:p>
        </w:tc>
        <w:tc>
          <w:tcPr>
            <w:tcW w:w="144" w:type="pct"/>
            <w:tcBorders>
              <w:top w:val="nil"/>
              <w:left w:val="nil"/>
              <w:bottom w:val="single" w:sz="4" w:space="0" w:color="auto"/>
              <w:right w:val="single" w:sz="4" w:space="0" w:color="auto"/>
            </w:tcBorders>
            <w:shd w:val="clear" w:color="FFFFFF" w:fill="FFFFFF"/>
            <w:vAlign w:val="center"/>
            <w:hideMark/>
          </w:tcPr>
          <w:p w14:paraId="114DE6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749D6B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Siguria bërthamore dhe mbrojtja nga rrezatimet</w:t>
            </w:r>
          </w:p>
        </w:tc>
        <w:tc>
          <w:tcPr>
            <w:tcW w:w="171" w:type="pct"/>
            <w:tcBorders>
              <w:top w:val="nil"/>
              <w:left w:val="nil"/>
              <w:bottom w:val="single" w:sz="4" w:space="0" w:color="auto"/>
              <w:right w:val="single" w:sz="4" w:space="0" w:color="auto"/>
            </w:tcBorders>
            <w:shd w:val="clear" w:color="FFFFFF" w:fill="FFFFFF"/>
            <w:vAlign w:val="center"/>
            <w:hideMark/>
          </w:tcPr>
          <w:p w14:paraId="563D32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Mbrojtja nga rrezatimet</w:t>
            </w:r>
          </w:p>
        </w:tc>
        <w:tc>
          <w:tcPr>
            <w:tcW w:w="661" w:type="pct"/>
            <w:tcBorders>
              <w:top w:val="nil"/>
              <w:left w:val="nil"/>
              <w:bottom w:val="single" w:sz="4" w:space="0" w:color="auto"/>
              <w:right w:val="single" w:sz="4" w:space="0" w:color="auto"/>
            </w:tcBorders>
            <w:shd w:val="clear" w:color="FFFFFF" w:fill="FFFFFF"/>
            <w:vAlign w:val="center"/>
            <w:hideMark/>
          </w:tcPr>
          <w:p w14:paraId="04CAE8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2011/70/Euratom e datës 19 korrik 2011 për krijimin e një kuadri komunitar për menaxhimin e përgjegjsh+E17A14:E18+A13:E18+A12:E18+A11:E18+A10:E18+A9:E18+A8:E18+A7:E18+A6:E18+A5:E18+A+A4:E18</w:t>
            </w:r>
          </w:p>
        </w:tc>
        <w:tc>
          <w:tcPr>
            <w:tcW w:w="668" w:type="pct"/>
            <w:tcBorders>
              <w:top w:val="nil"/>
              <w:left w:val="nil"/>
              <w:bottom w:val="single" w:sz="4" w:space="0" w:color="auto"/>
              <w:right w:val="single" w:sz="4" w:space="0" w:color="auto"/>
            </w:tcBorders>
            <w:shd w:val="clear" w:color="auto" w:fill="auto"/>
            <w:vAlign w:val="center"/>
            <w:hideMark/>
          </w:tcPr>
          <w:p w14:paraId="77381DF1" w14:textId="77777777" w:rsidR="00482167" w:rsidRPr="006D6BE5" w:rsidRDefault="00E63D69" w:rsidP="00A7241A">
            <w:pPr>
              <w:rPr>
                <w:rFonts w:ascii="Arial" w:hAnsi="Arial" w:cs="Arial"/>
                <w:color w:val="0563C1"/>
                <w:sz w:val="4"/>
                <w:szCs w:val="8"/>
                <w:u w:val="single"/>
                <w:lang w:val="sq-AL"/>
              </w:rPr>
            </w:pPr>
            <w:hyperlink r:id="rId228" w:history="1">
              <w:r w:rsidR="00482167" w:rsidRPr="006D6BE5">
                <w:rPr>
                  <w:rFonts w:ascii="Arial" w:hAnsi="Arial" w:cs="Arial"/>
                  <w:color w:val="0563C1"/>
                  <w:sz w:val="4"/>
                  <w:szCs w:val="8"/>
                  <w:u w:val="single"/>
                  <w:lang w:val="sq-AL"/>
                </w:rPr>
                <w:t xml:space="preserve">http://data.europa.eu/eli/dir/2011/70/oj </w:t>
              </w:r>
            </w:hyperlink>
          </w:p>
        </w:tc>
        <w:tc>
          <w:tcPr>
            <w:tcW w:w="506" w:type="pct"/>
            <w:tcBorders>
              <w:top w:val="nil"/>
              <w:left w:val="nil"/>
              <w:bottom w:val="single" w:sz="4" w:space="0" w:color="auto"/>
              <w:right w:val="single" w:sz="4" w:space="0" w:color="auto"/>
            </w:tcBorders>
            <w:shd w:val="clear" w:color="FFFFFF" w:fill="FFFFFF"/>
            <w:vAlign w:val="center"/>
            <w:hideMark/>
          </w:tcPr>
          <w:p w14:paraId="3EE18C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DCD79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 vendim I Këshillit të Ministrave" Për Ndryshimet në VKM nr. 638, datë 7.09.2016 “Për menaxhimin e sigurt të mbetjeve radioaktive në Republikën e Shqipërisë”</w:t>
            </w:r>
          </w:p>
        </w:tc>
        <w:tc>
          <w:tcPr>
            <w:tcW w:w="330" w:type="pct"/>
            <w:tcBorders>
              <w:top w:val="nil"/>
              <w:left w:val="nil"/>
              <w:bottom w:val="single" w:sz="4" w:space="0" w:color="auto"/>
              <w:right w:val="single" w:sz="4" w:space="0" w:color="auto"/>
            </w:tcBorders>
            <w:shd w:val="clear" w:color="auto" w:fill="auto"/>
            <w:vAlign w:val="center"/>
            <w:hideMark/>
          </w:tcPr>
          <w:p w14:paraId="7EC069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Adrisimet e reja të Direktivës në lidhje me boshllëqet apo gjetjet për përafrimin e plotë të Direktivës së Këshillit 2011/70/Euratom të datës 19 korrik 2011</w:t>
            </w:r>
          </w:p>
        </w:tc>
        <w:tc>
          <w:tcPr>
            <w:tcW w:w="126" w:type="pct"/>
            <w:tcBorders>
              <w:top w:val="nil"/>
              <w:left w:val="nil"/>
              <w:bottom w:val="single" w:sz="4" w:space="0" w:color="auto"/>
              <w:right w:val="single" w:sz="4" w:space="0" w:color="auto"/>
            </w:tcBorders>
            <w:shd w:val="clear" w:color="FFFFFF" w:fill="FFFFFF"/>
            <w:vAlign w:val="center"/>
            <w:hideMark/>
          </w:tcPr>
          <w:p w14:paraId="36AEC7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A2798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C2244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MSHMS</w:t>
            </w:r>
          </w:p>
        </w:tc>
        <w:tc>
          <w:tcPr>
            <w:tcW w:w="113" w:type="pct"/>
            <w:tcBorders>
              <w:top w:val="nil"/>
              <w:left w:val="nil"/>
              <w:bottom w:val="single" w:sz="4" w:space="0" w:color="auto"/>
              <w:right w:val="single" w:sz="4" w:space="0" w:color="auto"/>
            </w:tcBorders>
            <w:shd w:val="clear" w:color="FFFFFF" w:fill="FFFFFF"/>
            <w:vAlign w:val="center"/>
            <w:hideMark/>
          </w:tcPr>
          <w:p w14:paraId="199917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211C5B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7FB3B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C2CC1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1,920 </w:t>
            </w:r>
          </w:p>
        </w:tc>
        <w:tc>
          <w:tcPr>
            <w:tcW w:w="126" w:type="pct"/>
            <w:tcBorders>
              <w:top w:val="nil"/>
              <w:left w:val="nil"/>
              <w:bottom w:val="single" w:sz="4" w:space="0" w:color="auto"/>
              <w:right w:val="single" w:sz="4" w:space="0" w:color="auto"/>
            </w:tcBorders>
            <w:shd w:val="clear" w:color="FFFFFF" w:fill="FFFFFF"/>
            <w:vAlign w:val="center"/>
            <w:hideMark/>
          </w:tcPr>
          <w:p w14:paraId="3C015B74" w14:textId="3101D9F7"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1,920 </w:t>
            </w:r>
          </w:p>
        </w:tc>
        <w:tc>
          <w:tcPr>
            <w:tcW w:w="117" w:type="pct"/>
            <w:tcBorders>
              <w:top w:val="nil"/>
              <w:left w:val="nil"/>
              <w:bottom w:val="single" w:sz="4" w:space="0" w:color="auto"/>
              <w:right w:val="single" w:sz="4" w:space="0" w:color="auto"/>
            </w:tcBorders>
            <w:shd w:val="clear" w:color="FFFFFF" w:fill="FFFFFF"/>
            <w:vAlign w:val="center"/>
            <w:hideMark/>
          </w:tcPr>
          <w:p w14:paraId="1B1E43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1,920 </w:t>
            </w:r>
          </w:p>
        </w:tc>
        <w:tc>
          <w:tcPr>
            <w:tcW w:w="129" w:type="pct"/>
            <w:tcBorders>
              <w:top w:val="nil"/>
              <w:left w:val="nil"/>
              <w:bottom w:val="single" w:sz="4" w:space="0" w:color="auto"/>
              <w:right w:val="single" w:sz="4" w:space="0" w:color="auto"/>
            </w:tcBorders>
            <w:shd w:val="clear" w:color="FFFFFF" w:fill="FFFFFF"/>
            <w:vAlign w:val="center"/>
            <w:hideMark/>
          </w:tcPr>
          <w:p w14:paraId="731E3D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A1C6F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FE807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37056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FD91E0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1009C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21</w:t>
            </w:r>
          </w:p>
        </w:tc>
        <w:tc>
          <w:tcPr>
            <w:tcW w:w="144" w:type="pct"/>
            <w:tcBorders>
              <w:top w:val="nil"/>
              <w:left w:val="nil"/>
              <w:bottom w:val="single" w:sz="4" w:space="0" w:color="auto"/>
              <w:right w:val="single" w:sz="4" w:space="0" w:color="auto"/>
            </w:tcBorders>
            <w:shd w:val="clear" w:color="FFFFFF" w:fill="FFFFFF"/>
            <w:vAlign w:val="center"/>
            <w:hideMark/>
          </w:tcPr>
          <w:p w14:paraId="4F804C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65" w:type="pct"/>
            <w:tcBorders>
              <w:top w:val="nil"/>
              <w:left w:val="nil"/>
              <w:bottom w:val="single" w:sz="4" w:space="0" w:color="auto"/>
              <w:right w:val="single" w:sz="4" w:space="0" w:color="auto"/>
            </w:tcBorders>
            <w:shd w:val="clear" w:color="FFFFFF" w:fill="FFFFFF"/>
            <w:vAlign w:val="center"/>
            <w:hideMark/>
          </w:tcPr>
          <w:p w14:paraId="07F1F3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Rrjetet Trans-Europiane</w:t>
            </w:r>
          </w:p>
        </w:tc>
        <w:tc>
          <w:tcPr>
            <w:tcW w:w="171" w:type="pct"/>
            <w:tcBorders>
              <w:top w:val="nil"/>
              <w:left w:val="nil"/>
              <w:bottom w:val="single" w:sz="4" w:space="0" w:color="auto"/>
              <w:right w:val="single" w:sz="4" w:space="0" w:color="auto"/>
            </w:tcBorders>
            <w:shd w:val="clear" w:color="FFFFFF" w:fill="FFFFFF"/>
            <w:vAlign w:val="center"/>
            <w:hideMark/>
          </w:tcPr>
          <w:p w14:paraId="680F98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Infrastruktura energjetike trans-evropiane</w:t>
            </w:r>
          </w:p>
        </w:tc>
        <w:tc>
          <w:tcPr>
            <w:tcW w:w="661" w:type="pct"/>
            <w:tcBorders>
              <w:top w:val="nil"/>
              <w:left w:val="nil"/>
              <w:bottom w:val="single" w:sz="4" w:space="0" w:color="auto"/>
              <w:right w:val="single" w:sz="4" w:space="0" w:color="auto"/>
            </w:tcBorders>
            <w:shd w:val="clear" w:color="FFFFFF" w:fill="FFFFFF"/>
            <w:vAlign w:val="center"/>
            <w:hideMark/>
          </w:tcPr>
          <w:p w14:paraId="39559F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2022/869 e Parlamentit Evropian dhe e Këshillit e datës 30 maj 2022 mbi udhëzimet për infrastrukturën energjetike trans-evropiane, që ndryshon Rregulloret (KE) Nr. 715/2009, (BE) 2019/942 dhe (BE) 2019/ 943 dhe Direktivat 2009/73/KE dhe (BE) 2019/944, si dhe shfuqizimin e Rregullores (BE) Nr. 347/2013</w:t>
            </w:r>
          </w:p>
        </w:tc>
        <w:tc>
          <w:tcPr>
            <w:tcW w:w="668" w:type="pct"/>
            <w:tcBorders>
              <w:top w:val="nil"/>
              <w:left w:val="nil"/>
              <w:bottom w:val="single" w:sz="4" w:space="0" w:color="auto"/>
              <w:right w:val="single" w:sz="4" w:space="0" w:color="auto"/>
            </w:tcBorders>
            <w:shd w:val="clear" w:color="auto" w:fill="auto"/>
            <w:vAlign w:val="center"/>
            <w:hideMark/>
          </w:tcPr>
          <w:p w14:paraId="24C37916" w14:textId="77777777" w:rsidR="00482167" w:rsidRPr="006D6BE5" w:rsidRDefault="00E63D69" w:rsidP="00A7241A">
            <w:pPr>
              <w:rPr>
                <w:rFonts w:ascii="Arial" w:hAnsi="Arial" w:cs="Arial"/>
                <w:color w:val="0563C1"/>
                <w:sz w:val="4"/>
                <w:szCs w:val="8"/>
                <w:u w:val="single"/>
                <w:lang w:val="sq-AL"/>
              </w:rPr>
            </w:pPr>
            <w:hyperlink r:id="rId229" w:history="1">
              <w:r w:rsidR="00482167" w:rsidRPr="006D6BE5">
                <w:rPr>
                  <w:rFonts w:ascii="Arial" w:hAnsi="Arial" w:cs="Arial"/>
                  <w:color w:val="0563C1"/>
                  <w:sz w:val="4"/>
                  <w:szCs w:val="8"/>
                  <w:u w:val="single"/>
                  <w:lang w:val="sq-AL"/>
                </w:rPr>
                <w:t>https://eur-lex.europa.eu/eli/reg/2022/869/oj</w:t>
              </w:r>
            </w:hyperlink>
          </w:p>
        </w:tc>
        <w:tc>
          <w:tcPr>
            <w:tcW w:w="506" w:type="pct"/>
            <w:tcBorders>
              <w:top w:val="nil"/>
              <w:left w:val="nil"/>
              <w:bottom w:val="single" w:sz="4" w:space="0" w:color="auto"/>
              <w:right w:val="single" w:sz="4" w:space="0" w:color="auto"/>
            </w:tcBorders>
            <w:shd w:val="clear" w:color="FFFFFF" w:fill="FFFFFF"/>
            <w:vAlign w:val="center"/>
            <w:hideMark/>
          </w:tcPr>
          <w:p w14:paraId="7A08FF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6497D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zbatimin e projekteve të përbashkëta dhe investimeve rajonale, në infrastrukturën e sektorit të energjisë" (titulli mund të ndryshojë)</w:t>
            </w:r>
          </w:p>
        </w:tc>
        <w:tc>
          <w:tcPr>
            <w:tcW w:w="330" w:type="pct"/>
            <w:tcBorders>
              <w:top w:val="nil"/>
              <w:left w:val="nil"/>
              <w:bottom w:val="single" w:sz="4" w:space="0" w:color="auto"/>
              <w:right w:val="single" w:sz="4" w:space="0" w:color="auto"/>
            </w:tcBorders>
            <w:shd w:val="clear" w:color="auto" w:fill="auto"/>
            <w:vAlign w:val="center"/>
            <w:hideMark/>
          </w:tcPr>
          <w:p w14:paraId="0C698CA9" w14:textId="59EA9C9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Përmirësimi i sigurisë e furnizimit, integrimin e tregut, konkurrencën dhe qëndrueshmërinë në sektorin e energjisë.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Rregullorja e re ka korridoret prioritare për të adresuar objektivat e Marrëveshjes së Gjelbër të BE-së, ndërkohë që zgjeron objektin e tyre për të përfshirë projektet që lidhin BE-në me vendet e treta të emërtuara si Projekte me interes të ndërsjellë (PMI).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PCI dhe PMI do të kualifikohen për ndihmën financiare të BE-së.</w:t>
            </w:r>
          </w:p>
        </w:tc>
        <w:tc>
          <w:tcPr>
            <w:tcW w:w="126" w:type="pct"/>
            <w:tcBorders>
              <w:top w:val="nil"/>
              <w:left w:val="nil"/>
              <w:bottom w:val="single" w:sz="4" w:space="0" w:color="auto"/>
              <w:right w:val="single" w:sz="4" w:space="0" w:color="auto"/>
            </w:tcBorders>
            <w:shd w:val="clear" w:color="FFFFFF" w:fill="FFFFFF"/>
            <w:vAlign w:val="center"/>
            <w:hideMark/>
          </w:tcPr>
          <w:p w14:paraId="4845F0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E259F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445C2F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MIE</w:t>
            </w:r>
          </w:p>
        </w:tc>
        <w:tc>
          <w:tcPr>
            <w:tcW w:w="113" w:type="pct"/>
            <w:tcBorders>
              <w:top w:val="nil"/>
              <w:left w:val="nil"/>
              <w:bottom w:val="single" w:sz="4" w:space="0" w:color="auto"/>
              <w:right w:val="single" w:sz="4" w:space="0" w:color="auto"/>
            </w:tcBorders>
            <w:shd w:val="clear" w:color="FFFFFF" w:fill="FFFFFF"/>
            <w:vAlign w:val="center"/>
            <w:hideMark/>
          </w:tcPr>
          <w:p w14:paraId="1F8A96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2C285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B8A0F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1A823B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143DDC9" w14:textId="6CC7AC4B"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3,617 </w:t>
            </w:r>
          </w:p>
        </w:tc>
        <w:tc>
          <w:tcPr>
            <w:tcW w:w="117" w:type="pct"/>
            <w:tcBorders>
              <w:top w:val="nil"/>
              <w:left w:val="nil"/>
              <w:bottom w:val="single" w:sz="4" w:space="0" w:color="auto"/>
              <w:right w:val="single" w:sz="4" w:space="0" w:color="auto"/>
            </w:tcBorders>
            <w:shd w:val="clear" w:color="FFFFFF" w:fill="FFFFFF"/>
            <w:vAlign w:val="center"/>
            <w:hideMark/>
          </w:tcPr>
          <w:p w14:paraId="73A014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F2F15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C5CF3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F5D8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68DFA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5E1C3C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7626F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166503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C40F969" w14:textId="312414E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Kimikatet</w:t>
            </w:r>
            <w:r w:rsidR="006D6BE5">
              <w:rPr>
                <w:rFonts w:ascii="Arial" w:hAnsi="Arial" w:cs="Arial"/>
                <w:color w:val="000000"/>
                <w:sz w:val="4"/>
                <w:szCs w:val="8"/>
                <w:lang w:val="sq-AL"/>
              </w:rPr>
              <w:t xml:space="preserve"> </w:t>
            </w:r>
          </w:p>
        </w:tc>
        <w:tc>
          <w:tcPr>
            <w:tcW w:w="171" w:type="pct"/>
            <w:tcBorders>
              <w:top w:val="nil"/>
              <w:left w:val="nil"/>
              <w:bottom w:val="single" w:sz="4" w:space="0" w:color="auto"/>
              <w:right w:val="single" w:sz="4" w:space="0" w:color="auto"/>
            </w:tcBorders>
            <w:shd w:val="clear" w:color="FFFFFF" w:fill="FFFFFF"/>
            <w:vAlign w:val="center"/>
            <w:hideMark/>
          </w:tcPr>
          <w:p w14:paraId="23AD0D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0E453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Nr. 649/2012 e Parlamentit Evropian dhe e Këshillit e datës 4 korrik 2012 në lidhje me eksportin dhe importin e kimikateve të rrezikshme (riformuar) (Tekst me rëndësi për ZEE) Teksti me rëndësi për EEA-në</w:t>
            </w:r>
          </w:p>
        </w:tc>
        <w:tc>
          <w:tcPr>
            <w:tcW w:w="668" w:type="pct"/>
            <w:tcBorders>
              <w:top w:val="nil"/>
              <w:left w:val="nil"/>
              <w:bottom w:val="single" w:sz="4" w:space="0" w:color="auto"/>
              <w:right w:val="single" w:sz="4" w:space="0" w:color="auto"/>
            </w:tcBorders>
            <w:shd w:val="clear" w:color="auto" w:fill="auto"/>
            <w:vAlign w:val="center"/>
            <w:hideMark/>
          </w:tcPr>
          <w:p w14:paraId="12590B59" w14:textId="77777777" w:rsidR="00482167" w:rsidRPr="006D6BE5" w:rsidRDefault="00E63D69" w:rsidP="00A7241A">
            <w:pPr>
              <w:rPr>
                <w:rFonts w:ascii="Arial" w:hAnsi="Arial" w:cs="Arial"/>
                <w:color w:val="0563C1"/>
                <w:sz w:val="4"/>
                <w:szCs w:val="8"/>
                <w:u w:val="single"/>
                <w:lang w:val="sq-AL"/>
              </w:rPr>
            </w:pPr>
            <w:hyperlink r:id="rId230" w:history="1">
              <w:r w:rsidR="00482167" w:rsidRPr="006D6BE5">
                <w:rPr>
                  <w:rFonts w:ascii="Arial" w:hAnsi="Arial" w:cs="Arial"/>
                  <w:color w:val="0563C1"/>
                  <w:sz w:val="4"/>
                  <w:szCs w:val="8"/>
                  <w:u w:val="single"/>
                  <w:lang w:val="sq-AL"/>
                </w:rPr>
                <w:t xml:space="preserve">http://data.europa.eu/eli/reg/2012/649/2022-07-01 </w:t>
              </w:r>
            </w:hyperlink>
          </w:p>
        </w:tc>
        <w:tc>
          <w:tcPr>
            <w:tcW w:w="506" w:type="pct"/>
            <w:tcBorders>
              <w:top w:val="nil"/>
              <w:left w:val="nil"/>
              <w:bottom w:val="single" w:sz="4" w:space="0" w:color="auto"/>
              <w:right w:val="single" w:sz="4" w:space="0" w:color="auto"/>
            </w:tcBorders>
            <w:shd w:val="clear" w:color="FFFFFF" w:fill="FFFFFF"/>
            <w:vAlign w:val="center"/>
            <w:hideMark/>
          </w:tcPr>
          <w:p w14:paraId="7D1508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AFFBE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 disa ndryshime ne Vendimin nr. 665, datë 21.9.2016 "Për eksportin dhe importin e kimikateve të rrezikshme"</w:t>
            </w:r>
          </w:p>
        </w:tc>
        <w:tc>
          <w:tcPr>
            <w:tcW w:w="330" w:type="pct"/>
            <w:tcBorders>
              <w:top w:val="nil"/>
              <w:left w:val="nil"/>
              <w:bottom w:val="single" w:sz="4" w:space="0" w:color="auto"/>
              <w:right w:val="single" w:sz="4" w:space="0" w:color="auto"/>
            </w:tcBorders>
            <w:shd w:val="clear" w:color="FFFFFF" w:fill="FFFFFF"/>
            <w:vAlign w:val="center"/>
            <w:hideMark/>
          </w:tcPr>
          <w:p w14:paraId="304A4A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Monitorimi dhe Raportimi lidhur me zbatimin e PIC</w:t>
            </w:r>
          </w:p>
        </w:tc>
        <w:tc>
          <w:tcPr>
            <w:tcW w:w="126" w:type="pct"/>
            <w:tcBorders>
              <w:top w:val="nil"/>
              <w:left w:val="nil"/>
              <w:bottom w:val="single" w:sz="4" w:space="0" w:color="auto"/>
              <w:right w:val="single" w:sz="4" w:space="0" w:color="auto"/>
            </w:tcBorders>
            <w:shd w:val="clear" w:color="FFFFFF" w:fill="FFFFFF"/>
            <w:vAlign w:val="center"/>
            <w:hideMark/>
          </w:tcPr>
          <w:p w14:paraId="2D1ADF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AF89C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E97C1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0ED5C3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9AE4D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ED476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7E2E3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6423057" w14:textId="30BCD3EA"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1,423 </w:t>
            </w:r>
          </w:p>
        </w:tc>
        <w:tc>
          <w:tcPr>
            <w:tcW w:w="117" w:type="pct"/>
            <w:tcBorders>
              <w:top w:val="nil"/>
              <w:left w:val="nil"/>
              <w:bottom w:val="single" w:sz="4" w:space="0" w:color="auto"/>
              <w:right w:val="single" w:sz="4" w:space="0" w:color="auto"/>
            </w:tcBorders>
            <w:shd w:val="clear" w:color="FFFFFF" w:fill="FFFFFF"/>
            <w:vAlign w:val="center"/>
            <w:hideMark/>
          </w:tcPr>
          <w:p w14:paraId="34451F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ACB88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D35E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E88F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CD5EC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B6724B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11FA2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25B544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6072FED" w14:textId="2D82EFB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Kimikatet</w:t>
            </w:r>
            <w:r w:rsidR="006D6BE5">
              <w:rPr>
                <w:rFonts w:ascii="Arial" w:hAnsi="Arial" w:cs="Arial"/>
                <w:color w:val="000000"/>
                <w:sz w:val="4"/>
                <w:szCs w:val="8"/>
                <w:lang w:val="sq-AL"/>
              </w:rPr>
              <w:t xml:space="preserve"> </w:t>
            </w:r>
          </w:p>
        </w:tc>
        <w:tc>
          <w:tcPr>
            <w:tcW w:w="171" w:type="pct"/>
            <w:tcBorders>
              <w:top w:val="nil"/>
              <w:left w:val="nil"/>
              <w:bottom w:val="single" w:sz="4" w:space="0" w:color="auto"/>
              <w:right w:val="single" w:sz="4" w:space="0" w:color="auto"/>
            </w:tcBorders>
            <w:shd w:val="clear" w:color="FFFFFF" w:fill="FFFFFF"/>
            <w:vAlign w:val="center"/>
            <w:hideMark/>
          </w:tcPr>
          <w:p w14:paraId="4CC65C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0CB3C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(EC) Nr 1907/2006 e Parlamentit Evropian dhe e Këshillit e datës 18 Dhjetor 2006 në lidhje me Regjistrimin, Vlerësimin, Autorizimin dhe Kufizimin e Kimikateve (REACH), duke krijuar një Agjenci Evropiane të Kimikateve, duke ndryshuar Direktivën 1999/45/EC dhe duke shfuqizuar Rregullorja e Këshillit (EEC) Nr 793/93 dhe Rregullorja e Komisionit (EC) Nr 1488/94 si dhe Direktiva e Këshillit 76/769/EEC dhe Direktivat e Komisionit 91/155/EEC, 93/67/EEC, 93/105/EC dhe 2000/21/EC (Tekst me rëndësinë e EEA-së) Teksti me rëndësinë e EEA-së</w:t>
            </w:r>
          </w:p>
        </w:tc>
        <w:tc>
          <w:tcPr>
            <w:tcW w:w="668" w:type="pct"/>
            <w:tcBorders>
              <w:top w:val="nil"/>
              <w:left w:val="nil"/>
              <w:bottom w:val="single" w:sz="4" w:space="0" w:color="auto"/>
              <w:right w:val="single" w:sz="4" w:space="0" w:color="auto"/>
            </w:tcBorders>
            <w:shd w:val="clear" w:color="auto" w:fill="auto"/>
            <w:vAlign w:val="center"/>
            <w:hideMark/>
          </w:tcPr>
          <w:p w14:paraId="3FE3D599" w14:textId="77777777" w:rsidR="00482167" w:rsidRPr="006D6BE5" w:rsidRDefault="00E63D69" w:rsidP="00A7241A">
            <w:pPr>
              <w:rPr>
                <w:rFonts w:ascii="Arial" w:hAnsi="Arial" w:cs="Arial"/>
                <w:color w:val="0563C1"/>
                <w:sz w:val="4"/>
                <w:szCs w:val="8"/>
                <w:u w:val="single"/>
                <w:lang w:val="sq-AL"/>
              </w:rPr>
            </w:pPr>
            <w:hyperlink r:id="rId231" w:history="1">
              <w:r w:rsidR="00482167" w:rsidRPr="006D6BE5">
                <w:rPr>
                  <w:rFonts w:ascii="Arial" w:hAnsi="Arial" w:cs="Arial"/>
                  <w:color w:val="0563C1"/>
                  <w:sz w:val="4"/>
                  <w:szCs w:val="8"/>
                  <w:u w:val="single"/>
                  <w:lang w:val="sq-AL"/>
                </w:rPr>
                <w:t xml:space="preserve">http://data.europa.eu/eli/reg/2006/1907/2023-08-06 </w:t>
              </w:r>
              <w:r w:rsidR="00482167" w:rsidRPr="006D6BE5">
                <w:rPr>
                  <w:rFonts w:ascii="Arial" w:hAnsi="Arial" w:cs="Arial"/>
                  <w:color w:val="0563C1"/>
                  <w:sz w:val="4"/>
                  <w:szCs w:val="8"/>
                  <w:u w:val="single"/>
                  <w:lang w:val="sq-AL"/>
                </w:rPr>
                <w:br/>
              </w:r>
            </w:hyperlink>
          </w:p>
        </w:tc>
        <w:tc>
          <w:tcPr>
            <w:tcW w:w="506" w:type="pct"/>
            <w:tcBorders>
              <w:top w:val="nil"/>
              <w:left w:val="nil"/>
              <w:bottom w:val="single" w:sz="4" w:space="0" w:color="auto"/>
              <w:right w:val="single" w:sz="4" w:space="0" w:color="auto"/>
            </w:tcBorders>
            <w:shd w:val="clear" w:color="FFFFFF" w:fill="FFFFFF"/>
            <w:vAlign w:val="center"/>
            <w:hideMark/>
          </w:tcPr>
          <w:p w14:paraId="228628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FBE09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 disa ndryshime ne Vendimin nr. 489, datë 29.6.2016 "Për miratimin e listës së substancave me rrezikshmëri shumë të lartë (SVHC) e të kritereve për përfshirjen e substancave në listën SVHC dhe lëshimin e një autorizimi të kushtëzuar me qëllim vazhdimin e përdorimit të SVHC-ve"</w:t>
            </w:r>
          </w:p>
        </w:tc>
        <w:tc>
          <w:tcPr>
            <w:tcW w:w="330" w:type="pct"/>
            <w:tcBorders>
              <w:top w:val="nil"/>
              <w:left w:val="nil"/>
              <w:bottom w:val="single" w:sz="4" w:space="0" w:color="auto"/>
              <w:right w:val="single" w:sz="4" w:space="0" w:color="auto"/>
            </w:tcBorders>
            <w:shd w:val="clear" w:color="FFFFFF" w:fill="FFFFFF"/>
            <w:vAlign w:val="center"/>
            <w:hideMark/>
          </w:tcPr>
          <w:p w14:paraId="087C5E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Monitorimi dhe raportimi lidhur me zbatimin e REACH</w:t>
            </w:r>
          </w:p>
        </w:tc>
        <w:tc>
          <w:tcPr>
            <w:tcW w:w="126" w:type="pct"/>
            <w:tcBorders>
              <w:top w:val="nil"/>
              <w:left w:val="nil"/>
              <w:bottom w:val="single" w:sz="4" w:space="0" w:color="auto"/>
              <w:right w:val="single" w:sz="4" w:space="0" w:color="auto"/>
            </w:tcBorders>
            <w:shd w:val="clear" w:color="FFFFFF" w:fill="FFFFFF"/>
            <w:vAlign w:val="center"/>
            <w:hideMark/>
          </w:tcPr>
          <w:p w14:paraId="263324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31B65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D0DA5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2F8DBA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6B2C1E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69DB9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BD4FF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55DDE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D4013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1,423 </w:t>
            </w:r>
          </w:p>
        </w:tc>
        <w:tc>
          <w:tcPr>
            <w:tcW w:w="129" w:type="pct"/>
            <w:tcBorders>
              <w:top w:val="nil"/>
              <w:left w:val="nil"/>
              <w:bottom w:val="single" w:sz="4" w:space="0" w:color="auto"/>
              <w:right w:val="single" w:sz="4" w:space="0" w:color="auto"/>
            </w:tcBorders>
            <w:shd w:val="clear" w:color="FFFFFF" w:fill="FFFFFF"/>
            <w:vAlign w:val="center"/>
            <w:hideMark/>
          </w:tcPr>
          <w:p w14:paraId="0E3C11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16D86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C36D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13BBA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826F576" w14:textId="77777777" w:rsidTr="00A7241A">
        <w:trPr>
          <w:trHeight w:val="20"/>
        </w:trPr>
        <w:tc>
          <w:tcPr>
            <w:tcW w:w="165" w:type="pct"/>
            <w:tcBorders>
              <w:top w:val="nil"/>
              <w:left w:val="single" w:sz="4" w:space="0" w:color="auto"/>
              <w:bottom w:val="single" w:sz="4" w:space="0" w:color="auto"/>
              <w:right w:val="single" w:sz="4" w:space="0" w:color="auto"/>
            </w:tcBorders>
            <w:shd w:val="clear" w:color="auto" w:fill="auto"/>
            <w:vAlign w:val="center"/>
            <w:hideMark/>
          </w:tcPr>
          <w:p w14:paraId="3EF86D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auto" w:fill="auto"/>
            <w:vAlign w:val="center"/>
            <w:hideMark/>
          </w:tcPr>
          <w:p w14:paraId="5B850C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auto" w:fill="auto"/>
            <w:vAlign w:val="center"/>
            <w:hideMark/>
          </w:tcPr>
          <w:p w14:paraId="1A46A7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Mbetjet</w:t>
            </w:r>
          </w:p>
        </w:tc>
        <w:tc>
          <w:tcPr>
            <w:tcW w:w="171" w:type="pct"/>
            <w:tcBorders>
              <w:top w:val="nil"/>
              <w:left w:val="nil"/>
              <w:bottom w:val="single" w:sz="4" w:space="0" w:color="auto"/>
              <w:right w:val="single" w:sz="4" w:space="0" w:color="auto"/>
            </w:tcBorders>
            <w:shd w:val="clear" w:color="auto" w:fill="auto"/>
            <w:vAlign w:val="center"/>
            <w:hideMark/>
          </w:tcPr>
          <w:p w14:paraId="239852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auto" w:fill="auto"/>
            <w:vAlign w:val="center"/>
            <w:hideMark/>
          </w:tcPr>
          <w:p w14:paraId="25A1E2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2008/98/EC e Parlamentit Evropian dhe e Keshillit e 19 Nentorit 2008 per mbetjet, e ndryshuar</w:t>
            </w:r>
          </w:p>
        </w:tc>
        <w:tc>
          <w:tcPr>
            <w:tcW w:w="668" w:type="pct"/>
            <w:tcBorders>
              <w:top w:val="nil"/>
              <w:left w:val="nil"/>
              <w:bottom w:val="single" w:sz="4" w:space="0" w:color="auto"/>
              <w:right w:val="single" w:sz="4" w:space="0" w:color="auto"/>
            </w:tcBorders>
            <w:shd w:val="clear" w:color="auto" w:fill="auto"/>
            <w:vAlign w:val="center"/>
            <w:hideMark/>
          </w:tcPr>
          <w:p w14:paraId="4E67EA3F" w14:textId="458B777E" w:rsidR="00482167" w:rsidRPr="006D6BE5" w:rsidRDefault="00E63D69" w:rsidP="00A7241A">
            <w:pPr>
              <w:rPr>
                <w:rFonts w:ascii="Arial" w:hAnsi="Arial" w:cs="Arial"/>
                <w:color w:val="0563C1"/>
                <w:sz w:val="4"/>
                <w:szCs w:val="8"/>
                <w:u w:val="single"/>
                <w:lang w:val="sq-AL"/>
              </w:rPr>
            </w:pPr>
            <w:hyperlink r:id="rId232" w:history="1">
              <w:r w:rsidR="00482167" w:rsidRPr="006D6BE5">
                <w:rPr>
                  <w:rFonts w:ascii="Arial" w:hAnsi="Arial" w:cs="Arial"/>
                  <w:color w:val="0563C1"/>
                  <w:sz w:val="4"/>
                  <w:szCs w:val="8"/>
                  <w:u w:val="single"/>
                  <w:lang w:val="sq-AL"/>
                </w:rPr>
                <w:t>http://data.europa.eu/eli/dir/2008/98/2018-07-05</w:t>
              </w:r>
              <w:r w:rsidR="006D6BE5">
                <w:rPr>
                  <w:rFonts w:ascii="Arial" w:hAnsi="Arial" w:cs="Arial"/>
                  <w:color w:val="0563C1"/>
                  <w:sz w:val="4"/>
                  <w:szCs w:val="8"/>
                  <w:u w:val="single"/>
                  <w:lang w:val="sq-AL"/>
                </w:rPr>
                <w:t xml:space="preserve"> </w:t>
              </w:r>
              <w:r w:rsidR="00482167" w:rsidRP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auto" w:fill="auto"/>
            <w:vAlign w:val="center"/>
            <w:hideMark/>
          </w:tcPr>
          <w:p w14:paraId="03926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auto" w:fill="auto"/>
            <w:vAlign w:val="center"/>
            <w:hideMark/>
          </w:tcPr>
          <w:p w14:paraId="21ACC9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Projektligji 'Për miratimin e masave te nevojshme që çdo person juridik a fizik, i cili zhvillon, prodhon, përpunon, trajton, shet ose importon produkte (prodhuesi i produktit) mbi baza profesionale, të mbajë përgjegjësitë e zgjeruara të prodhuesit" </w:t>
            </w:r>
          </w:p>
        </w:tc>
        <w:tc>
          <w:tcPr>
            <w:tcW w:w="330" w:type="pct"/>
            <w:tcBorders>
              <w:top w:val="nil"/>
              <w:left w:val="nil"/>
              <w:bottom w:val="single" w:sz="4" w:space="0" w:color="auto"/>
              <w:right w:val="single" w:sz="4" w:space="0" w:color="auto"/>
            </w:tcBorders>
            <w:shd w:val="clear" w:color="auto" w:fill="auto"/>
            <w:vAlign w:val="center"/>
            <w:hideMark/>
          </w:tcPr>
          <w:p w14:paraId="7CC1DC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Neni 8 i Direktives Kuader te Mbejteve</w:t>
            </w:r>
          </w:p>
        </w:tc>
        <w:tc>
          <w:tcPr>
            <w:tcW w:w="126" w:type="pct"/>
            <w:tcBorders>
              <w:top w:val="nil"/>
              <w:left w:val="nil"/>
              <w:bottom w:val="single" w:sz="4" w:space="0" w:color="auto"/>
              <w:right w:val="single" w:sz="4" w:space="0" w:color="auto"/>
            </w:tcBorders>
            <w:shd w:val="clear" w:color="auto" w:fill="auto"/>
            <w:vAlign w:val="center"/>
            <w:hideMark/>
          </w:tcPr>
          <w:p w14:paraId="344232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auto" w:fill="auto"/>
            <w:vAlign w:val="center"/>
            <w:hideMark/>
          </w:tcPr>
          <w:p w14:paraId="6AAB23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auto" w:fill="auto"/>
            <w:vAlign w:val="center"/>
            <w:hideMark/>
          </w:tcPr>
          <w:p w14:paraId="426E54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auto" w:fill="auto"/>
            <w:vAlign w:val="center"/>
            <w:hideMark/>
          </w:tcPr>
          <w:p w14:paraId="1DA67A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auto" w:fill="auto"/>
            <w:vAlign w:val="center"/>
            <w:hideMark/>
          </w:tcPr>
          <w:p w14:paraId="16C0F0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auto" w:fill="auto"/>
            <w:vAlign w:val="center"/>
            <w:hideMark/>
          </w:tcPr>
          <w:p w14:paraId="02DFA7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auto" w:fill="auto"/>
            <w:vAlign w:val="center"/>
            <w:hideMark/>
          </w:tcPr>
          <w:p w14:paraId="591D25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400</w:t>
            </w:r>
          </w:p>
        </w:tc>
        <w:tc>
          <w:tcPr>
            <w:tcW w:w="126" w:type="pct"/>
            <w:tcBorders>
              <w:top w:val="nil"/>
              <w:left w:val="nil"/>
              <w:bottom w:val="single" w:sz="4" w:space="0" w:color="auto"/>
              <w:right w:val="single" w:sz="4" w:space="0" w:color="auto"/>
            </w:tcBorders>
            <w:shd w:val="clear" w:color="FFFFFF" w:fill="FFFFFF"/>
            <w:vAlign w:val="center"/>
            <w:hideMark/>
          </w:tcPr>
          <w:p w14:paraId="4E26AD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CECF6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9B5E2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1C01A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1BFC9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596E0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73A024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9A378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1F5194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17AE2A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Mbetjet</w:t>
            </w:r>
          </w:p>
        </w:tc>
        <w:tc>
          <w:tcPr>
            <w:tcW w:w="171" w:type="pct"/>
            <w:tcBorders>
              <w:top w:val="nil"/>
              <w:left w:val="nil"/>
              <w:bottom w:val="single" w:sz="4" w:space="0" w:color="auto"/>
              <w:right w:val="single" w:sz="4" w:space="0" w:color="auto"/>
            </w:tcBorders>
            <w:shd w:val="clear" w:color="FFFFFF" w:fill="FFFFFF"/>
            <w:vAlign w:val="center"/>
            <w:hideMark/>
          </w:tcPr>
          <w:p w14:paraId="0F9345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FDE0F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2008/98/EC e Parlamentit Evropian dhe e Keshillit e 19 Nentorit 2008 per mbetjet, e ndryshuar</w:t>
            </w:r>
          </w:p>
        </w:tc>
        <w:tc>
          <w:tcPr>
            <w:tcW w:w="668" w:type="pct"/>
            <w:tcBorders>
              <w:top w:val="nil"/>
              <w:left w:val="nil"/>
              <w:bottom w:val="single" w:sz="4" w:space="0" w:color="auto"/>
              <w:right w:val="single" w:sz="4" w:space="0" w:color="auto"/>
            </w:tcBorders>
            <w:shd w:val="clear" w:color="auto" w:fill="auto"/>
            <w:vAlign w:val="center"/>
            <w:hideMark/>
          </w:tcPr>
          <w:p w14:paraId="25094117" w14:textId="05F0F4E6" w:rsidR="00482167" w:rsidRPr="006D6BE5" w:rsidRDefault="00E63D69" w:rsidP="00A7241A">
            <w:pPr>
              <w:rPr>
                <w:rFonts w:ascii="Arial" w:hAnsi="Arial" w:cs="Arial"/>
                <w:color w:val="0563C1"/>
                <w:sz w:val="4"/>
                <w:szCs w:val="8"/>
                <w:u w:val="single"/>
                <w:lang w:val="sq-AL"/>
              </w:rPr>
            </w:pPr>
            <w:hyperlink r:id="rId233" w:history="1">
              <w:r w:rsidR="00482167" w:rsidRPr="006D6BE5">
                <w:rPr>
                  <w:rFonts w:ascii="Arial" w:hAnsi="Arial" w:cs="Arial"/>
                  <w:color w:val="0563C1"/>
                  <w:sz w:val="4"/>
                  <w:szCs w:val="8"/>
                  <w:u w:val="single"/>
                  <w:lang w:val="sq-AL"/>
                </w:rPr>
                <w:t>http://data.europa.eu/eli/dir/2008/98/2018-07-05</w:t>
              </w:r>
              <w:r w:rsidR="006D6BE5">
                <w:rPr>
                  <w:rFonts w:ascii="Arial" w:hAnsi="Arial" w:cs="Arial"/>
                  <w:color w:val="0563C1"/>
                  <w:sz w:val="4"/>
                  <w:szCs w:val="8"/>
                  <w:u w:val="single"/>
                  <w:lang w:val="sq-AL"/>
                </w:rPr>
                <w:t xml:space="preserve"> </w:t>
              </w:r>
            </w:hyperlink>
          </w:p>
        </w:tc>
        <w:tc>
          <w:tcPr>
            <w:tcW w:w="506" w:type="pct"/>
            <w:tcBorders>
              <w:top w:val="nil"/>
              <w:left w:val="nil"/>
              <w:bottom w:val="single" w:sz="4" w:space="0" w:color="auto"/>
              <w:right w:val="single" w:sz="4" w:space="0" w:color="auto"/>
            </w:tcBorders>
            <w:shd w:val="clear" w:color="FFFFFF" w:fill="FFFFFF"/>
            <w:vAlign w:val="center"/>
            <w:hideMark/>
          </w:tcPr>
          <w:p w14:paraId="6F12E7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343F7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menaxhimin e integruar te mbetjeve"</w:t>
            </w:r>
          </w:p>
        </w:tc>
        <w:tc>
          <w:tcPr>
            <w:tcW w:w="330" w:type="pct"/>
            <w:tcBorders>
              <w:top w:val="nil"/>
              <w:left w:val="nil"/>
              <w:bottom w:val="single" w:sz="4" w:space="0" w:color="auto"/>
              <w:right w:val="single" w:sz="4" w:space="0" w:color="auto"/>
            </w:tcBorders>
            <w:shd w:val="clear" w:color="FFFFFF" w:fill="FFFFFF"/>
            <w:vAlign w:val="center"/>
            <w:hideMark/>
          </w:tcPr>
          <w:p w14:paraId="218BA1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Menaxhimi i integruar i mbetjeve</w:t>
            </w:r>
          </w:p>
        </w:tc>
        <w:tc>
          <w:tcPr>
            <w:tcW w:w="126" w:type="pct"/>
            <w:tcBorders>
              <w:top w:val="nil"/>
              <w:left w:val="nil"/>
              <w:bottom w:val="single" w:sz="4" w:space="0" w:color="auto"/>
              <w:right w:val="single" w:sz="4" w:space="0" w:color="auto"/>
            </w:tcBorders>
            <w:shd w:val="clear" w:color="FFFFFF" w:fill="FFFFFF"/>
            <w:vAlign w:val="center"/>
            <w:hideMark/>
          </w:tcPr>
          <w:p w14:paraId="04CF14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75071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41CEA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646E19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EC80C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B8792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6AFA10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65BB9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7EE80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3D034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82BD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3A7D9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952C4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296143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775EF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026B30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6529AC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Kontrolli i Ndotjes Industriale</w:t>
            </w:r>
          </w:p>
        </w:tc>
        <w:tc>
          <w:tcPr>
            <w:tcW w:w="171" w:type="pct"/>
            <w:tcBorders>
              <w:top w:val="nil"/>
              <w:left w:val="nil"/>
              <w:bottom w:val="single" w:sz="4" w:space="0" w:color="auto"/>
              <w:right w:val="single" w:sz="4" w:space="0" w:color="auto"/>
            </w:tcBorders>
            <w:shd w:val="clear" w:color="FFFFFF" w:fill="FFFFFF"/>
            <w:vAlign w:val="center"/>
            <w:hideMark/>
          </w:tcPr>
          <w:p w14:paraId="0AD16D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F7491C5" w14:textId="18AF1782"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2010/75/EU e Parlamentit Evropian dhe Keshillit, date 24 nentor 2010 Per shkarkimet industriale (Parandalimi i integruar i ndotjes dhe kontrolli)</w:t>
            </w:r>
            <w:r w:rsidR="006D6BE5">
              <w:rPr>
                <w:rFonts w:ascii="Arial" w:hAnsi="Arial" w:cs="Arial"/>
                <w:color w:val="000000"/>
                <w:sz w:val="4"/>
                <w:szCs w:val="8"/>
                <w:lang w:val="sq-AL"/>
              </w:rPr>
              <w:t xml:space="preserve"> </w:t>
            </w:r>
          </w:p>
        </w:tc>
        <w:tc>
          <w:tcPr>
            <w:tcW w:w="668" w:type="pct"/>
            <w:tcBorders>
              <w:top w:val="nil"/>
              <w:left w:val="nil"/>
              <w:bottom w:val="single" w:sz="4" w:space="0" w:color="auto"/>
              <w:right w:val="single" w:sz="4" w:space="0" w:color="auto"/>
            </w:tcBorders>
            <w:shd w:val="clear" w:color="auto" w:fill="auto"/>
            <w:vAlign w:val="center"/>
            <w:hideMark/>
          </w:tcPr>
          <w:p w14:paraId="560901C4" w14:textId="77777777" w:rsidR="00482167" w:rsidRPr="006D6BE5" w:rsidRDefault="00E63D69" w:rsidP="00A7241A">
            <w:pPr>
              <w:rPr>
                <w:rFonts w:ascii="Arial" w:hAnsi="Arial" w:cs="Arial"/>
                <w:color w:val="0563C1"/>
                <w:sz w:val="4"/>
                <w:szCs w:val="8"/>
                <w:u w:val="single"/>
                <w:lang w:val="sq-AL"/>
              </w:rPr>
            </w:pPr>
            <w:hyperlink r:id="rId234" w:history="1">
              <w:r w:rsidR="00482167" w:rsidRPr="006D6BE5">
                <w:rPr>
                  <w:rFonts w:ascii="Arial" w:hAnsi="Arial" w:cs="Arial"/>
                  <w:color w:val="0563C1"/>
                  <w:sz w:val="4"/>
                  <w:szCs w:val="8"/>
                  <w:u w:val="single"/>
                  <w:lang w:val="sq-AL"/>
                </w:rPr>
                <w:t xml:space="preserve">http://data.europa.eu/eli/dir/2010/75/2011-01-06 </w:t>
              </w:r>
            </w:hyperlink>
          </w:p>
        </w:tc>
        <w:tc>
          <w:tcPr>
            <w:tcW w:w="506" w:type="pct"/>
            <w:tcBorders>
              <w:top w:val="nil"/>
              <w:left w:val="nil"/>
              <w:bottom w:val="single" w:sz="4" w:space="0" w:color="auto"/>
              <w:right w:val="single" w:sz="4" w:space="0" w:color="auto"/>
            </w:tcBorders>
            <w:shd w:val="clear" w:color="FFFFFF" w:fill="FFFFFF"/>
            <w:vAlign w:val="center"/>
            <w:hideMark/>
          </w:tcPr>
          <w:p w14:paraId="329595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FA156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"Per lejet e mjedisit"</w:t>
            </w:r>
          </w:p>
        </w:tc>
        <w:tc>
          <w:tcPr>
            <w:tcW w:w="330" w:type="pct"/>
            <w:tcBorders>
              <w:top w:val="nil"/>
              <w:left w:val="nil"/>
              <w:bottom w:val="single" w:sz="4" w:space="0" w:color="auto"/>
              <w:right w:val="single" w:sz="4" w:space="0" w:color="auto"/>
            </w:tcBorders>
            <w:shd w:val="clear" w:color="auto" w:fill="auto"/>
            <w:vAlign w:val="center"/>
            <w:hideMark/>
          </w:tcPr>
          <w:p w14:paraId="5B6F3C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Përcakton rregullat për parandalimin dhe kontrollin e integruar të ndotjes që vjen nga aktivitetet industriale si dhe rregullat për parandalimin dhe reduktimin e emetimeve në ajër, ujë dhe tokë. </w:t>
            </w:r>
          </w:p>
        </w:tc>
        <w:tc>
          <w:tcPr>
            <w:tcW w:w="126" w:type="pct"/>
            <w:tcBorders>
              <w:top w:val="nil"/>
              <w:left w:val="nil"/>
              <w:bottom w:val="single" w:sz="4" w:space="0" w:color="auto"/>
              <w:right w:val="single" w:sz="4" w:space="0" w:color="auto"/>
            </w:tcBorders>
            <w:shd w:val="clear" w:color="FFFFFF" w:fill="FFFFFF"/>
            <w:vAlign w:val="center"/>
            <w:hideMark/>
          </w:tcPr>
          <w:p w14:paraId="557DD1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6CFB4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94F28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6CD05E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0D3DA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A7977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0F46E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C3745A1" w14:textId="77FCEB68"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1,423 </w:t>
            </w:r>
          </w:p>
        </w:tc>
        <w:tc>
          <w:tcPr>
            <w:tcW w:w="117" w:type="pct"/>
            <w:tcBorders>
              <w:top w:val="nil"/>
              <w:left w:val="nil"/>
              <w:bottom w:val="single" w:sz="4" w:space="0" w:color="auto"/>
              <w:right w:val="single" w:sz="4" w:space="0" w:color="auto"/>
            </w:tcBorders>
            <w:shd w:val="clear" w:color="FFFFFF" w:fill="FFFFFF"/>
            <w:vAlign w:val="center"/>
            <w:hideMark/>
          </w:tcPr>
          <w:p w14:paraId="3F76EE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0B8F8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316B1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89B57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A7481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FED10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292E8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4900E5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4269F8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Ndryshimet klimatike </w:t>
            </w:r>
          </w:p>
        </w:tc>
        <w:tc>
          <w:tcPr>
            <w:tcW w:w="171" w:type="pct"/>
            <w:tcBorders>
              <w:top w:val="nil"/>
              <w:left w:val="nil"/>
              <w:bottom w:val="single" w:sz="4" w:space="0" w:color="auto"/>
              <w:right w:val="single" w:sz="4" w:space="0" w:color="auto"/>
            </w:tcBorders>
            <w:shd w:val="clear" w:color="FFFFFF" w:fill="FFFFFF"/>
            <w:vAlign w:val="center"/>
            <w:hideMark/>
          </w:tcPr>
          <w:p w14:paraId="767954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7B3BE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 Rregullorja e Komisionit (KE) Nr 307/2008 e datës 2 Prill 2008 që përcakton, në zbatim të Rregullores (KE) Nr 842/2006 të Parlamentit Evropian dhe të Këshillit, kërkesat minimale për programet e trajnimit dhe kushtet për njohjen reciproke të trajnimit. vërtetime për personelin në lidhje me sistemet e ajrit të kondicionuar në automjete të caktuara me motor që përmbajnë disa gazra serrë të fluorizuar.</w:t>
            </w:r>
            <w:r w:rsidRPr="006D6BE5">
              <w:rPr>
                <w:rFonts w:ascii="Arial" w:hAnsi="Arial" w:cs="Arial"/>
                <w:color w:val="000000"/>
                <w:sz w:val="4"/>
                <w:szCs w:val="8"/>
                <w:lang w:val="sq-AL"/>
              </w:rPr>
              <w:br/>
              <w:t>2- Teksti i konsoliduar: Rregullorja e Komisionit (KE) Nr. 306/2008 e datës 2 prill 2008 që përcakton, në përputhje me Rregulloren (KE) Nr 842/2006 të Parlamentit Evropian dhe Këshillit, kërkesat minimale dhe kushtet për njohjen reciproke për certifikimin të personelit që rikuperon disa tretës me bazë gazi serrë të fluoruar nga pajisjet, të ndryshuar.</w:t>
            </w:r>
            <w:r w:rsidRPr="006D6BE5">
              <w:rPr>
                <w:rFonts w:ascii="Arial" w:hAnsi="Arial" w:cs="Arial"/>
                <w:color w:val="000000"/>
                <w:sz w:val="4"/>
                <w:szCs w:val="8"/>
                <w:lang w:val="sq-AL"/>
              </w:rPr>
              <w:br/>
              <w:t>3- Rregullorja Zbatuese e Komisionit (BE) 2015/2066 e datës 17 nëntor 2015 që përcakton, në zbatim të Rregullores (BE) Nr. 517/2014 të Parlamentit Evropian dhe Këshillit, kërkesat minimale dhe kushtet për njohjen reciproke për certifikimin e personave fizikë kryerjen e instalimit, servisimit, mirëmbajtjes, riparimit ose dekomisionimit të stabilimenteve elektrike që përmbajnë gazra serrë të fluorizuar ose rikuperimit të gazeve serrë të fluorizuar nga stabilimentet elektrike stacionare.</w:t>
            </w:r>
            <w:r w:rsidRPr="006D6BE5">
              <w:rPr>
                <w:rFonts w:ascii="Arial" w:hAnsi="Arial" w:cs="Arial"/>
                <w:color w:val="000000"/>
                <w:sz w:val="4"/>
                <w:szCs w:val="8"/>
                <w:lang w:val="sq-AL"/>
              </w:rPr>
              <w:br/>
              <w:t>4- Rregullorja e Komisionit (KE) Nr 304/2008 e datës 2 Prill 2008 që përcakton, në zbatim të Rregullores (KE) Nr 842/2006 të Parlamentit Evropian dhe Këshillit, kërkesat minimale dhe kushtet për njohjen reciproke për certifikimin e kompanive dhe personeli për sa i përket sistemeve të palëvizshme të mbrojtjes nga zjarri dhe aparateve të zjarrit që përmbajnë disa gaze serrë të fluorizuar.</w:t>
            </w:r>
            <w:r w:rsidRPr="006D6BE5">
              <w:rPr>
                <w:rFonts w:ascii="Arial" w:hAnsi="Arial" w:cs="Arial"/>
                <w:color w:val="000000"/>
                <w:sz w:val="4"/>
                <w:szCs w:val="8"/>
                <w:lang w:val="sq-AL"/>
              </w:rPr>
              <w:br/>
              <w:t>5- Rregullorja Zbatuese e Komisionit (BE) 2015/2067 e datës 17 nëntor 2015 që përcakton, në zbatim të Rregullores (BE) Nr. 517/2014 të Parlamentit Evropian dhe Këshillit, kërkesat minimale dhe kushtet për njohjen reciproke për certifikimin e personave fizikë në lidhje me pajisjet e ftohjes stacionare, të ajrit të kondicionuar dhe të pompës së nxehtësisë, si dhe njësitë ftohëse të kamionëve frigoriferikë dhe rimorkiove, që përmbajnë gazra serrë të fluorizuar dhe për certifikimin e kompanive përsa i përket pajisjeve të ftohjes stacionare, klimatizimit dhe pompës së nxehtësisë, që përmbajnë gaze serrë të fluorinuara."</w:t>
            </w:r>
          </w:p>
        </w:tc>
        <w:tc>
          <w:tcPr>
            <w:tcW w:w="668" w:type="pct"/>
            <w:tcBorders>
              <w:top w:val="nil"/>
              <w:left w:val="nil"/>
              <w:bottom w:val="single" w:sz="4" w:space="0" w:color="auto"/>
              <w:right w:val="single" w:sz="4" w:space="0" w:color="auto"/>
            </w:tcBorders>
            <w:shd w:val="clear" w:color="auto" w:fill="auto"/>
            <w:vAlign w:val="center"/>
            <w:hideMark/>
          </w:tcPr>
          <w:p w14:paraId="3599923B" w14:textId="77777777" w:rsidR="00482167" w:rsidRPr="006D6BE5" w:rsidRDefault="00E63D69" w:rsidP="00A7241A">
            <w:pPr>
              <w:rPr>
                <w:rFonts w:ascii="Arial" w:hAnsi="Arial" w:cs="Arial"/>
                <w:color w:val="0563C1"/>
                <w:sz w:val="4"/>
                <w:szCs w:val="8"/>
                <w:u w:val="single"/>
                <w:lang w:val="sq-AL"/>
              </w:rPr>
            </w:pPr>
            <w:hyperlink r:id="rId235" w:history="1">
              <w:r w:rsidR="00482167" w:rsidRPr="006D6BE5">
                <w:rPr>
                  <w:rFonts w:ascii="Arial" w:hAnsi="Arial" w:cs="Arial"/>
                  <w:color w:val="0563C1"/>
                  <w:sz w:val="4"/>
                  <w:szCs w:val="8"/>
                  <w:u w:val="single"/>
                  <w:lang w:val="sq-AL"/>
                </w:rPr>
                <w:t xml:space="preserve">http://data.europa.eu/eli/reg/2008/307/oj </w:t>
              </w:r>
            </w:hyperlink>
          </w:p>
        </w:tc>
        <w:tc>
          <w:tcPr>
            <w:tcW w:w="506" w:type="pct"/>
            <w:tcBorders>
              <w:top w:val="nil"/>
              <w:left w:val="nil"/>
              <w:bottom w:val="single" w:sz="4" w:space="0" w:color="auto"/>
              <w:right w:val="single" w:sz="4" w:space="0" w:color="auto"/>
            </w:tcBorders>
            <w:shd w:val="clear" w:color="FFFFFF" w:fill="FFFFFF"/>
            <w:vAlign w:val="center"/>
            <w:hideMark/>
          </w:tcPr>
          <w:p w14:paraId="5F8BA2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AEA88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 percaktimin e skemave te certifikimit dhe kerkesave per procesin e certifkimit te personit"</w:t>
            </w:r>
          </w:p>
        </w:tc>
        <w:tc>
          <w:tcPr>
            <w:tcW w:w="330" w:type="pct"/>
            <w:tcBorders>
              <w:top w:val="nil"/>
              <w:left w:val="nil"/>
              <w:bottom w:val="single" w:sz="4" w:space="0" w:color="auto"/>
              <w:right w:val="single" w:sz="4" w:space="0" w:color="auto"/>
            </w:tcBorders>
            <w:shd w:val="clear" w:color="FFFFFF" w:fill="FFFFFF"/>
            <w:vAlign w:val="center"/>
            <w:hideMark/>
          </w:tcPr>
          <w:p w14:paraId="62892E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Percaktimi i skemave te certifikimit te personave qe meren me gazet serre te fluorura </w:t>
            </w:r>
          </w:p>
        </w:tc>
        <w:tc>
          <w:tcPr>
            <w:tcW w:w="126" w:type="pct"/>
            <w:tcBorders>
              <w:top w:val="nil"/>
              <w:left w:val="nil"/>
              <w:bottom w:val="single" w:sz="4" w:space="0" w:color="auto"/>
              <w:right w:val="single" w:sz="4" w:space="0" w:color="auto"/>
            </w:tcBorders>
            <w:shd w:val="clear" w:color="FFFFFF" w:fill="FFFFFF"/>
            <w:vAlign w:val="center"/>
            <w:hideMark/>
          </w:tcPr>
          <w:p w14:paraId="43D581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0CC94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367C0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13" w:type="pct"/>
            <w:tcBorders>
              <w:top w:val="nil"/>
              <w:left w:val="nil"/>
              <w:bottom w:val="single" w:sz="4" w:space="0" w:color="auto"/>
              <w:right w:val="single" w:sz="4" w:space="0" w:color="auto"/>
            </w:tcBorders>
            <w:shd w:val="clear" w:color="FFFFFF" w:fill="FFFFFF"/>
            <w:vAlign w:val="center"/>
            <w:hideMark/>
          </w:tcPr>
          <w:p w14:paraId="6E543F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10EC8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F2A91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F2827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1,423 </w:t>
            </w:r>
          </w:p>
        </w:tc>
        <w:tc>
          <w:tcPr>
            <w:tcW w:w="126" w:type="pct"/>
            <w:tcBorders>
              <w:top w:val="nil"/>
              <w:left w:val="nil"/>
              <w:bottom w:val="single" w:sz="4" w:space="0" w:color="auto"/>
              <w:right w:val="single" w:sz="4" w:space="0" w:color="auto"/>
            </w:tcBorders>
            <w:shd w:val="clear" w:color="FFFFFF" w:fill="FFFFFF"/>
            <w:vAlign w:val="center"/>
            <w:hideMark/>
          </w:tcPr>
          <w:p w14:paraId="027CBA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61E5F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64507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13CE7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8820F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08DE1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AABD9E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3A549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470221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7D394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Legjislacioni Horizontal</w:t>
            </w:r>
          </w:p>
        </w:tc>
        <w:tc>
          <w:tcPr>
            <w:tcW w:w="171" w:type="pct"/>
            <w:tcBorders>
              <w:top w:val="nil"/>
              <w:left w:val="nil"/>
              <w:bottom w:val="single" w:sz="4" w:space="0" w:color="auto"/>
              <w:right w:val="single" w:sz="4" w:space="0" w:color="auto"/>
            </w:tcBorders>
            <w:shd w:val="clear" w:color="FFFFFF" w:fill="FFFFFF"/>
            <w:vAlign w:val="center"/>
            <w:hideMark/>
          </w:tcPr>
          <w:p w14:paraId="4AE9C0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49247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2007/2/EC e Parlamentit Evropian dhe e Këshillit e datës 14 mars 2007 për krijimin e një Infrastrukture për Informacionin Hapësinor në Komunitetin Evropian (INSPIRE)</w:t>
            </w:r>
          </w:p>
        </w:tc>
        <w:tc>
          <w:tcPr>
            <w:tcW w:w="668" w:type="pct"/>
            <w:tcBorders>
              <w:top w:val="nil"/>
              <w:left w:val="nil"/>
              <w:bottom w:val="single" w:sz="4" w:space="0" w:color="auto"/>
              <w:right w:val="single" w:sz="4" w:space="0" w:color="auto"/>
            </w:tcBorders>
            <w:shd w:val="clear" w:color="auto" w:fill="auto"/>
            <w:vAlign w:val="center"/>
            <w:hideMark/>
          </w:tcPr>
          <w:p w14:paraId="7AD87255" w14:textId="77777777" w:rsidR="00482167" w:rsidRPr="006D6BE5" w:rsidRDefault="00E63D69" w:rsidP="00A7241A">
            <w:pPr>
              <w:rPr>
                <w:rFonts w:ascii="Arial" w:hAnsi="Arial" w:cs="Arial"/>
                <w:color w:val="0563C1"/>
                <w:sz w:val="4"/>
                <w:szCs w:val="8"/>
                <w:u w:val="single"/>
                <w:lang w:val="sq-AL"/>
              </w:rPr>
            </w:pPr>
            <w:hyperlink r:id="rId236" w:history="1">
              <w:r w:rsidR="00482167" w:rsidRPr="006D6BE5">
                <w:rPr>
                  <w:rFonts w:ascii="Arial" w:hAnsi="Arial" w:cs="Arial"/>
                  <w:color w:val="0563C1"/>
                  <w:sz w:val="4"/>
                  <w:szCs w:val="8"/>
                  <w:u w:val="single"/>
                  <w:lang w:val="sq-AL"/>
                </w:rPr>
                <w:t xml:space="preserve">http://data.europa.eu/eli/dir/2007/2/2019-06-26 </w:t>
              </w:r>
            </w:hyperlink>
          </w:p>
        </w:tc>
        <w:tc>
          <w:tcPr>
            <w:tcW w:w="506" w:type="pct"/>
            <w:tcBorders>
              <w:top w:val="nil"/>
              <w:left w:val="nil"/>
              <w:bottom w:val="single" w:sz="4" w:space="0" w:color="auto"/>
              <w:right w:val="single" w:sz="4" w:space="0" w:color="auto"/>
            </w:tcBorders>
            <w:shd w:val="clear" w:color="FFFFFF" w:fill="FFFFFF"/>
            <w:vAlign w:val="center"/>
            <w:hideMark/>
          </w:tcPr>
          <w:p w14:paraId="5CA72D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481B7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ndryshime dhe shtesa në ligjin nr. 72/2012 “Për organizimin dhe funksionimin e infrastrukturës kombëtare të informacionit gjeohapësinor në Republikën e Shqipërisë"</w:t>
            </w:r>
          </w:p>
        </w:tc>
        <w:tc>
          <w:tcPr>
            <w:tcW w:w="330" w:type="pct"/>
            <w:tcBorders>
              <w:top w:val="nil"/>
              <w:left w:val="nil"/>
              <w:bottom w:val="single" w:sz="4" w:space="0" w:color="auto"/>
              <w:right w:val="single" w:sz="4" w:space="0" w:color="auto"/>
            </w:tcBorders>
            <w:shd w:val="clear" w:color="FFFFFF" w:fill="FFFFFF"/>
            <w:vAlign w:val="center"/>
            <w:hideMark/>
          </w:tcPr>
          <w:p w14:paraId="4F71D2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Monitorimi dhe Raportimi lidhur me zbatimin e INSPIRE</w:t>
            </w:r>
          </w:p>
        </w:tc>
        <w:tc>
          <w:tcPr>
            <w:tcW w:w="126" w:type="pct"/>
            <w:tcBorders>
              <w:top w:val="nil"/>
              <w:left w:val="nil"/>
              <w:bottom w:val="single" w:sz="4" w:space="0" w:color="auto"/>
              <w:right w:val="single" w:sz="4" w:space="0" w:color="auto"/>
            </w:tcBorders>
            <w:shd w:val="clear" w:color="FFFFFF" w:fill="FFFFFF"/>
            <w:vAlign w:val="center"/>
            <w:hideMark/>
          </w:tcPr>
          <w:p w14:paraId="5C933B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7631D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07DEF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ASIG / Kryeministria</w:t>
            </w:r>
          </w:p>
        </w:tc>
        <w:tc>
          <w:tcPr>
            <w:tcW w:w="113" w:type="pct"/>
            <w:tcBorders>
              <w:top w:val="nil"/>
              <w:left w:val="nil"/>
              <w:bottom w:val="single" w:sz="4" w:space="0" w:color="auto"/>
              <w:right w:val="single" w:sz="4" w:space="0" w:color="auto"/>
            </w:tcBorders>
            <w:shd w:val="clear" w:color="FFFFFF" w:fill="FFFFFF"/>
            <w:vAlign w:val="center"/>
            <w:hideMark/>
          </w:tcPr>
          <w:p w14:paraId="0A56BB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C746E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9AEEB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694F8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784</w:t>
            </w:r>
          </w:p>
        </w:tc>
        <w:tc>
          <w:tcPr>
            <w:tcW w:w="126" w:type="pct"/>
            <w:tcBorders>
              <w:top w:val="nil"/>
              <w:left w:val="nil"/>
              <w:bottom w:val="single" w:sz="4" w:space="0" w:color="auto"/>
              <w:right w:val="single" w:sz="4" w:space="0" w:color="auto"/>
            </w:tcBorders>
            <w:shd w:val="clear" w:color="FFFFFF" w:fill="FFFFFF"/>
            <w:vAlign w:val="center"/>
            <w:hideMark/>
          </w:tcPr>
          <w:p w14:paraId="3C20B5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DEF87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936F3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354F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491D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3F149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664893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DD2A6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15415F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07F9F2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1ACB28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EEAB1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2007/60/EC e Parlamentit Evropian dhe Këshillit, datë 23 tetor 2007, Për vlerësimin dhe menaxhimin e risqeve nga përmbytjet (MRP)</w:t>
            </w:r>
          </w:p>
        </w:tc>
        <w:tc>
          <w:tcPr>
            <w:tcW w:w="668" w:type="pct"/>
            <w:tcBorders>
              <w:top w:val="nil"/>
              <w:left w:val="nil"/>
              <w:bottom w:val="single" w:sz="4" w:space="0" w:color="auto"/>
              <w:right w:val="single" w:sz="4" w:space="0" w:color="auto"/>
            </w:tcBorders>
            <w:shd w:val="clear" w:color="auto" w:fill="auto"/>
            <w:vAlign w:val="center"/>
            <w:hideMark/>
          </w:tcPr>
          <w:p w14:paraId="0C9BC280" w14:textId="77777777" w:rsidR="00482167" w:rsidRPr="006D6BE5" w:rsidRDefault="00E63D69" w:rsidP="00A7241A">
            <w:pPr>
              <w:rPr>
                <w:rFonts w:ascii="Arial" w:hAnsi="Arial" w:cs="Arial"/>
                <w:color w:val="0563C1"/>
                <w:sz w:val="4"/>
                <w:szCs w:val="8"/>
                <w:u w:val="single"/>
                <w:lang w:val="sq-AL"/>
              </w:rPr>
            </w:pPr>
            <w:hyperlink r:id="rId237" w:history="1">
              <w:r w:rsidR="00482167" w:rsidRPr="006D6BE5">
                <w:rPr>
                  <w:rFonts w:ascii="Arial" w:hAnsi="Arial" w:cs="Arial"/>
                  <w:color w:val="0563C1"/>
                  <w:sz w:val="4"/>
                  <w:szCs w:val="8"/>
                  <w:u w:val="single"/>
                  <w:lang w:val="sq-AL"/>
                </w:rPr>
                <w:t xml:space="preserve">http://data.europa.eu/eli/dir/2007/60/oj </w:t>
              </w:r>
            </w:hyperlink>
          </w:p>
        </w:tc>
        <w:tc>
          <w:tcPr>
            <w:tcW w:w="506" w:type="pct"/>
            <w:tcBorders>
              <w:top w:val="nil"/>
              <w:left w:val="nil"/>
              <w:bottom w:val="single" w:sz="4" w:space="0" w:color="auto"/>
              <w:right w:val="single" w:sz="4" w:space="0" w:color="auto"/>
            </w:tcBorders>
            <w:shd w:val="clear" w:color="FFFFFF" w:fill="FFFFFF"/>
            <w:vAlign w:val="center"/>
            <w:hideMark/>
          </w:tcPr>
          <w:p w14:paraId="4E814F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1E66C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Planit të menaxhimit të rrezikut nga përmbytjet për disa zona ku ekziston rreziku potencial nga përmbytjet ose ka gjasa të ndodhin përmbytje, Drin-Bunë 4, 5 dhe 6 (Territori i Njësive Administrative Shkodër, Ana e Malit, Bërdicë, Dajç, Guri i Zi, Rrethinat dhe Velipojë të Bashkisë Shkodër dhe Njësinë Administrative Bushat të Bashkisë Vau i Dejës)”</w:t>
            </w:r>
          </w:p>
        </w:tc>
        <w:tc>
          <w:tcPr>
            <w:tcW w:w="330" w:type="pct"/>
            <w:tcBorders>
              <w:top w:val="nil"/>
              <w:left w:val="nil"/>
              <w:bottom w:val="single" w:sz="4" w:space="0" w:color="auto"/>
              <w:right w:val="single" w:sz="4" w:space="0" w:color="auto"/>
            </w:tcBorders>
            <w:shd w:val="clear" w:color="FFFFFF" w:fill="FFFFFF"/>
            <w:vAlign w:val="center"/>
            <w:hideMark/>
          </w:tcPr>
          <w:p w14:paraId="0FD127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Synohet rijimi i një kuadri për vlerësimin dhe menaxhimin e rreziqeve nga përmbytjet, me qëllim reduktimin e pasojave negative për shëndetin e njeriut, mjedisin, trashëgiminë kulturore</w:t>
            </w:r>
          </w:p>
        </w:tc>
        <w:tc>
          <w:tcPr>
            <w:tcW w:w="126" w:type="pct"/>
            <w:tcBorders>
              <w:top w:val="nil"/>
              <w:left w:val="nil"/>
              <w:bottom w:val="single" w:sz="4" w:space="0" w:color="auto"/>
              <w:right w:val="single" w:sz="4" w:space="0" w:color="auto"/>
            </w:tcBorders>
            <w:shd w:val="clear" w:color="FFFFFF" w:fill="FFFFFF"/>
            <w:vAlign w:val="center"/>
            <w:hideMark/>
          </w:tcPr>
          <w:p w14:paraId="65EB37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BAB60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8ABE2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051A0A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322CB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8DAEC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1C2E1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2C58B1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19FF9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1321E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BB82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6877B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69F3F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04B928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9F1EC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70F9E1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D5853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0099B9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47967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2000/60/EC e Parlamentit Evropian dhe e Këshillit, datë 23 tetor 2000, për ngritjen e kuadrit për veprim komunitar në fushën e politikës së burimeve ujore, ndryshuar me; Vendimin nr. 2455/2001/EC </w:t>
            </w:r>
          </w:p>
        </w:tc>
        <w:tc>
          <w:tcPr>
            <w:tcW w:w="668" w:type="pct"/>
            <w:tcBorders>
              <w:top w:val="nil"/>
              <w:left w:val="nil"/>
              <w:bottom w:val="single" w:sz="4" w:space="0" w:color="auto"/>
              <w:right w:val="single" w:sz="4" w:space="0" w:color="auto"/>
            </w:tcBorders>
            <w:shd w:val="clear" w:color="auto" w:fill="auto"/>
            <w:vAlign w:val="center"/>
            <w:hideMark/>
          </w:tcPr>
          <w:p w14:paraId="608F1EA0" w14:textId="77777777" w:rsidR="00482167" w:rsidRPr="006D6BE5" w:rsidRDefault="00E63D69" w:rsidP="00A7241A">
            <w:pPr>
              <w:rPr>
                <w:rFonts w:ascii="Arial" w:hAnsi="Arial" w:cs="Arial"/>
                <w:color w:val="0563C1"/>
                <w:sz w:val="4"/>
                <w:szCs w:val="8"/>
                <w:u w:val="single"/>
                <w:lang w:val="sq-AL"/>
              </w:rPr>
            </w:pPr>
            <w:hyperlink r:id="rId238"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6D96C3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BDA69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kufijve midis rajoneve të baseneve ujore dhe caktimin e ujërave të brendshme dhe bregdetare në Rajonet e Baseneve Lumore"</w:t>
            </w:r>
          </w:p>
        </w:tc>
        <w:tc>
          <w:tcPr>
            <w:tcW w:w="330" w:type="pct"/>
            <w:tcBorders>
              <w:top w:val="nil"/>
              <w:left w:val="nil"/>
              <w:bottom w:val="single" w:sz="4" w:space="0" w:color="auto"/>
              <w:right w:val="single" w:sz="4" w:space="0" w:color="auto"/>
            </w:tcBorders>
            <w:shd w:val="clear" w:color="auto" w:fill="auto"/>
            <w:vAlign w:val="center"/>
            <w:hideMark/>
          </w:tcPr>
          <w:p w14:paraId="1517A1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Synohet plotësimi dhe përmirësimi i kuadrit ligjor për menaxhimin e integruar të burimeve ujore midis rajoneve të baseneve ujore </w:t>
            </w:r>
          </w:p>
        </w:tc>
        <w:tc>
          <w:tcPr>
            <w:tcW w:w="126" w:type="pct"/>
            <w:tcBorders>
              <w:top w:val="nil"/>
              <w:left w:val="nil"/>
              <w:bottom w:val="single" w:sz="4" w:space="0" w:color="auto"/>
              <w:right w:val="single" w:sz="4" w:space="0" w:color="auto"/>
            </w:tcBorders>
            <w:shd w:val="clear" w:color="FFFFFF" w:fill="FFFFFF"/>
            <w:vAlign w:val="center"/>
            <w:hideMark/>
          </w:tcPr>
          <w:p w14:paraId="46A7E2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1AA75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35DAC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6BAE33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50494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6BB983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6EDC4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2A8E0771" w14:textId="6E04DDBA"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25C045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C28DC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6B242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AB4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8D3CC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9267C2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E409B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7F8A59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798F10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007E51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90960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2000/60/EC e Parlamentit Evropian dhe e Këshillit, datë 23 tetor 2000, Për ngritjen e kuadrit për veprim komunitar në fushën e politikës së burimeve ujore, ndryshuar me; Vendimin nr. 2455/2001/EC </w:t>
            </w:r>
          </w:p>
        </w:tc>
        <w:tc>
          <w:tcPr>
            <w:tcW w:w="668" w:type="pct"/>
            <w:tcBorders>
              <w:top w:val="nil"/>
              <w:left w:val="nil"/>
              <w:bottom w:val="single" w:sz="4" w:space="0" w:color="auto"/>
              <w:right w:val="single" w:sz="4" w:space="0" w:color="auto"/>
            </w:tcBorders>
            <w:shd w:val="clear" w:color="auto" w:fill="auto"/>
            <w:vAlign w:val="center"/>
            <w:hideMark/>
          </w:tcPr>
          <w:p w14:paraId="47D97F74" w14:textId="77777777" w:rsidR="00482167" w:rsidRPr="006D6BE5" w:rsidRDefault="00E63D69" w:rsidP="00A7241A">
            <w:pPr>
              <w:rPr>
                <w:rFonts w:ascii="Arial" w:hAnsi="Arial" w:cs="Arial"/>
                <w:color w:val="0563C1"/>
                <w:sz w:val="4"/>
                <w:szCs w:val="8"/>
                <w:u w:val="single"/>
                <w:lang w:val="sq-AL"/>
              </w:rPr>
            </w:pPr>
            <w:hyperlink r:id="rId239"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7DFB72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26183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karakterizimin e Rajoneve të Baseneve Lumore, rishikimin e ndikimit mjedisor të veprimtarisë njerëzore dhe analizën ekonomike të përdorimit të ujit"</w:t>
            </w:r>
          </w:p>
        </w:tc>
        <w:tc>
          <w:tcPr>
            <w:tcW w:w="330" w:type="pct"/>
            <w:tcBorders>
              <w:top w:val="nil"/>
              <w:left w:val="nil"/>
              <w:bottom w:val="single" w:sz="4" w:space="0" w:color="auto"/>
              <w:right w:val="single" w:sz="4" w:space="0" w:color="auto"/>
            </w:tcBorders>
            <w:shd w:val="clear" w:color="auto" w:fill="auto"/>
            <w:vAlign w:val="center"/>
            <w:hideMark/>
          </w:tcPr>
          <w:p w14:paraId="61F835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Synohet plotësimi dhe përmirësimi i kuadrit ligjor për menaxhimin e integruar të burimeve ujore midis rajoneve të baseneve ujore </w:t>
            </w:r>
          </w:p>
        </w:tc>
        <w:tc>
          <w:tcPr>
            <w:tcW w:w="126" w:type="pct"/>
            <w:tcBorders>
              <w:top w:val="nil"/>
              <w:left w:val="nil"/>
              <w:bottom w:val="single" w:sz="4" w:space="0" w:color="auto"/>
              <w:right w:val="single" w:sz="4" w:space="0" w:color="auto"/>
            </w:tcBorders>
            <w:shd w:val="clear" w:color="FFFFFF" w:fill="FFFFFF"/>
            <w:vAlign w:val="center"/>
            <w:hideMark/>
          </w:tcPr>
          <w:p w14:paraId="0A29B0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C544E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96675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7AAE28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64C96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433B0F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BCBB5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60F4F3E6" w14:textId="69B5FD65"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303D99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6318A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5A225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88F30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394C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8C1FE8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47626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039CF0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6D256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3E545B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4536F0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2000/60/EC e Parlamentit Evropian dhe e Këshillit, datë 23 tetor 2000, për ngritjen e kuadrit për veprim komunitar në fushën e politikës së burimeve ujore, ndryshuar me; Vendimin nr. 2455/2001/EC dhe Direktivën 2009/90/EC</w:t>
            </w:r>
          </w:p>
        </w:tc>
        <w:tc>
          <w:tcPr>
            <w:tcW w:w="668" w:type="pct"/>
            <w:tcBorders>
              <w:top w:val="nil"/>
              <w:left w:val="nil"/>
              <w:bottom w:val="single" w:sz="4" w:space="0" w:color="auto"/>
              <w:right w:val="single" w:sz="4" w:space="0" w:color="auto"/>
            </w:tcBorders>
            <w:shd w:val="clear" w:color="auto" w:fill="auto"/>
            <w:vAlign w:val="center"/>
            <w:hideMark/>
          </w:tcPr>
          <w:p w14:paraId="67B516FE" w14:textId="77777777" w:rsidR="00482167" w:rsidRPr="006D6BE5" w:rsidRDefault="00E63D69" w:rsidP="00A7241A">
            <w:pPr>
              <w:rPr>
                <w:rFonts w:ascii="Arial" w:hAnsi="Arial" w:cs="Arial"/>
                <w:color w:val="0563C1"/>
                <w:sz w:val="4"/>
                <w:szCs w:val="8"/>
                <w:u w:val="single"/>
                <w:lang w:val="sq-AL"/>
              </w:rPr>
            </w:pPr>
            <w:hyperlink r:id="rId240"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29400C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938F2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elementet cilësore të klasifikimit të statusit ekologjik dhe përkufizimet normative të klasifikimit të statusit ekologjik për ujërat sipërfaqësore"</w:t>
            </w:r>
          </w:p>
        </w:tc>
        <w:tc>
          <w:tcPr>
            <w:tcW w:w="330" w:type="pct"/>
            <w:tcBorders>
              <w:top w:val="nil"/>
              <w:left w:val="nil"/>
              <w:bottom w:val="single" w:sz="4" w:space="0" w:color="auto"/>
              <w:right w:val="single" w:sz="4" w:space="0" w:color="auto"/>
            </w:tcBorders>
            <w:shd w:val="clear" w:color="auto" w:fill="auto"/>
            <w:vAlign w:val="center"/>
            <w:hideMark/>
          </w:tcPr>
          <w:p w14:paraId="38C8E3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Synohet plotësimi dhe përmirësimi i kuadrit ligjor për menaxhimin e integruar të burimeve ujore midis rajoneve të baseneve ujore </w:t>
            </w:r>
          </w:p>
        </w:tc>
        <w:tc>
          <w:tcPr>
            <w:tcW w:w="126" w:type="pct"/>
            <w:tcBorders>
              <w:top w:val="nil"/>
              <w:left w:val="nil"/>
              <w:bottom w:val="single" w:sz="4" w:space="0" w:color="auto"/>
              <w:right w:val="single" w:sz="4" w:space="0" w:color="auto"/>
            </w:tcBorders>
            <w:shd w:val="clear" w:color="FFFFFF" w:fill="FFFFFF"/>
            <w:vAlign w:val="center"/>
            <w:hideMark/>
          </w:tcPr>
          <w:p w14:paraId="0DBBEF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DE0B4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06D34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68710E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45027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21F90F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AD843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05AD62BF" w14:textId="51FB7AA1"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67B1DC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D54C8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AD07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11456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44727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D98A01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54F9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69697F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0F5720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1C8E4A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9BD57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2000/60/EC e Parlamentit Evropian dhe e Këshillit, datë 23 tetor 2000, Për ngritjen e kuadrit për veprim komunitar në fushën e politikës së burimeve ujore, ndryshuar me; Vendimin nr. 2455/2001/EC </w:t>
            </w:r>
          </w:p>
        </w:tc>
        <w:tc>
          <w:tcPr>
            <w:tcW w:w="668" w:type="pct"/>
            <w:tcBorders>
              <w:top w:val="nil"/>
              <w:left w:val="nil"/>
              <w:bottom w:val="single" w:sz="4" w:space="0" w:color="auto"/>
              <w:right w:val="single" w:sz="4" w:space="0" w:color="auto"/>
            </w:tcBorders>
            <w:shd w:val="clear" w:color="auto" w:fill="auto"/>
            <w:vAlign w:val="center"/>
            <w:hideMark/>
          </w:tcPr>
          <w:p w14:paraId="0FC37F3A" w14:textId="77777777" w:rsidR="00482167" w:rsidRPr="006D6BE5" w:rsidRDefault="00E63D69" w:rsidP="00A7241A">
            <w:pPr>
              <w:rPr>
                <w:rFonts w:ascii="Arial" w:hAnsi="Arial" w:cs="Arial"/>
                <w:color w:val="0563C1"/>
                <w:sz w:val="4"/>
                <w:szCs w:val="8"/>
                <w:u w:val="single"/>
                <w:lang w:val="sq-AL"/>
              </w:rPr>
            </w:pPr>
            <w:hyperlink r:id="rId241"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59F494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6EF41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elementet e Planeve të Menaxhimit të Baseneve Lumore"</w:t>
            </w:r>
          </w:p>
        </w:tc>
        <w:tc>
          <w:tcPr>
            <w:tcW w:w="330" w:type="pct"/>
            <w:tcBorders>
              <w:top w:val="nil"/>
              <w:left w:val="nil"/>
              <w:bottom w:val="single" w:sz="4" w:space="0" w:color="auto"/>
              <w:right w:val="single" w:sz="4" w:space="0" w:color="auto"/>
            </w:tcBorders>
            <w:shd w:val="clear" w:color="auto" w:fill="auto"/>
            <w:vAlign w:val="center"/>
            <w:hideMark/>
          </w:tcPr>
          <w:p w14:paraId="73A87A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Synohet plotësimi dhe përmirësimi i kuadrit ligjor për menaxhimin e integruar të burimeve ujore midis rajoneve të baseneve ujore </w:t>
            </w:r>
          </w:p>
        </w:tc>
        <w:tc>
          <w:tcPr>
            <w:tcW w:w="126" w:type="pct"/>
            <w:tcBorders>
              <w:top w:val="nil"/>
              <w:left w:val="nil"/>
              <w:bottom w:val="single" w:sz="4" w:space="0" w:color="auto"/>
              <w:right w:val="single" w:sz="4" w:space="0" w:color="auto"/>
            </w:tcBorders>
            <w:shd w:val="clear" w:color="FFFFFF" w:fill="FFFFFF"/>
            <w:vAlign w:val="center"/>
            <w:hideMark/>
          </w:tcPr>
          <w:p w14:paraId="218324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F10FF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A2535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50831F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15BAE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454888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AB105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44389451" w14:textId="548B4B48"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499EB1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7FF1B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C290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338C6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41D92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728C28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341DD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60E241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63068D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0D80F0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6A2F1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2000/60/EC e Parlamentit Evropian dhe e Këshillit, datë 23 tetor 2000, për ngritjen e kuadrit për veprim komunitar në fushën e politikës së burimeve ujore, ndryshuar me; Vendimin nr. 2455/2001/EC dhe Direktivën 2009/90/EC</w:t>
            </w:r>
          </w:p>
        </w:tc>
        <w:tc>
          <w:tcPr>
            <w:tcW w:w="668" w:type="pct"/>
            <w:tcBorders>
              <w:top w:val="nil"/>
              <w:left w:val="nil"/>
              <w:bottom w:val="single" w:sz="4" w:space="0" w:color="auto"/>
              <w:right w:val="single" w:sz="4" w:space="0" w:color="auto"/>
            </w:tcBorders>
            <w:shd w:val="clear" w:color="auto" w:fill="auto"/>
            <w:vAlign w:val="center"/>
            <w:hideMark/>
          </w:tcPr>
          <w:p w14:paraId="5426969D" w14:textId="77777777" w:rsidR="00482167" w:rsidRPr="006D6BE5" w:rsidRDefault="00E63D69" w:rsidP="00A7241A">
            <w:pPr>
              <w:rPr>
                <w:rFonts w:ascii="Arial" w:hAnsi="Arial" w:cs="Arial"/>
                <w:color w:val="0563C1"/>
                <w:sz w:val="4"/>
                <w:szCs w:val="8"/>
                <w:u w:val="single"/>
                <w:lang w:val="sq-AL"/>
              </w:rPr>
            </w:pPr>
            <w:hyperlink r:id="rId242"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676CD6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56477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monitorimin e statusit ekologjik dhe kimik të ujërave sipërfaqësore, kërkesat shtesë të monitorimit për zonat e mbrojtura dhe klasifikimin e paraqitjen e statusit ekologjik"</w:t>
            </w:r>
          </w:p>
        </w:tc>
        <w:tc>
          <w:tcPr>
            <w:tcW w:w="330" w:type="pct"/>
            <w:tcBorders>
              <w:top w:val="nil"/>
              <w:left w:val="nil"/>
              <w:bottom w:val="single" w:sz="4" w:space="0" w:color="auto"/>
              <w:right w:val="single" w:sz="4" w:space="0" w:color="auto"/>
            </w:tcBorders>
            <w:shd w:val="clear" w:color="auto" w:fill="auto"/>
            <w:vAlign w:val="center"/>
            <w:hideMark/>
          </w:tcPr>
          <w:p w14:paraId="0A5959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dhe përmirësimi i kuadrit ligjor për menaxhimin e integruar të burimeve ujore dhe përcaktimin e kërkesave për monitorimin e statusit ekologjik dhe kimik të ujërave sipërfaqësore</w:t>
            </w:r>
          </w:p>
        </w:tc>
        <w:tc>
          <w:tcPr>
            <w:tcW w:w="126" w:type="pct"/>
            <w:tcBorders>
              <w:top w:val="nil"/>
              <w:left w:val="nil"/>
              <w:bottom w:val="single" w:sz="4" w:space="0" w:color="auto"/>
              <w:right w:val="single" w:sz="4" w:space="0" w:color="auto"/>
            </w:tcBorders>
            <w:shd w:val="clear" w:color="FFFFFF" w:fill="FFFFFF"/>
            <w:vAlign w:val="center"/>
            <w:hideMark/>
          </w:tcPr>
          <w:p w14:paraId="20C48E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FA1A4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722BC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3A987A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69AE7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FB4B4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27F4D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78C85914" w14:textId="2F7DDC8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390E42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30B11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9BDF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DEB4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2B3CF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EEF8E5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1BC08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1598D4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230F17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14F56E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26A49C59" w14:textId="3F5EDF9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2008/105/EC e Parlamentit Evropian dhe Këshillit, datë 16 dhjetor 2008, Për standardet e cilësisë mjedisore në fushën e politikës së burimeve ujore, që ndryshon e për rrjedhojë shfuqizon direktivat 82/176/EEC, 85/513/EEC, 84/156/EEC, 84/491/EEC, 86/280/EEC dhe ndryshon direktivën 2000/60/EC të Parlamentit Evropian dhe Këshillit, ndryshuar me direktivën 2013/39/EU të Parlamentit Evropian dhe Këshillit, datë 22 gusht 2013, që ndryshon direktivën 2000/60/EC për substancat prioritare në fushën e politikës së burimeve ujore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Direktivën 2009/90/EC të Komisionit, datë 31 korrik 2009, ku përcaktohen, sipas direktivës 2000/60/EC të Parlamentit Evropian dhe Këshillit, specifikimet teknike për analizën kimike dhe monitorimin e statusit të trupave ujorë (dscm)</w:t>
            </w:r>
          </w:p>
        </w:tc>
        <w:tc>
          <w:tcPr>
            <w:tcW w:w="668" w:type="pct"/>
            <w:tcBorders>
              <w:top w:val="nil"/>
              <w:left w:val="nil"/>
              <w:bottom w:val="single" w:sz="4" w:space="0" w:color="auto"/>
              <w:right w:val="single" w:sz="4" w:space="0" w:color="auto"/>
            </w:tcBorders>
            <w:shd w:val="clear" w:color="auto" w:fill="auto"/>
            <w:vAlign w:val="center"/>
            <w:hideMark/>
          </w:tcPr>
          <w:p w14:paraId="140EDB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http://data.europa.eu/eli/dir/2008/105/2013-09-13 </w:t>
            </w:r>
            <w:r w:rsidRPr="006D6BE5">
              <w:rPr>
                <w:rFonts w:ascii="Arial" w:hAnsi="Arial" w:cs="Arial"/>
                <w:color w:val="000000"/>
                <w:sz w:val="4"/>
                <w:szCs w:val="8"/>
                <w:lang w:val="sq-AL"/>
              </w:rPr>
              <w:br/>
            </w:r>
            <w:r w:rsidRPr="006D6BE5">
              <w:rPr>
                <w:rFonts w:ascii="Arial" w:hAnsi="Arial" w:cs="Arial"/>
                <w:color w:val="000000"/>
                <w:sz w:val="4"/>
                <w:szCs w:val="8"/>
                <w:lang w:val="sq-AL"/>
              </w:rPr>
              <w:br/>
            </w:r>
            <w:r w:rsidRPr="006D6BE5">
              <w:rPr>
                <w:rFonts w:ascii="Arial" w:hAnsi="Arial" w:cs="Arial"/>
                <w:color w:val="000000"/>
                <w:sz w:val="4"/>
                <w:szCs w:val="8"/>
                <w:lang w:val="sq-AL"/>
              </w:rPr>
              <w:br/>
              <w:t xml:space="preserve">http://data.europa.eu/eli/dir/2009/90/oj </w:t>
            </w:r>
          </w:p>
        </w:tc>
        <w:tc>
          <w:tcPr>
            <w:tcW w:w="506" w:type="pct"/>
            <w:tcBorders>
              <w:top w:val="nil"/>
              <w:left w:val="nil"/>
              <w:bottom w:val="single" w:sz="4" w:space="0" w:color="auto"/>
              <w:right w:val="single" w:sz="4" w:space="0" w:color="auto"/>
            </w:tcBorders>
            <w:shd w:val="clear" w:color="FFFFFF" w:fill="FFFFFF"/>
            <w:vAlign w:val="center"/>
            <w:hideMark/>
          </w:tcPr>
          <w:p w14:paraId="190A56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CAC98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standardet e cilësisë mjedisore në fushën e politikave për burimet ujore"</w:t>
            </w:r>
          </w:p>
        </w:tc>
        <w:tc>
          <w:tcPr>
            <w:tcW w:w="330" w:type="pct"/>
            <w:tcBorders>
              <w:top w:val="nil"/>
              <w:left w:val="nil"/>
              <w:bottom w:val="single" w:sz="4" w:space="0" w:color="auto"/>
              <w:right w:val="single" w:sz="4" w:space="0" w:color="auto"/>
            </w:tcBorders>
            <w:shd w:val="clear" w:color="auto" w:fill="auto"/>
            <w:vAlign w:val="center"/>
            <w:hideMark/>
          </w:tcPr>
          <w:p w14:paraId="445B66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dhe përmirësimi i kuadrit ligjor për menaxhimin e integruar të burimeve ujore dhe përcaktimin e standardeve të cilësisë mjedisore në fushën e politikave për burimet ujore</w:t>
            </w:r>
          </w:p>
        </w:tc>
        <w:tc>
          <w:tcPr>
            <w:tcW w:w="126" w:type="pct"/>
            <w:tcBorders>
              <w:top w:val="nil"/>
              <w:left w:val="nil"/>
              <w:bottom w:val="single" w:sz="4" w:space="0" w:color="auto"/>
              <w:right w:val="single" w:sz="4" w:space="0" w:color="auto"/>
            </w:tcBorders>
            <w:shd w:val="clear" w:color="FFFFFF" w:fill="FFFFFF"/>
            <w:vAlign w:val="center"/>
            <w:hideMark/>
          </w:tcPr>
          <w:p w14:paraId="018507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78402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E6047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5E9C75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344F9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7834DB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EDA83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400156C7" w14:textId="4B091BE7"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0E6AF1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7C17F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3A6E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DB762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446B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C5CCC5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73594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6D9573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19757B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4B2153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588671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2006/118/EC e Parlamentit Evropian dhe Këshillit, datë 12 dhjetor 2006, Për mbrojtjen e ujërave nëntokësore nga ndotja dhe degradimi (Direktiva për ujërat nëntokësore; DUN), e ndryshuar</w:t>
            </w:r>
          </w:p>
        </w:tc>
        <w:tc>
          <w:tcPr>
            <w:tcW w:w="668" w:type="pct"/>
            <w:tcBorders>
              <w:top w:val="nil"/>
              <w:left w:val="nil"/>
              <w:bottom w:val="single" w:sz="4" w:space="0" w:color="auto"/>
              <w:right w:val="single" w:sz="4" w:space="0" w:color="auto"/>
            </w:tcBorders>
            <w:shd w:val="clear" w:color="auto" w:fill="auto"/>
            <w:vAlign w:val="center"/>
            <w:hideMark/>
          </w:tcPr>
          <w:p w14:paraId="38BDB10A" w14:textId="77777777" w:rsidR="00482167" w:rsidRPr="006D6BE5" w:rsidRDefault="00E63D69" w:rsidP="00A7241A">
            <w:pPr>
              <w:rPr>
                <w:rFonts w:ascii="Arial" w:hAnsi="Arial" w:cs="Arial"/>
                <w:color w:val="0563C1"/>
                <w:sz w:val="4"/>
                <w:szCs w:val="8"/>
                <w:u w:val="single"/>
                <w:lang w:val="sq-AL"/>
              </w:rPr>
            </w:pPr>
            <w:hyperlink r:id="rId243" w:history="1">
              <w:r w:rsidR="00482167" w:rsidRPr="006D6BE5">
                <w:rPr>
                  <w:rFonts w:ascii="Arial" w:hAnsi="Arial" w:cs="Arial"/>
                  <w:color w:val="0563C1"/>
                  <w:sz w:val="4"/>
                  <w:szCs w:val="8"/>
                  <w:u w:val="single"/>
                  <w:lang w:val="sq-AL"/>
                </w:rPr>
                <w:t xml:space="preserve">http://data.europa.eu/eli/dir/2006/118/2014-07-11 </w:t>
              </w:r>
            </w:hyperlink>
          </w:p>
        </w:tc>
        <w:tc>
          <w:tcPr>
            <w:tcW w:w="506" w:type="pct"/>
            <w:tcBorders>
              <w:top w:val="nil"/>
              <w:left w:val="nil"/>
              <w:bottom w:val="single" w:sz="4" w:space="0" w:color="auto"/>
              <w:right w:val="single" w:sz="4" w:space="0" w:color="auto"/>
            </w:tcBorders>
            <w:shd w:val="clear" w:color="FFFFFF" w:fill="FFFFFF"/>
            <w:vAlign w:val="center"/>
            <w:hideMark/>
          </w:tcPr>
          <w:p w14:paraId="603DAF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98411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mbrojtjen e ujërave nëntokësorë nga ndotja dhe përkeqësimi"</w:t>
            </w:r>
          </w:p>
        </w:tc>
        <w:tc>
          <w:tcPr>
            <w:tcW w:w="330" w:type="pct"/>
            <w:tcBorders>
              <w:top w:val="nil"/>
              <w:left w:val="nil"/>
              <w:bottom w:val="single" w:sz="4" w:space="0" w:color="auto"/>
              <w:right w:val="single" w:sz="4" w:space="0" w:color="auto"/>
            </w:tcBorders>
            <w:shd w:val="clear" w:color="auto" w:fill="auto"/>
            <w:vAlign w:val="center"/>
            <w:hideMark/>
          </w:tcPr>
          <w:p w14:paraId="1AB2A3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dhe përmirësimi i kuadrit ligjor për menaxhimin e integruar të burimeve ujore dhe përcaktimin e kërkesave për mbrojtjen e ujërave nëntokësorë nga ndotja dhe përkeqësimi</w:t>
            </w:r>
          </w:p>
        </w:tc>
        <w:tc>
          <w:tcPr>
            <w:tcW w:w="126" w:type="pct"/>
            <w:tcBorders>
              <w:top w:val="nil"/>
              <w:left w:val="nil"/>
              <w:bottom w:val="single" w:sz="4" w:space="0" w:color="auto"/>
              <w:right w:val="single" w:sz="4" w:space="0" w:color="auto"/>
            </w:tcBorders>
            <w:shd w:val="clear" w:color="FFFFFF" w:fill="FFFFFF"/>
            <w:vAlign w:val="center"/>
            <w:hideMark/>
          </w:tcPr>
          <w:p w14:paraId="523CEC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649B2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4438E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3EC66C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D46E8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4402C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CE71B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390E7F36" w14:textId="79397868"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7C32FD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B2986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310C3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52DEB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D9E48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7EAD05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F1767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5FF58F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6A9C14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00D22E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1A4BF5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2010/75/EC e Parlamentit Evropian dhe Këshillit, datë 24 nëntor 2010, për emetimet industriale (parandalimi dhe kontrolli i integruar i ndotjes (riorganizuar) (dei)</w:t>
            </w:r>
          </w:p>
        </w:tc>
        <w:tc>
          <w:tcPr>
            <w:tcW w:w="668" w:type="pct"/>
            <w:tcBorders>
              <w:top w:val="nil"/>
              <w:left w:val="nil"/>
              <w:bottom w:val="single" w:sz="4" w:space="0" w:color="auto"/>
              <w:right w:val="single" w:sz="4" w:space="0" w:color="auto"/>
            </w:tcBorders>
            <w:shd w:val="clear" w:color="auto" w:fill="auto"/>
            <w:vAlign w:val="center"/>
            <w:hideMark/>
          </w:tcPr>
          <w:p w14:paraId="6F262EE8" w14:textId="77777777" w:rsidR="00482167" w:rsidRPr="006D6BE5" w:rsidRDefault="00E63D69" w:rsidP="00A7241A">
            <w:pPr>
              <w:rPr>
                <w:rFonts w:ascii="Arial" w:hAnsi="Arial" w:cs="Arial"/>
                <w:color w:val="0563C1"/>
                <w:sz w:val="4"/>
                <w:szCs w:val="8"/>
                <w:u w:val="single"/>
                <w:lang w:val="sq-AL"/>
              </w:rPr>
            </w:pPr>
            <w:hyperlink r:id="rId244" w:history="1">
              <w:r w:rsidR="00482167" w:rsidRPr="006D6BE5">
                <w:rPr>
                  <w:rFonts w:ascii="Arial" w:hAnsi="Arial" w:cs="Arial"/>
                  <w:color w:val="0563C1"/>
                  <w:sz w:val="4"/>
                  <w:szCs w:val="8"/>
                  <w:u w:val="single"/>
                  <w:lang w:val="sq-AL"/>
                </w:rPr>
                <w:t xml:space="preserve">http://data.europa.eu/eli/dir/2010/75/2011-01-06 </w:t>
              </w:r>
            </w:hyperlink>
          </w:p>
        </w:tc>
        <w:tc>
          <w:tcPr>
            <w:tcW w:w="506" w:type="pct"/>
            <w:tcBorders>
              <w:top w:val="nil"/>
              <w:left w:val="nil"/>
              <w:bottom w:val="single" w:sz="4" w:space="0" w:color="auto"/>
              <w:right w:val="single" w:sz="4" w:space="0" w:color="auto"/>
            </w:tcBorders>
            <w:shd w:val="clear" w:color="FFFFFF" w:fill="FFFFFF"/>
            <w:vAlign w:val="center"/>
            <w:hideMark/>
          </w:tcPr>
          <w:p w14:paraId="26E26D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7865F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vlerat kufi të emetimeve për ujërat e ndotura nga burimet industriale"</w:t>
            </w:r>
          </w:p>
        </w:tc>
        <w:tc>
          <w:tcPr>
            <w:tcW w:w="330" w:type="pct"/>
            <w:tcBorders>
              <w:top w:val="nil"/>
              <w:left w:val="nil"/>
              <w:bottom w:val="single" w:sz="4" w:space="0" w:color="auto"/>
              <w:right w:val="single" w:sz="4" w:space="0" w:color="auto"/>
            </w:tcBorders>
            <w:shd w:val="clear" w:color="auto" w:fill="auto"/>
            <w:vAlign w:val="center"/>
            <w:hideMark/>
          </w:tcPr>
          <w:p w14:paraId="591092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dhe përmirësimi i kuadrit ligjor për menaxhimin e integruar të burimeve ujore dhe përcaktimin e vlerave kufi të emetimeve për ujërat e ndotura nga burimet industriale</w:t>
            </w:r>
          </w:p>
        </w:tc>
        <w:tc>
          <w:tcPr>
            <w:tcW w:w="126" w:type="pct"/>
            <w:tcBorders>
              <w:top w:val="nil"/>
              <w:left w:val="nil"/>
              <w:bottom w:val="single" w:sz="4" w:space="0" w:color="auto"/>
              <w:right w:val="single" w:sz="4" w:space="0" w:color="auto"/>
            </w:tcBorders>
            <w:shd w:val="clear" w:color="FFFFFF" w:fill="FFFFFF"/>
            <w:vAlign w:val="center"/>
            <w:hideMark/>
          </w:tcPr>
          <w:p w14:paraId="6BCAD3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F102D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AB28C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7EB267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D2DB8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E1220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88730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15610088" w14:textId="55451A8B"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455E20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71CFF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7790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0004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7B00C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B97DC9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6480A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54D8E8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205FBA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137B06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71C180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e Këshillit, datë 21 maj 1991, për trajtimin e ujërave të ndotura urbane (91/271/EEC)(koduar) (DTUNU), ndryshuar me, direktivën e komisionit 98/15/ec, datë 27 shkurt 1998, Rregulloren nr. 1882/2003/EC, Rregulloren nr. 1137/2008/EC dhe Direktivën e Këshillit 2013/64/EU </w:t>
            </w:r>
          </w:p>
        </w:tc>
        <w:tc>
          <w:tcPr>
            <w:tcW w:w="668" w:type="pct"/>
            <w:tcBorders>
              <w:top w:val="nil"/>
              <w:left w:val="nil"/>
              <w:bottom w:val="single" w:sz="4" w:space="0" w:color="auto"/>
              <w:right w:val="single" w:sz="4" w:space="0" w:color="auto"/>
            </w:tcBorders>
            <w:shd w:val="clear" w:color="auto" w:fill="auto"/>
            <w:vAlign w:val="center"/>
            <w:hideMark/>
          </w:tcPr>
          <w:p w14:paraId="277A025E" w14:textId="77777777" w:rsidR="00482167" w:rsidRPr="006D6BE5" w:rsidRDefault="00E63D69" w:rsidP="00A7241A">
            <w:pPr>
              <w:rPr>
                <w:rFonts w:ascii="Arial" w:hAnsi="Arial" w:cs="Arial"/>
                <w:color w:val="0563C1"/>
                <w:sz w:val="4"/>
                <w:szCs w:val="8"/>
                <w:u w:val="single"/>
                <w:lang w:val="sq-AL"/>
              </w:rPr>
            </w:pPr>
            <w:hyperlink r:id="rId245" w:history="1">
              <w:r w:rsidR="00482167" w:rsidRPr="006D6BE5">
                <w:rPr>
                  <w:rFonts w:ascii="Arial" w:hAnsi="Arial" w:cs="Arial"/>
                  <w:color w:val="0563C1"/>
                  <w:sz w:val="4"/>
                  <w:szCs w:val="8"/>
                  <w:u w:val="single"/>
                  <w:lang w:val="sq-AL"/>
                </w:rPr>
                <w:t xml:space="preserve">http://data.europa.eu/eli/dir/1991/271/2014-01-01 </w:t>
              </w:r>
            </w:hyperlink>
          </w:p>
        </w:tc>
        <w:tc>
          <w:tcPr>
            <w:tcW w:w="506" w:type="pct"/>
            <w:tcBorders>
              <w:top w:val="nil"/>
              <w:left w:val="nil"/>
              <w:bottom w:val="single" w:sz="4" w:space="0" w:color="auto"/>
              <w:right w:val="single" w:sz="4" w:space="0" w:color="auto"/>
            </w:tcBorders>
            <w:shd w:val="clear" w:color="FFFFFF" w:fill="FFFFFF"/>
            <w:vAlign w:val="center"/>
            <w:hideMark/>
          </w:tcPr>
          <w:p w14:paraId="0EB9A6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33CA6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 trajtimin e ujerave te ndoture urbane"</w:t>
            </w:r>
          </w:p>
        </w:tc>
        <w:tc>
          <w:tcPr>
            <w:tcW w:w="330" w:type="pct"/>
            <w:tcBorders>
              <w:top w:val="nil"/>
              <w:left w:val="nil"/>
              <w:bottom w:val="single" w:sz="4" w:space="0" w:color="auto"/>
              <w:right w:val="single" w:sz="4" w:space="0" w:color="auto"/>
            </w:tcBorders>
            <w:shd w:val="clear" w:color="auto" w:fill="auto"/>
            <w:vAlign w:val="center"/>
            <w:hideMark/>
          </w:tcPr>
          <w:p w14:paraId="48C39A54" w14:textId="5272625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dhe përmirësimi i kuadrit ligjor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për menaxhimin e integruar të burimeve ujore dhe përcaktimin e kërkesave lidhur me trajtimin e ujërave të ndotura urbane, në Republikën e Shqipërisë, në përputhje me legjislacionin Evropian. </w:t>
            </w:r>
          </w:p>
        </w:tc>
        <w:tc>
          <w:tcPr>
            <w:tcW w:w="126" w:type="pct"/>
            <w:tcBorders>
              <w:top w:val="nil"/>
              <w:left w:val="nil"/>
              <w:bottom w:val="single" w:sz="4" w:space="0" w:color="auto"/>
              <w:right w:val="single" w:sz="4" w:space="0" w:color="auto"/>
            </w:tcBorders>
            <w:shd w:val="clear" w:color="FFFFFF" w:fill="FFFFFF"/>
            <w:vAlign w:val="center"/>
            <w:hideMark/>
          </w:tcPr>
          <w:p w14:paraId="13046C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2BC7F4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0E918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796327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BF2A7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71BEB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53184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37B59784" w14:textId="670B35B0"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4C827B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4C68B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FEBF5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A2B9F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6A2B8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66C3D4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BF7A5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068CE6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66715F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26726B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E88E8FE" w14:textId="12148E3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91/676/EEC e datës 12.12.1991 për mbrojtjen e burimeve ujore nga ndotja e shkaktuar nga nitratet me që vijnë nga burimet bujqësore, e ndryshuar me rregulloren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1882/2003/EC dhe rregulloren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1137/2008/EC </w:t>
            </w:r>
          </w:p>
        </w:tc>
        <w:tc>
          <w:tcPr>
            <w:tcW w:w="668" w:type="pct"/>
            <w:tcBorders>
              <w:top w:val="nil"/>
              <w:left w:val="nil"/>
              <w:bottom w:val="single" w:sz="4" w:space="0" w:color="auto"/>
              <w:right w:val="single" w:sz="4" w:space="0" w:color="auto"/>
            </w:tcBorders>
            <w:shd w:val="clear" w:color="auto" w:fill="auto"/>
            <w:vAlign w:val="center"/>
            <w:hideMark/>
          </w:tcPr>
          <w:p w14:paraId="355F05FB" w14:textId="77777777" w:rsidR="00482167" w:rsidRPr="006D6BE5" w:rsidRDefault="00E63D69" w:rsidP="00A7241A">
            <w:pPr>
              <w:rPr>
                <w:rFonts w:ascii="Arial" w:hAnsi="Arial" w:cs="Arial"/>
                <w:color w:val="0563C1"/>
                <w:sz w:val="4"/>
                <w:szCs w:val="8"/>
                <w:u w:val="single"/>
                <w:lang w:val="sq-AL"/>
              </w:rPr>
            </w:pPr>
            <w:hyperlink r:id="rId246" w:history="1">
              <w:r w:rsidR="00482167" w:rsidRPr="006D6BE5">
                <w:rPr>
                  <w:rFonts w:ascii="Arial" w:hAnsi="Arial" w:cs="Arial"/>
                  <w:color w:val="0563C1"/>
                  <w:sz w:val="4"/>
                  <w:szCs w:val="8"/>
                  <w:u w:val="single"/>
                  <w:lang w:val="sq-AL"/>
                </w:rPr>
                <w:t xml:space="preserve">http://data.europa.eu/eli/dir/1991/676/2008-12-11 </w:t>
              </w:r>
            </w:hyperlink>
          </w:p>
        </w:tc>
        <w:tc>
          <w:tcPr>
            <w:tcW w:w="506" w:type="pct"/>
            <w:tcBorders>
              <w:top w:val="nil"/>
              <w:left w:val="nil"/>
              <w:bottom w:val="single" w:sz="4" w:space="0" w:color="auto"/>
              <w:right w:val="single" w:sz="4" w:space="0" w:color="auto"/>
            </w:tcBorders>
            <w:shd w:val="clear" w:color="FFFFFF" w:fill="FFFFFF"/>
            <w:vAlign w:val="center"/>
            <w:hideMark/>
          </w:tcPr>
          <w:p w14:paraId="197540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233AD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mbrojtjen e ujërave ndaj ndotjes së shkaktuar nga nitratet e burimeve bujqësore"</w:t>
            </w:r>
          </w:p>
        </w:tc>
        <w:tc>
          <w:tcPr>
            <w:tcW w:w="330" w:type="pct"/>
            <w:tcBorders>
              <w:top w:val="nil"/>
              <w:left w:val="nil"/>
              <w:bottom w:val="single" w:sz="4" w:space="0" w:color="auto"/>
              <w:right w:val="single" w:sz="4" w:space="0" w:color="auto"/>
            </w:tcBorders>
            <w:shd w:val="clear" w:color="FFFFFF" w:fill="FFFFFF"/>
            <w:vAlign w:val="center"/>
            <w:hideMark/>
          </w:tcPr>
          <w:p w14:paraId="538256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Përcaktimi i kërkesave lidhur me mbrojtjen e ujërave ndaj ndotjes së shkaktuar nga nitratet e burimeve bujqësore, në Republikën e Shqipërisë, në përputhje me legjislacionin Evropian. </w:t>
            </w:r>
          </w:p>
        </w:tc>
        <w:tc>
          <w:tcPr>
            <w:tcW w:w="126" w:type="pct"/>
            <w:tcBorders>
              <w:top w:val="nil"/>
              <w:left w:val="nil"/>
              <w:bottom w:val="single" w:sz="4" w:space="0" w:color="auto"/>
              <w:right w:val="single" w:sz="4" w:space="0" w:color="auto"/>
            </w:tcBorders>
            <w:shd w:val="clear" w:color="FFFFFF" w:fill="FFFFFF"/>
            <w:vAlign w:val="center"/>
            <w:hideMark/>
          </w:tcPr>
          <w:p w14:paraId="4A465F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8B8B5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12962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1BA561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28A09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4A490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85497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103610AD" w14:textId="434B1C8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052A67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6DF20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8EC47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7BDE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A0C56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131127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17808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34FBBC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888AC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6E5316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049E4B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2007/60/EC e Parlamentit Evropian dhe Këshillit, datë 23 tetor 2007, Për vlerësimin dhe menaxhimin e risqeve nga përmbytjet (MRP)</w:t>
            </w:r>
          </w:p>
        </w:tc>
        <w:tc>
          <w:tcPr>
            <w:tcW w:w="668" w:type="pct"/>
            <w:tcBorders>
              <w:top w:val="nil"/>
              <w:left w:val="nil"/>
              <w:bottom w:val="single" w:sz="4" w:space="0" w:color="auto"/>
              <w:right w:val="single" w:sz="4" w:space="0" w:color="auto"/>
            </w:tcBorders>
            <w:shd w:val="clear" w:color="auto" w:fill="auto"/>
            <w:vAlign w:val="center"/>
            <w:hideMark/>
          </w:tcPr>
          <w:p w14:paraId="47B3164E" w14:textId="77777777" w:rsidR="00482167" w:rsidRPr="006D6BE5" w:rsidRDefault="00E63D69" w:rsidP="00A7241A">
            <w:pPr>
              <w:rPr>
                <w:rFonts w:ascii="Arial" w:hAnsi="Arial" w:cs="Arial"/>
                <w:color w:val="0563C1"/>
                <w:sz w:val="4"/>
                <w:szCs w:val="8"/>
                <w:u w:val="single"/>
                <w:lang w:val="sq-AL"/>
              </w:rPr>
            </w:pPr>
            <w:hyperlink r:id="rId247" w:history="1">
              <w:r w:rsidR="00482167" w:rsidRPr="006D6BE5">
                <w:rPr>
                  <w:rFonts w:ascii="Arial" w:hAnsi="Arial" w:cs="Arial"/>
                  <w:color w:val="0563C1"/>
                  <w:sz w:val="4"/>
                  <w:szCs w:val="8"/>
                  <w:u w:val="single"/>
                  <w:lang w:val="sq-AL"/>
                </w:rPr>
                <w:t xml:space="preserve">http://data.europa.eu/eli/dir/2007/60/oj </w:t>
              </w:r>
            </w:hyperlink>
          </w:p>
        </w:tc>
        <w:tc>
          <w:tcPr>
            <w:tcW w:w="506" w:type="pct"/>
            <w:tcBorders>
              <w:top w:val="nil"/>
              <w:left w:val="nil"/>
              <w:bottom w:val="single" w:sz="4" w:space="0" w:color="auto"/>
              <w:right w:val="single" w:sz="4" w:space="0" w:color="auto"/>
            </w:tcBorders>
            <w:shd w:val="clear" w:color="FFFFFF" w:fill="FFFFFF"/>
            <w:vAlign w:val="center"/>
            <w:hideMark/>
          </w:tcPr>
          <w:p w14:paraId="3C6B98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6C97B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vlerësimin dhe menaxhimin e riskut nga përmbytjet"</w:t>
            </w:r>
          </w:p>
        </w:tc>
        <w:tc>
          <w:tcPr>
            <w:tcW w:w="330" w:type="pct"/>
            <w:tcBorders>
              <w:top w:val="nil"/>
              <w:left w:val="nil"/>
              <w:bottom w:val="single" w:sz="4" w:space="0" w:color="auto"/>
              <w:right w:val="single" w:sz="4" w:space="0" w:color="auto"/>
            </w:tcBorders>
            <w:shd w:val="clear" w:color="FFFFFF" w:fill="FFFFFF"/>
            <w:vAlign w:val="center"/>
            <w:hideMark/>
          </w:tcPr>
          <w:p w14:paraId="7A9B47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Përcaktimi i kërkesave lidhur me vlerësimin dhe menaxhimin e riskut nga përmbytjet, në Republikën e Shqipërisë, në përputhje me legjislacionin Evropian. </w:t>
            </w:r>
          </w:p>
        </w:tc>
        <w:tc>
          <w:tcPr>
            <w:tcW w:w="126" w:type="pct"/>
            <w:tcBorders>
              <w:top w:val="nil"/>
              <w:left w:val="nil"/>
              <w:bottom w:val="single" w:sz="4" w:space="0" w:color="auto"/>
              <w:right w:val="single" w:sz="4" w:space="0" w:color="auto"/>
            </w:tcBorders>
            <w:shd w:val="clear" w:color="FFFFFF" w:fill="FFFFFF"/>
            <w:vAlign w:val="center"/>
            <w:hideMark/>
          </w:tcPr>
          <w:p w14:paraId="3209A8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37A0D4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FFE2F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455FB0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2FD7A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14FCD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D97B9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40BAD7CC" w14:textId="265168FC"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5AF57E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704F8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BB94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4C9F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59506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75A466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29D94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225D94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7B2821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4DA90C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9415C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Direktiva 2000/60/EC e Parlamentit Evropian dhe e Këshillit, datë 23 tetor 2000, për ngritjen e kuadrit për veprim komunitar në fushën e politikës së burimeve ujore, ndryshuar me; Vendimin nr. 2455/2001/EC </w:t>
            </w:r>
          </w:p>
        </w:tc>
        <w:tc>
          <w:tcPr>
            <w:tcW w:w="668" w:type="pct"/>
            <w:tcBorders>
              <w:top w:val="nil"/>
              <w:left w:val="nil"/>
              <w:bottom w:val="single" w:sz="4" w:space="0" w:color="auto"/>
              <w:right w:val="single" w:sz="4" w:space="0" w:color="auto"/>
            </w:tcBorders>
            <w:shd w:val="clear" w:color="auto" w:fill="auto"/>
            <w:vAlign w:val="center"/>
            <w:hideMark/>
          </w:tcPr>
          <w:p w14:paraId="0B9859AF" w14:textId="77777777" w:rsidR="00482167" w:rsidRPr="006D6BE5" w:rsidRDefault="00E63D69" w:rsidP="00A7241A">
            <w:pPr>
              <w:rPr>
                <w:rFonts w:ascii="Arial" w:hAnsi="Arial" w:cs="Arial"/>
                <w:color w:val="0563C1"/>
                <w:sz w:val="4"/>
                <w:szCs w:val="8"/>
                <w:u w:val="single"/>
                <w:lang w:val="sq-AL"/>
              </w:rPr>
            </w:pPr>
            <w:hyperlink r:id="rId248" w:history="1">
              <w:r w:rsidR="00482167" w:rsidRPr="006D6BE5">
                <w:rPr>
                  <w:rFonts w:ascii="Arial" w:hAnsi="Arial" w:cs="Arial"/>
                  <w:color w:val="0563C1"/>
                  <w:sz w:val="4"/>
                  <w:szCs w:val="8"/>
                  <w:u w:val="single"/>
                  <w:lang w:val="sq-AL"/>
                </w:rPr>
                <w:t xml:space="preserve">http://data.europa.eu/eli/dir/2000/60/2014-11-20 </w:t>
              </w:r>
            </w:hyperlink>
          </w:p>
        </w:tc>
        <w:tc>
          <w:tcPr>
            <w:tcW w:w="506" w:type="pct"/>
            <w:tcBorders>
              <w:top w:val="nil"/>
              <w:left w:val="nil"/>
              <w:bottom w:val="single" w:sz="4" w:space="0" w:color="auto"/>
              <w:right w:val="single" w:sz="4" w:space="0" w:color="auto"/>
            </w:tcBorders>
            <w:shd w:val="clear" w:color="FFFFFF" w:fill="FFFFFF"/>
            <w:vAlign w:val="center"/>
            <w:hideMark/>
          </w:tcPr>
          <w:p w14:paraId="6EB53B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9C809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përcaktimin e autoriteteve kompetente në Rajonet e Baseneve Lumore"</w:t>
            </w:r>
          </w:p>
        </w:tc>
        <w:tc>
          <w:tcPr>
            <w:tcW w:w="330" w:type="pct"/>
            <w:tcBorders>
              <w:top w:val="nil"/>
              <w:left w:val="nil"/>
              <w:bottom w:val="single" w:sz="4" w:space="0" w:color="auto"/>
              <w:right w:val="single" w:sz="4" w:space="0" w:color="auto"/>
            </w:tcBorders>
            <w:shd w:val="clear" w:color="FFFFFF" w:fill="FFFFFF"/>
            <w:vAlign w:val="center"/>
            <w:hideMark/>
          </w:tcPr>
          <w:p w14:paraId="4A0E170C" w14:textId="447FDB2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autoriteteve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kompetente në Rajonet e Baseneve Lumore”, në Republikën e Shqipërisë, në përputhje me legjislacionin Evropian. </w:t>
            </w:r>
          </w:p>
        </w:tc>
        <w:tc>
          <w:tcPr>
            <w:tcW w:w="126" w:type="pct"/>
            <w:tcBorders>
              <w:top w:val="nil"/>
              <w:left w:val="nil"/>
              <w:bottom w:val="single" w:sz="4" w:space="0" w:color="auto"/>
              <w:right w:val="single" w:sz="4" w:space="0" w:color="auto"/>
            </w:tcBorders>
            <w:shd w:val="clear" w:color="FFFFFF" w:fill="FFFFFF"/>
            <w:vAlign w:val="center"/>
            <w:hideMark/>
          </w:tcPr>
          <w:p w14:paraId="1996FD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07D7A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8C038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014C7E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EAB37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98A8B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30543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4BFA32F3" w14:textId="53C8F83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588184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BCE5F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3313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7C6F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9CE38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128F7D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D4C28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27</w:t>
            </w:r>
          </w:p>
        </w:tc>
        <w:tc>
          <w:tcPr>
            <w:tcW w:w="144" w:type="pct"/>
            <w:tcBorders>
              <w:top w:val="nil"/>
              <w:left w:val="nil"/>
              <w:bottom w:val="single" w:sz="4" w:space="0" w:color="auto"/>
              <w:right w:val="single" w:sz="4" w:space="0" w:color="auto"/>
            </w:tcBorders>
            <w:shd w:val="clear" w:color="FFFFFF" w:fill="FFFFFF"/>
            <w:vAlign w:val="center"/>
            <w:hideMark/>
          </w:tcPr>
          <w:p w14:paraId="7DA84E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MTM</w:t>
            </w:r>
          </w:p>
        </w:tc>
        <w:tc>
          <w:tcPr>
            <w:tcW w:w="165" w:type="pct"/>
            <w:tcBorders>
              <w:top w:val="nil"/>
              <w:left w:val="nil"/>
              <w:bottom w:val="single" w:sz="4" w:space="0" w:color="auto"/>
              <w:right w:val="single" w:sz="4" w:space="0" w:color="auto"/>
            </w:tcBorders>
            <w:shd w:val="clear" w:color="FFFFFF" w:fill="FFFFFF"/>
            <w:vAlign w:val="center"/>
            <w:hideMark/>
          </w:tcPr>
          <w:p w14:paraId="3CC5AF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Cilesia e Ujit</w:t>
            </w:r>
          </w:p>
        </w:tc>
        <w:tc>
          <w:tcPr>
            <w:tcW w:w="171" w:type="pct"/>
            <w:tcBorders>
              <w:top w:val="nil"/>
              <w:left w:val="nil"/>
              <w:bottom w:val="single" w:sz="4" w:space="0" w:color="auto"/>
              <w:right w:val="single" w:sz="4" w:space="0" w:color="auto"/>
            </w:tcBorders>
            <w:shd w:val="clear" w:color="FFFFFF" w:fill="FFFFFF"/>
            <w:vAlign w:val="center"/>
            <w:hideMark/>
          </w:tcPr>
          <w:p w14:paraId="06DCE1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661" w:type="pct"/>
            <w:tcBorders>
              <w:top w:val="nil"/>
              <w:left w:val="nil"/>
              <w:bottom w:val="single" w:sz="4" w:space="0" w:color="auto"/>
              <w:right w:val="single" w:sz="4" w:space="0" w:color="auto"/>
            </w:tcBorders>
            <w:shd w:val="clear" w:color="FFFFFF" w:fill="FFFFFF"/>
            <w:vAlign w:val="center"/>
            <w:hideMark/>
          </w:tcPr>
          <w:p w14:paraId="62B85B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2008/56/EC e Parlamentit Evropian dhe e Këshillit, datë 17 qershor 2008, Për ngritjen e kuadrit për veprim komunitar në fushën e politikës detare mjedisore (direktiva kuadër e strategjisë detare; DKSD);</w:t>
            </w:r>
          </w:p>
        </w:tc>
        <w:tc>
          <w:tcPr>
            <w:tcW w:w="668" w:type="pct"/>
            <w:tcBorders>
              <w:top w:val="nil"/>
              <w:left w:val="nil"/>
              <w:bottom w:val="single" w:sz="4" w:space="0" w:color="auto"/>
              <w:right w:val="single" w:sz="4" w:space="0" w:color="auto"/>
            </w:tcBorders>
            <w:shd w:val="clear" w:color="auto" w:fill="auto"/>
            <w:vAlign w:val="center"/>
            <w:hideMark/>
          </w:tcPr>
          <w:p w14:paraId="55A13F14" w14:textId="77777777" w:rsidR="00482167" w:rsidRPr="006D6BE5" w:rsidRDefault="00E63D69" w:rsidP="00A7241A">
            <w:pPr>
              <w:rPr>
                <w:rFonts w:ascii="Arial" w:hAnsi="Arial" w:cs="Arial"/>
                <w:color w:val="0563C1"/>
                <w:sz w:val="4"/>
                <w:szCs w:val="8"/>
                <w:u w:val="single"/>
                <w:lang w:val="sq-AL"/>
              </w:rPr>
            </w:pPr>
            <w:hyperlink r:id="rId249" w:history="1">
              <w:r w:rsidR="00482167" w:rsidRPr="006D6BE5">
                <w:rPr>
                  <w:rFonts w:ascii="Arial" w:hAnsi="Arial" w:cs="Arial"/>
                  <w:color w:val="0563C1"/>
                  <w:sz w:val="4"/>
                  <w:szCs w:val="8"/>
                  <w:u w:val="single"/>
                  <w:lang w:val="sq-AL"/>
                </w:rPr>
                <w:t xml:space="preserve">http://data.europa.eu/eli/dir/2008/56/2017-06-07 </w:t>
              </w:r>
            </w:hyperlink>
          </w:p>
        </w:tc>
        <w:tc>
          <w:tcPr>
            <w:tcW w:w="506" w:type="pct"/>
            <w:tcBorders>
              <w:top w:val="nil"/>
              <w:left w:val="nil"/>
              <w:bottom w:val="single" w:sz="4" w:space="0" w:color="auto"/>
              <w:right w:val="single" w:sz="4" w:space="0" w:color="auto"/>
            </w:tcBorders>
            <w:shd w:val="clear" w:color="FFFFFF" w:fill="FFFFFF"/>
            <w:vAlign w:val="center"/>
            <w:hideMark/>
          </w:tcPr>
          <w:p w14:paraId="25FDD6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61CDBD5" w14:textId="3CF2843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"Per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pergatitjen dhe zbatimin e strategjise detare ne Republikën e Shqipërisë"</w:t>
            </w:r>
          </w:p>
        </w:tc>
        <w:tc>
          <w:tcPr>
            <w:tcW w:w="330" w:type="pct"/>
            <w:tcBorders>
              <w:top w:val="nil"/>
              <w:left w:val="nil"/>
              <w:bottom w:val="single" w:sz="4" w:space="0" w:color="auto"/>
              <w:right w:val="single" w:sz="4" w:space="0" w:color="auto"/>
            </w:tcBorders>
            <w:shd w:val="clear" w:color="auto" w:fill="auto"/>
            <w:vAlign w:val="center"/>
            <w:hideMark/>
          </w:tcPr>
          <w:p w14:paraId="6C2A30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Përgatitjen dhe zbatimin e strategjisë detare në Republikën e Shqipërisë, në përputhje me legjislacionin Evropian. </w:t>
            </w:r>
          </w:p>
        </w:tc>
        <w:tc>
          <w:tcPr>
            <w:tcW w:w="126" w:type="pct"/>
            <w:tcBorders>
              <w:top w:val="nil"/>
              <w:left w:val="nil"/>
              <w:bottom w:val="single" w:sz="4" w:space="0" w:color="auto"/>
              <w:right w:val="single" w:sz="4" w:space="0" w:color="auto"/>
            </w:tcBorders>
            <w:shd w:val="clear" w:color="FFFFFF" w:fill="FFFFFF"/>
            <w:vAlign w:val="center"/>
            <w:hideMark/>
          </w:tcPr>
          <w:p w14:paraId="299297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7D2B7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9C60F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AMBU</w:t>
            </w:r>
          </w:p>
        </w:tc>
        <w:tc>
          <w:tcPr>
            <w:tcW w:w="113" w:type="pct"/>
            <w:tcBorders>
              <w:top w:val="nil"/>
              <w:left w:val="nil"/>
              <w:bottom w:val="single" w:sz="4" w:space="0" w:color="auto"/>
              <w:right w:val="single" w:sz="4" w:space="0" w:color="auto"/>
            </w:tcBorders>
            <w:shd w:val="clear" w:color="FFFFFF" w:fill="FFFFFF"/>
            <w:vAlign w:val="center"/>
            <w:hideMark/>
          </w:tcPr>
          <w:p w14:paraId="6E5AB7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936B2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32718F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99D2C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5,297 </w:t>
            </w:r>
          </w:p>
        </w:tc>
        <w:tc>
          <w:tcPr>
            <w:tcW w:w="126" w:type="pct"/>
            <w:tcBorders>
              <w:top w:val="nil"/>
              <w:left w:val="nil"/>
              <w:bottom w:val="single" w:sz="4" w:space="0" w:color="auto"/>
              <w:right w:val="single" w:sz="4" w:space="0" w:color="auto"/>
            </w:tcBorders>
            <w:shd w:val="clear" w:color="FFFFFF" w:fill="FFFFFF"/>
            <w:vAlign w:val="center"/>
            <w:hideMark/>
          </w:tcPr>
          <w:p w14:paraId="2DBA6204" w14:textId="7F238570"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5,297 </w:t>
            </w:r>
          </w:p>
        </w:tc>
        <w:tc>
          <w:tcPr>
            <w:tcW w:w="117" w:type="pct"/>
            <w:tcBorders>
              <w:top w:val="nil"/>
              <w:left w:val="nil"/>
              <w:bottom w:val="single" w:sz="4" w:space="0" w:color="auto"/>
              <w:right w:val="single" w:sz="4" w:space="0" w:color="auto"/>
            </w:tcBorders>
            <w:shd w:val="clear" w:color="FFFFFF" w:fill="FFFFFF"/>
            <w:vAlign w:val="center"/>
            <w:hideMark/>
          </w:tcPr>
          <w:p w14:paraId="624F02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C22BA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5635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54B49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43F08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972D3D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BB7EE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0A44D1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0D280B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 të përbashkët CMO</w:t>
            </w:r>
          </w:p>
        </w:tc>
        <w:tc>
          <w:tcPr>
            <w:tcW w:w="171" w:type="pct"/>
            <w:tcBorders>
              <w:top w:val="nil"/>
              <w:left w:val="nil"/>
              <w:bottom w:val="single" w:sz="4" w:space="0" w:color="auto"/>
              <w:right w:val="single" w:sz="4" w:space="0" w:color="auto"/>
            </w:tcBorders>
            <w:shd w:val="clear" w:color="FFFFFF" w:fill="FFFFFF"/>
            <w:vAlign w:val="center"/>
            <w:hideMark/>
          </w:tcPr>
          <w:p w14:paraId="545102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Vera</w:t>
            </w:r>
          </w:p>
        </w:tc>
        <w:tc>
          <w:tcPr>
            <w:tcW w:w="661" w:type="pct"/>
            <w:tcBorders>
              <w:top w:val="nil"/>
              <w:left w:val="nil"/>
              <w:bottom w:val="single" w:sz="4" w:space="0" w:color="auto"/>
              <w:right w:val="single" w:sz="4" w:space="0" w:color="auto"/>
            </w:tcBorders>
            <w:shd w:val="clear" w:color="FFFFFF" w:fill="FFFFFF"/>
            <w:vAlign w:val="center"/>
            <w:hideMark/>
          </w:tcPr>
          <w:p w14:paraId="42CDA19C"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Deleguar e Komisionit (BE) 2018/273, datë 11 dhjetor 2017, që plotëson Rregulloren (BE) Nr. 1308/2013 të Parlamentit Evropian dhe të Këshillit në lidhje me skemën e autorizimeve për mbjelljen e vreshtave, regjistrin e vreshtave, dokumentet dhe certifikimin shoqërues, regjistrin hyrës dhe dalës, deklaratat detyruese, njoftimet dhe publikimin e informacionit të njoftuar, dhe që plotëson Rregulloren (BE) Nr. 1306/2013 të Parlamentit Evropian dhe të Këshillit në lidhje me kontrollet dhe gjobat përkatëse, duke ndryshuar Rregulloren e Komisionit (CE) Nr. 555/2008, (CE) Nr. 606/2009 dhe (CE) Nr. 607/2009 dhe duke anuluar Rregulloren e Komisionit (CE) Nr. 436/2009 dhe Rregullorjen Deleguar të Komisionit (BE) 2015/560.</w:t>
            </w:r>
          </w:p>
        </w:tc>
        <w:tc>
          <w:tcPr>
            <w:tcW w:w="668" w:type="pct"/>
            <w:tcBorders>
              <w:top w:val="nil"/>
              <w:left w:val="nil"/>
              <w:bottom w:val="single" w:sz="4" w:space="0" w:color="auto"/>
              <w:right w:val="single" w:sz="4" w:space="0" w:color="auto"/>
            </w:tcBorders>
            <w:shd w:val="clear" w:color="FFFFFF" w:fill="FFFFFF"/>
            <w:vAlign w:val="center"/>
            <w:hideMark/>
          </w:tcPr>
          <w:p w14:paraId="65BDC406" w14:textId="77777777" w:rsidR="00482167" w:rsidRPr="006D6BE5" w:rsidRDefault="00E63D69" w:rsidP="00A7241A">
            <w:pPr>
              <w:rPr>
                <w:rFonts w:ascii="Arial" w:hAnsi="Arial" w:cs="Arial"/>
                <w:color w:val="0563C1"/>
                <w:sz w:val="4"/>
                <w:szCs w:val="8"/>
                <w:u w:val="single"/>
                <w:lang w:val="sq-AL"/>
              </w:rPr>
            </w:pPr>
            <w:hyperlink r:id="rId250" w:history="1">
              <w:r w:rsidR="00482167" w:rsidRPr="006D6BE5">
                <w:rPr>
                  <w:rFonts w:ascii="Arial" w:hAnsi="Arial" w:cs="Arial"/>
                  <w:color w:val="0563C1"/>
                  <w:sz w:val="4"/>
                  <w:szCs w:val="8"/>
                  <w:u w:val="single"/>
                  <w:lang w:val="sq-AL"/>
                </w:rPr>
                <w:t>https://eur-lex.europa.eu/legal-content/EN/TXT/?qid=1560946734599&amp;uri=CELEX:32018R0273</w:t>
              </w:r>
            </w:hyperlink>
          </w:p>
        </w:tc>
        <w:tc>
          <w:tcPr>
            <w:tcW w:w="506" w:type="pct"/>
            <w:tcBorders>
              <w:top w:val="nil"/>
              <w:left w:val="nil"/>
              <w:bottom w:val="single" w:sz="4" w:space="0" w:color="auto"/>
              <w:right w:val="single" w:sz="4" w:space="0" w:color="auto"/>
            </w:tcBorders>
            <w:shd w:val="clear" w:color="FFFFFF" w:fill="FFFFFF"/>
            <w:vAlign w:val="center"/>
            <w:hideMark/>
          </w:tcPr>
          <w:p w14:paraId="3C15F8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1F16D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përbashkët i Ministrit të MBZHR dhe MFE "Për miratimin e formatit të dokumentit shoqërues për transportin e verës".</w:t>
            </w:r>
          </w:p>
        </w:tc>
        <w:tc>
          <w:tcPr>
            <w:tcW w:w="330" w:type="pct"/>
            <w:tcBorders>
              <w:top w:val="nil"/>
              <w:left w:val="nil"/>
              <w:bottom w:val="single" w:sz="4" w:space="0" w:color="auto"/>
              <w:right w:val="single" w:sz="4" w:space="0" w:color="auto"/>
            </w:tcBorders>
            <w:shd w:val="clear" w:color="FFFFFF" w:fill="FFFFFF"/>
            <w:vAlign w:val="center"/>
            <w:hideMark/>
          </w:tcPr>
          <w:p w14:paraId="16017B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Çdo operacion transporti i produkteve të verës, i kryer midis prodhuesve të verës, mbledhësve, prodhuesve, përpunuesve, mbushësve ose tregtarëve, ose nga ata drejt tregtarëve, duhet të shoqërohet nga një dokument shoqërues. Operatorët të cilët përmenden në paragrafin e mësipërm duhet të jenë në gjendje të paraqesin dokumentin shoqërues për autoritetet kompetente gjatë gjithë operacionit të transportit. Akti do të përcaktojë formën e dokumentit shoqërues</w:t>
            </w:r>
          </w:p>
        </w:tc>
        <w:tc>
          <w:tcPr>
            <w:tcW w:w="126" w:type="pct"/>
            <w:tcBorders>
              <w:top w:val="nil"/>
              <w:left w:val="nil"/>
              <w:bottom w:val="single" w:sz="4" w:space="0" w:color="auto"/>
              <w:right w:val="single" w:sz="4" w:space="0" w:color="auto"/>
            </w:tcBorders>
            <w:shd w:val="clear" w:color="FFFFFF" w:fill="FFFFFF"/>
            <w:vAlign w:val="center"/>
            <w:hideMark/>
          </w:tcPr>
          <w:p w14:paraId="51D954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1982B2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auto" w:fill="auto"/>
            <w:vAlign w:val="center"/>
            <w:hideMark/>
          </w:tcPr>
          <w:p w14:paraId="460CBD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MBZHR/MFE</w:t>
            </w:r>
          </w:p>
        </w:tc>
        <w:tc>
          <w:tcPr>
            <w:tcW w:w="113" w:type="pct"/>
            <w:tcBorders>
              <w:top w:val="nil"/>
              <w:left w:val="nil"/>
              <w:bottom w:val="single" w:sz="4" w:space="0" w:color="auto"/>
              <w:right w:val="single" w:sz="4" w:space="0" w:color="auto"/>
            </w:tcBorders>
            <w:shd w:val="clear" w:color="FFFFFF" w:fill="FFFFFF"/>
            <w:vAlign w:val="center"/>
            <w:hideMark/>
          </w:tcPr>
          <w:p w14:paraId="71DB76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0B569E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14FA1B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9F1B8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939820D" w14:textId="3E35690C"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3,693 </w:t>
            </w:r>
          </w:p>
        </w:tc>
        <w:tc>
          <w:tcPr>
            <w:tcW w:w="117" w:type="pct"/>
            <w:tcBorders>
              <w:top w:val="nil"/>
              <w:left w:val="nil"/>
              <w:bottom w:val="single" w:sz="4" w:space="0" w:color="auto"/>
              <w:right w:val="single" w:sz="4" w:space="0" w:color="auto"/>
            </w:tcBorders>
            <w:shd w:val="clear" w:color="FFFFFF" w:fill="FFFFFF"/>
            <w:vAlign w:val="center"/>
            <w:hideMark/>
          </w:tcPr>
          <w:p w14:paraId="1E3EF9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0E90B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5CF9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DCC8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4FBC2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71AA56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535F1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316DEC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11F3D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 të përbashkët CMO</w:t>
            </w:r>
          </w:p>
        </w:tc>
        <w:tc>
          <w:tcPr>
            <w:tcW w:w="171" w:type="pct"/>
            <w:tcBorders>
              <w:top w:val="nil"/>
              <w:left w:val="nil"/>
              <w:bottom w:val="single" w:sz="4" w:space="0" w:color="auto"/>
              <w:right w:val="single" w:sz="4" w:space="0" w:color="auto"/>
            </w:tcBorders>
            <w:shd w:val="clear" w:color="FFFFFF" w:fill="FFFFFF"/>
            <w:vAlign w:val="center"/>
            <w:hideMark/>
          </w:tcPr>
          <w:p w14:paraId="067670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Vera</w:t>
            </w:r>
          </w:p>
        </w:tc>
        <w:tc>
          <w:tcPr>
            <w:tcW w:w="661" w:type="pct"/>
            <w:tcBorders>
              <w:top w:val="nil"/>
              <w:left w:val="nil"/>
              <w:bottom w:val="single" w:sz="4" w:space="0" w:color="auto"/>
              <w:right w:val="single" w:sz="4" w:space="0" w:color="auto"/>
            </w:tcBorders>
            <w:shd w:val="clear" w:color="FFFFFF" w:fill="FFFFFF"/>
            <w:vAlign w:val="center"/>
            <w:hideMark/>
          </w:tcPr>
          <w:p w14:paraId="08B633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deleguar e Komisionit (BE) 2019/33 e 17 tetorit 2018 duke plotësuar Rregulloren (BE) nr. 1308/2013 të Parlamentit Evropian dhe të Këshillit në lidhje me aplikimet për mbrojtjen e emërtimeve të origjinës, treguesve gjeografikë dhe termave tradicionalë në sektorin e verës, procedurën e kundërshtimit, kufizimet e përdorimit, ndryshimet në specifikimet e produktit, anulimin e mbrojtjes dhe etiketimin dhe paraqitjen</w:t>
            </w:r>
          </w:p>
        </w:tc>
        <w:tc>
          <w:tcPr>
            <w:tcW w:w="668" w:type="pct"/>
            <w:tcBorders>
              <w:top w:val="nil"/>
              <w:left w:val="nil"/>
              <w:bottom w:val="single" w:sz="4" w:space="0" w:color="auto"/>
              <w:right w:val="single" w:sz="4" w:space="0" w:color="auto"/>
            </w:tcBorders>
            <w:shd w:val="clear" w:color="FFFFFF" w:fill="FFFFFF"/>
            <w:vAlign w:val="center"/>
            <w:hideMark/>
          </w:tcPr>
          <w:p w14:paraId="50E3F62B" w14:textId="77777777" w:rsidR="00482167" w:rsidRPr="006D6BE5" w:rsidRDefault="00E63D69" w:rsidP="00A7241A">
            <w:pPr>
              <w:rPr>
                <w:rFonts w:ascii="Arial" w:hAnsi="Arial" w:cs="Arial"/>
                <w:color w:val="0563C1"/>
                <w:sz w:val="4"/>
                <w:szCs w:val="8"/>
                <w:u w:val="single"/>
                <w:lang w:val="sq-AL"/>
              </w:rPr>
            </w:pPr>
            <w:hyperlink r:id="rId251" w:history="1">
              <w:r w:rsidR="00482167" w:rsidRPr="006D6BE5">
                <w:rPr>
                  <w:rFonts w:ascii="Arial" w:hAnsi="Arial" w:cs="Arial"/>
                  <w:color w:val="0563C1"/>
                  <w:sz w:val="4"/>
                  <w:szCs w:val="8"/>
                  <w:u w:val="single"/>
                  <w:lang w:val="sq-AL"/>
                </w:rPr>
                <w:t>http://data.europa.eu/eli/reg_impl/2019/34/oj</w:t>
              </w:r>
            </w:hyperlink>
          </w:p>
        </w:tc>
        <w:tc>
          <w:tcPr>
            <w:tcW w:w="506" w:type="pct"/>
            <w:tcBorders>
              <w:top w:val="nil"/>
              <w:left w:val="nil"/>
              <w:bottom w:val="single" w:sz="4" w:space="0" w:color="auto"/>
              <w:right w:val="single" w:sz="4" w:space="0" w:color="auto"/>
            </w:tcBorders>
            <w:shd w:val="clear" w:color="FFFFFF" w:fill="FFFFFF"/>
            <w:vAlign w:val="center"/>
            <w:hideMark/>
          </w:tcPr>
          <w:p w14:paraId="5467C2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BAE39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Projektudhëzim i Ministrit të Bujqësisë dhe Zhvillimit Rural "Për miratimin e formës dhe përmbajtjes së Regjistrit për termat tradicionalë".</w:t>
            </w:r>
          </w:p>
        </w:tc>
        <w:tc>
          <w:tcPr>
            <w:tcW w:w="330" w:type="pct"/>
            <w:tcBorders>
              <w:top w:val="nil"/>
              <w:left w:val="nil"/>
              <w:bottom w:val="single" w:sz="4" w:space="0" w:color="auto"/>
              <w:right w:val="single" w:sz="4" w:space="0" w:color="auto"/>
            </w:tcBorders>
            <w:shd w:val="clear" w:color="FFFFFF" w:fill="FFFFFF"/>
            <w:vAlign w:val="center"/>
            <w:hideMark/>
          </w:tcPr>
          <w:p w14:paraId="55E35B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Përafrimii lidhet me formën dhe të dhënat që duhet të përfshihen në regjistrin e termave tradicionalë</w:t>
            </w:r>
          </w:p>
        </w:tc>
        <w:tc>
          <w:tcPr>
            <w:tcW w:w="126" w:type="pct"/>
            <w:tcBorders>
              <w:top w:val="nil"/>
              <w:left w:val="nil"/>
              <w:bottom w:val="single" w:sz="4" w:space="0" w:color="auto"/>
              <w:right w:val="single" w:sz="4" w:space="0" w:color="auto"/>
            </w:tcBorders>
            <w:shd w:val="clear" w:color="FFFFFF" w:fill="FFFFFF"/>
            <w:vAlign w:val="center"/>
            <w:hideMark/>
          </w:tcPr>
          <w:p w14:paraId="0E343F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05822B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DCB5B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2D7FA9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58E28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9A1FA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61E1E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C915486" w14:textId="5A9A8FF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1,553 </w:t>
            </w:r>
          </w:p>
        </w:tc>
        <w:tc>
          <w:tcPr>
            <w:tcW w:w="117" w:type="pct"/>
            <w:tcBorders>
              <w:top w:val="nil"/>
              <w:left w:val="nil"/>
              <w:bottom w:val="single" w:sz="4" w:space="0" w:color="auto"/>
              <w:right w:val="single" w:sz="4" w:space="0" w:color="auto"/>
            </w:tcBorders>
            <w:shd w:val="clear" w:color="FFFFFF" w:fill="FFFFFF"/>
            <w:vAlign w:val="center"/>
            <w:hideMark/>
          </w:tcPr>
          <w:p w14:paraId="1E648A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27C0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0DB8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7DAB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F2485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B2FD6A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4473B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4BD0DE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26FCB9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 të përbashkët CMO</w:t>
            </w:r>
          </w:p>
        </w:tc>
        <w:tc>
          <w:tcPr>
            <w:tcW w:w="171" w:type="pct"/>
            <w:tcBorders>
              <w:top w:val="nil"/>
              <w:left w:val="nil"/>
              <w:bottom w:val="single" w:sz="4" w:space="0" w:color="auto"/>
              <w:right w:val="single" w:sz="4" w:space="0" w:color="auto"/>
            </w:tcBorders>
            <w:shd w:val="clear" w:color="FFFFFF" w:fill="FFFFFF"/>
            <w:vAlign w:val="center"/>
            <w:hideMark/>
          </w:tcPr>
          <w:p w14:paraId="48744E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Vera</w:t>
            </w:r>
          </w:p>
        </w:tc>
        <w:tc>
          <w:tcPr>
            <w:tcW w:w="661" w:type="pct"/>
            <w:tcBorders>
              <w:top w:val="nil"/>
              <w:left w:val="nil"/>
              <w:bottom w:val="single" w:sz="4" w:space="0" w:color="auto"/>
              <w:right w:val="single" w:sz="4" w:space="0" w:color="auto"/>
            </w:tcBorders>
            <w:shd w:val="clear" w:color="FFFFFF" w:fill="FFFFFF"/>
            <w:vAlign w:val="center"/>
            <w:hideMark/>
          </w:tcPr>
          <w:p w14:paraId="30F442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2019/34, datë 17 tetor 2018, që përcakton rregullat për zbatimin e Rregullores (BE) Nr. 1308/2013 të Parlamentit Evropian dhe të Këshillit në lidhje me kërkesat për mbrojtjen e emërtimeve të origjinës, treguesve gjeografikë dhe termave tradicionalë në sektorin e verës, procedurën e refuzimit, ndryshimet në specifikimet e produktit, regjistrin e emrave të mbrojtur, anulimin e mbrojtjes dhe përdorimin e simboleve, dhe të Rregullores (BE) Nr. 1306/2013 të Parlamentit Evropian dhe të Këshillit në lidhje me një sistem të përshtatshëm të kontrollit.</w:t>
            </w:r>
          </w:p>
        </w:tc>
        <w:tc>
          <w:tcPr>
            <w:tcW w:w="668" w:type="pct"/>
            <w:tcBorders>
              <w:top w:val="nil"/>
              <w:left w:val="nil"/>
              <w:bottom w:val="single" w:sz="4" w:space="0" w:color="auto"/>
              <w:right w:val="single" w:sz="4" w:space="0" w:color="auto"/>
            </w:tcBorders>
            <w:shd w:val="clear" w:color="FFFFFF" w:fill="FFFFFF"/>
            <w:vAlign w:val="center"/>
            <w:hideMark/>
          </w:tcPr>
          <w:p w14:paraId="25B510BE" w14:textId="77777777" w:rsidR="00482167" w:rsidRPr="006D6BE5" w:rsidRDefault="00E63D69" w:rsidP="00A7241A">
            <w:pPr>
              <w:rPr>
                <w:rFonts w:ascii="Arial" w:hAnsi="Arial" w:cs="Arial"/>
                <w:color w:val="0563C1"/>
                <w:sz w:val="4"/>
                <w:szCs w:val="8"/>
                <w:u w:val="single"/>
                <w:lang w:val="sq-AL"/>
              </w:rPr>
            </w:pPr>
            <w:hyperlink r:id="rId252" w:history="1">
              <w:r w:rsidR="00482167" w:rsidRPr="006D6BE5">
                <w:rPr>
                  <w:rFonts w:ascii="Arial" w:hAnsi="Arial" w:cs="Arial"/>
                  <w:color w:val="0563C1"/>
                  <w:sz w:val="4"/>
                  <w:szCs w:val="8"/>
                  <w:u w:val="single"/>
                  <w:lang w:val="sq-AL"/>
                </w:rPr>
                <w:t>http://data.europa.eu/eli/reg_impl/2019/34/oj</w:t>
              </w:r>
            </w:hyperlink>
          </w:p>
        </w:tc>
        <w:tc>
          <w:tcPr>
            <w:tcW w:w="506" w:type="pct"/>
            <w:tcBorders>
              <w:top w:val="nil"/>
              <w:left w:val="nil"/>
              <w:bottom w:val="single" w:sz="4" w:space="0" w:color="auto"/>
              <w:right w:val="single" w:sz="4" w:space="0" w:color="auto"/>
            </w:tcBorders>
            <w:shd w:val="clear" w:color="FFFFFF" w:fill="FFFFFF"/>
            <w:vAlign w:val="center"/>
            <w:hideMark/>
          </w:tcPr>
          <w:p w14:paraId="2E500C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FF510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të Bujqësisë dhe Zhvillimit Rural "Modeli i kërkesës dhe kundërshtimit për termat tradicionalë".</w:t>
            </w:r>
          </w:p>
        </w:tc>
        <w:tc>
          <w:tcPr>
            <w:tcW w:w="330" w:type="pct"/>
            <w:tcBorders>
              <w:top w:val="nil"/>
              <w:left w:val="nil"/>
              <w:bottom w:val="single" w:sz="4" w:space="0" w:color="auto"/>
              <w:right w:val="single" w:sz="4" w:space="0" w:color="auto"/>
            </w:tcBorders>
            <w:shd w:val="clear" w:color="FFFFFF" w:fill="FFFFFF"/>
            <w:vAlign w:val="center"/>
            <w:hideMark/>
          </w:tcPr>
          <w:p w14:paraId="079594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Përafrimi lidhet me rregullat për zbatimin e ligjit mbi verat në termat tradicionalë, në lidhje me:</w:t>
            </w:r>
            <w:r w:rsidRPr="006D6BE5">
              <w:rPr>
                <w:rFonts w:ascii="Arial" w:hAnsi="Arial" w:cs="Arial"/>
                <w:color w:val="000000"/>
                <w:sz w:val="4"/>
                <w:szCs w:val="8"/>
                <w:lang w:val="sq-AL"/>
              </w:rPr>
              <w:br/>
            </w:r>
            <w:r w:rsidRPr="006D6BE5">
              <w:rPr>
                <w:rFonts w:ascii="Arial" w:hAnsi="Arial" w:cs="Arial"/>
                <w:color w:val="000000"/>
                <w:sz w:val="4"/>
                <w:szCs w:val="8"/>
                <w:lang w:val="sq-AL"/>
              </w:rPr>
              <w:br/>
              <w:t>-formën e aplikimit për mbrojtje</w:t>
            </w:r>
            <w:r w:rsidRPr="006D6BE5">
              <w:rPr>
                <w:rFonts w:ascii="Arial" w:hAnsi="Arial" w:cs="Arial"/>
                <w:color w:val="000000"/>
                <w:sz w:val="4"/>
                <w:szCs w:val="8"/>
                <w:lang w:val="sq-AL"/>
              </w:rPr>
              <w:br/>
              <w:t>-formën për procedurën e kundërshtimit</w:t>
            </w:r>
            <w:r w:rsidRPr="006D6BE5">
              <w:rPr>
                <w:rFonts w:ascii="Arial" w:hAnsi="Arial" w:cs="Arial"/>
                <w:color w:val="000000"/>
                <w:sz w:val="4"/>
                <w:szCs w:val="8"/>
                <w:lang w:val="sq-AL"/>
              </w:rPr>
              <w:br/>
              <w:t>-kërkesën për modifikim në lidhje me një term tradicional</w:t>
            </w:r>
          </w:p>
        </w:tc>
        <w:tc>
          <w:tcPr>
            <w:tcW w:w="126" w:type="pct"/>
            <w:tcBorders>
              <w:top w:val="nil"/>
              <w:left w:val="nil"/>
              <w:bottom w:val="single" w:sz="4" w:space="0" w:color="auto"/>
              <w:right w:val="single" w:sz="4" w:space="0" w:color="auto"/>
            </w:tcBorders>
            <w:shd w:val="clear" w:color="FFFFFF" w:fill="FFFFFF"/>
            <w:vAlign w:val="center"/>
            <w:hideMark/>
          </w:tcPr>
          <w:p w14:paraId="106744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4CA76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61FDC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F651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356EA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875F8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0C227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37777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984</w:t>
            </w:r>
          </w:p>
        </w:tc>
        <w:tc>
          <w:tcPr>
            <w:tcW w:w="117" w:type="pct"/>
            <w:tcBorders>
              <w:top w:val="nil"/>
              <w:left w:val="nil"/>
              <w:bottom w:val="single" w:sz="4" w:space="0" w:color="auto"/>
              <w:right w:val="single" w:sz="4" w:space="0" w:color="auto"/>
            </w:tcBorders>
            <w:shd w:val="clear" w:color="FFFFFF" w:fill="FFFFFF"/>
            <w:vAlign w:val="center"/>
            <w:hideMark/>
          </w:tcPr>
          <w:p w14:paraId="192B6B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1CACE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51A4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17C9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9362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78783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54AB0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6D5054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3DCBC5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Fermat Organike</w:t>
            </w:r>
          </w:p>
        </w:tc>
        <w:tc>
          <w:tcPr>
            <w:tcW w:w="171" w:type="pct"/>
            <w:tcBorders>
              <w:top w:val="nil"/>
              <w:left w:val="nil"/>
              <w:bottom w:val="single" w:sz="4" w:space="0" w:color="auto"/>
              <w:right w:val="single" w:sz="4" w:space="0" w:color="auto"/>
            </w:tcBorders>
            <w:shd w:val="clear" w:color="FFFFFF" w:fill="FFFFFF"/>
            <w:vAlign w:val="center"/>
            <w:hideMark/>
          </w:tcPr>
          <w:p w14:paraId="4D5F33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Parimet dhe rregullat e përgjithshme mbi bujqësinë organike</w:t>
            </w:r>
          </w:p>
        </w:tc>
        <w:tc>
          <w:tcPr>
            <w:tcW w:w="661" w:type="pct"/>
            <w:tcBorders>
              <w:top w:val="nil"/>
              <w:left w:val="nil"/>
              <w:bottom w:val="single" w:sz="4" w:space="0" w:color="auto"/>
              <w:right w:val="single" w:sz="4" w:space="0" w:color="auto"/>
            </w:tcBorders>
            <w:shd w:val="clear" w:color="FFFFFF" w:fill="FFFFFF"/>
            <w:vAlign w:val="center"/>
            <w:hideMark/>
          </w:tcPr>
          <w:p w14:paraId="584DC10C"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(BE) 2018/848 e Parlamentit Evropian dhe e Këshillit, datë 30 maj 2018, "Për prodhimin organik dhe etiketimin e produkteve organike dhe shfuqizimin e rregullores së Këshillit (BE) nr. 834/2007</w:t>
            </w:r>
          </w:p>
        </w:tc>
        <w:tc>
          <w:tcPr>
            <w:tcW w:w="668" w:type="pct"/>
            <w:tcBorders>
              <w:top w:val="nil"/>
              <w:left w:val="nil"/>
              <w:bottom w:val="single" w:sz="4" w:space="0" w:color="auto"/>
              <w:right w:val="single" w:sz="4" w:space="0" w:color="auto"/>
            </w:tcBorders>
            <w:shd w:val="clear" w:color="FFFFFF" w:fill="FFFFFF"/>
            <w:vAlign w:val="center"/>
            <w:hideMark/>
          </w:tcPr>
          <w:p w14:paraId="39F3BD5B" w14:textId="77777777" w:rsidR="00482167" w:rsidRPr="006D6BE5" w:rsidRDefault="00E63D69" w:rsidP="00A7241A">
            <w:pPr>
              <w:rPr>
                <w:rFonts w:ascii="Arial" w:hAnsi="Arial" w:cs="Arial"/>
                <w:color w:val="0563C1"/>
                <w:sz w:val="4"/>
                <w:szCs w:val="8"/>
                <w:u w:val="single"/>
                <w:lang w:val="sq-AL"/>
              </w:rPr>
            </w:pPr>
            <w:hyperlink r:id="rId253" w:history="1">
              <w:r w:rsidR="00482167" w:rsidRPr="006D6BE5">
                <w:rPr>
                  <w:rFonts w:ascii="Arial" w:hAnsi="Arial" w:cs="Arial"/>
                  <w:color w:val="0563C1"/>
                  <w:sz w:val="4"/>
                  <w:szCs w:val="8"/>
                  <w:u w:val="single"/>
                  <w:lang w:val="sq-AL"/>
                </w:rPr>
                <w:t>http://data.europa.eu/eli/reg/2018/848/oj</w:t>
              </w:r>
            </w:hyperlink>
          </w:p>
        </w:tc>
        <w:tc>
          <w:tcPr>
            <w:tcW w:w="506" w:type="pct"/>
            <w:tcBorders>
              <w:top w:val="nil"/>
              <w:left w:val="nil"/>
              <w:bottom w:val="single" w:sz="4" w:space="0" w:color="auto"/>
              <w:right w:val="single" w:sz="4" w:space="0" w:color="auto"/>
            </w:tcBorders>
            <w:shd w:val="clear" w:color="FFFFFF" w:fill="FFFFFF"/>
            <w:vAlign w:val="center"/>
            <w:hideMark/>
          </w:tcPr>
          <w:p w14:paraId="56B417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5EE33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prodhimin biologjik dhe etiketimin e produkteve biologjike".</w:t>
            </w:r>
          </w:p>
        </w:tc>
        <w:tc>
          <w:tcPr>
            <w:tcW w:w="330" w:type="pct"/>
            <w:tcBorders>
              <w:top w:val="nil"/>
              <w:left w:val="nil"/>
              <w:bottom w:val="single" w:sz="4" w:space="0" w:color="auto"/>
              <w:right w:val="single" w:sz="4" w:space="0" w:color="auto"/>
            </w:tcBorders>
            <w:shd w:val="clear" w:color="FFFFFF" w:fill="FFFFFF"/>
            <w:vAlign w:val="center"/>
            <w:hideMark/>
          </w:tcPr>
          <w:p w14:paraId="2E3873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Parimet e prodhimit organik dhe përcaktimi i rregullave:</w:t>
            </w:r>
            <w:r w:rsidRPr="006D6BE5">
              <w:rPr>
                <w:rFonts w:ascii="Arial" w:hAnsi="Arial" w:cs="Arial"/>
                <w:color w:val="000000"/>
                <w:sz w:val="4"/>
                <w:szCs w:val="8"/>
                <w:lang w:val="sq-AL"/>
              </w:rPr>
              <w:br/>
              <w:t xml:space="preserve"> - në lidhje me prodhimin organik, certifikimin përkatës</w:t>
            </w:r>
            <w:r w:rsidRPr="006D6BE5">
              <w:rPr>
                <w:rFonts w:ascii="Arial" w:hAnsi="Arial" w:cs="Arial"/>
                <w:color w:val="000000"/>
                <w:sz w:val="4"/>
                <w:szCs w:val="8"/>
                <w:lang w:val="sq-AL"/>
              </w:rPr>
              <w:br/>
              <w:t xml:space="preserve"> - për përdorimin e indikacioneve që i referohen prodhimit organik në etiketim dhe reklamim, </w:t>
            </w:r>
            <w:r w:rsidRPr="006D6BE5">
              <w:rPr>
                <w:rFonts w:ascii="Arial" w:hAnsi="Arial" w:cs="Arial"/>
                <w:color w:val="000000"/>
                <w:sz w:val="4"/>
                <w:szCs w:val="8"/>
                <w:lang w:val="sq-AL"/>
              </w:rPr>
              <w:br/>
              <w:t>- për kontrollet shtesë të atyre të përcaktuara në legjislacionin në fuqi për kontrollet zyrtare mbi ushqimin dhe ushqimin</w:t>
            </w:r>
          </w:p>
        </w:tc>
        <w:tc>
          <w:tcPr>
            <w:tcW w:w="126" w:type="pct"/>
            <w:tcBorders>
              <w:top w:val="nil"/>
              <w:left w:val="nil"/>
              <w:bottom w:val="single" w:sz="4" w:space="0" w:color="auto"/>
              <w:right w:val="single" w:sz="4" w:space="0" w:color="auto"/>
            </w:tcBorders>
            <w:shd w:val="clear" w:color="FFFFFF" w:fill="FFFFFF"/>
            <w:vAlign w:val="center"/>
            <w:hideMark/>
          </w:tcPr>
          <w:p w14:paraId="46BE91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7E2BC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066FC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9E53D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A788B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6D895F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A1779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FFFFFF" w:fill="FFFFFF"/>
            <w:vAlign w:val="center"/>
            <w:hideMark/>
          </w:tcPr>
          <w:p w14:paraId="018BFC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260DD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917F5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71ECE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E111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C5F70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9E549D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CA8B1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1EBB79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92FCD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Fermat Organike</w:t>
            </w:r>
          </w:p>
        </w:tc>
        <w:tc>
          <w:tcPr>
            <w:tcW w:w="171" w:type="pct"/>
            <w:tcBorders>
              <w:top w:val="nil"/>
              <w:left w:val="nil"/>
              <w:bottom w:val="single" w:sz="4" w:space="0" w:color="auto"/>
              <w:right w:val="single" w:sz="4" w:space="0" w:color="auto"/>
            </w:tcBorders>
            <w:shd w:val="clear" w:color="FFFFFF" w:fill="FFFFFF"/>
            <w:vAlign w:val="center"/>
            <w:hideMark/>
          </w:tcPr>
          <w:p w14:paraId="59FA10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Importi i produkteve organike</w:t>
            </w:r>
          </w:p>
        </w:tc>
        <w:tc>
          <w:tcPr>
            <w:tcW w:w="661" w:type="pct"/>
            <w:tcBorders>
              <w:top w:val="nil"/>
              <w:left w:val="nil"/>
              <w:bottom w:val="single" w:sz="4" w:space="0" w:color="auto"/>
              <w:right w:val="single" w:sz="4" w:space="0" w:color="auto"/>
            </w:tcBorders>
            <w:shd w:val="clear" w:color="FFFFFF" w:fill="FFFFFF"/>
            <w:vAlign w:val="center"/>
            <w:hideMark/>
          </w:tcPr>
          <w:p w14:paraId="694677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Zbatuese e Komisionit (BE) 2021/1378 e 19 gushtit 2021 "Për përcaktimin e disa rregullave lidhur me certifikatën e lëshuar operatorëve, grupeve të operatorëve dhe eksportuesve në vendet e treta të përfshira në importet e produkteve organike dhe në konvertim në Bashkim dhe vendosjen e listës së autoriteteve të njohura të kontrollit dhe organeve të kontrollit në përputhje me Rregulloren (BE) 2018/848 </w:t>
            </w:r>
          </w:p>
        </w:tc>
        <w:tc>
          <w:tcPr>
            <w:tcW w:w="668" w:type="pct"/>
            <w:tcBorders>
              <w:top w:val="nil"/>
              <w:left w:val="nil"/>
              <w:bottom w:val="single" w:sz="4" w:space="0" w:color="auto"/>
              <w:right w:val="single" w:sz="4" w:space="0" w:color="auto"/>
            </w:tcBorders>
            <w:shd w:val="clear" w:color="FFFFFF" w:fill="FFFFFF"/>
            <w:vAlign w:val="center"/>
            <w:hideMark/>
          </w:tcPr>
          <w:p w14:paraId="4F765118" w14:textId="77777777" w:rsidR="00482167" w:rsidRPr="006D6BE5" w:rsidRDefault="00E63D69" w:rsidP="00A7241A">
            <w:pPr>
              <w:rPr>
                <w:rFonts w:ascii="Arial" w:hAnsi="Arial" w:cs="Arial"/>
                <w:color w:val="0563C1"/>
                <w:sz w:val="4"/>
                <w:szCs w:val="8"/>
                <w:u w:val="single"/>
                <w:lang w:val="sq-AL"/>
              </w:rPr>
            </w:pPr>
            <w:hyperlink r:id="rId254" w:history="1">
              <w:r w:rsidR="00482167" w:rsidRPr="006D6BE5">
                <w:rPr>
                  <w:rFonts w:ascii="Arial" w:hAnsi="Arial" w:cs="Arial"/>
                  <w:color w:val="0563C1"/>
                  <w:sz w:val="4"/>
                  <w:szCs w:val="8"/>
                  <w:u w:val="single"/>
                  <w:lang w:val="sq-AL"/>
                </w:rPr>
                <w:t>http://data.europa.eu/eli/reg_impl/2021/1378/oj</w:t>
              </w:r>
            </w:hyperlink>
          </w:p>
        </w:tc>
        <w:tc>
          <w:tcPr>
            <w:tcW w:w="506" w:type="pct"/>
            <w:tcBorders>
              <w:top w:val="nil"/>
              <w:left w:val="nil"/>
              <w:bottom w:val="single" w:sz="4" w:space="0" w:color="auto"/>
              <w:right w:val="single" w:sz="4" w:space="0" w:color="auto"/>
            </w:tcBorders>
            <w:shd w:val="clear" w:color="FFFFFF" w:fill="FFFFFF"/>
            <w:vAlign w:val="center"/>
            <w:hideMark/>
          </w:tcPr>
          <w:p w14:paraId="0911EF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015E7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rregullat e detajuara për kushtet, masat dhe kontrollet e produkteve organike dhe të konvertimit të importuara në pikat e inspektimit kufitar.</w:t>
            </w:r>
          </w:p>
        </w:tc>
        <w:tc>
          <w:tcPr>
            <w:tcW w:w="330" w:type="pct"/>
            <w:tcBorders>
              <w:top w:val="nil"/>
              <w:left w:val="nil"/>
              <w:bottom w:val="single" w:sz="4" w:space="0" w:color="auto"/>
              <w:right w:val="single" w:sz="4" w:space="0" w:color="auto"/>
            </w:tcBorders>
            <w:shd w:val="clear" w:color="FFFFFF" w:fill="FFFFFF"/>
            <w:vAlign w:val="center"/>
            <w:hideMark/>
          </w:tcPr>
          <w:p w14:paraId="335D843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Kushtet e detajuara për importin e produkteve organike, masat e marra gjatë kontrolleve në pikat e inspektimit kufitar (PIK) dhe kontrollet për produktet organike dhe në konvertim të importuara si dhe certifikatën që shoqëron produktet organike</w:t>
            </w:r>
          </w:p>
        </w:tc>
        <w:tc>
          <w:tcPr>
            <w:tcW w:w="126" w:type="pct"/>
            <w:tcBorders>
              <w:top w:val="nil"/>
              <w:left w:val="nil"/>
              <w:bottom w:val="single" w:sz="4" w:space="0" w:color="auto"/>
              <w:right w:val="single" w:sz="4" w:space="0" w:color="auto"/>
            </w:tcBorders>
            <w:shd w:val="clear" w:color="FFFFFF" w:fill="FFFFFF"/>
            <w:vAlign w:val="center"/>
            <w:hideMark/>
          </w:tcPr>
          <w:p w14:paraId="25A51B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4A2F06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0929D2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2486AD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DC07E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CD486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0482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A33BCC8" w14:textId="608392A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3,600 </w:t>
            </w:r>
          </w:p>
        </w:tc>
        <w:tc>
          <w:tcPr>
            <w:tcW w:w="117" w:type="pct"/>
            <w:tcBorders>
              <w:top w:val="nil"/>
              <w:left w:val="nil"/>
              <w:bottom w:val="single" w:sz="4" w:space="0" w:color="auto"/>
              <w:right w:val="single" w:sz="4" w:space="0" w:color="auto"/>
            </w:tcBorders>
            <w:shd w:val="clear" w:color="FFFFFF" w:fill="FFFFFF"/>
            <w:vAlign w:val="center"/>
            <w:hideMark/>
          </w:tcPr>
          <w:p w14:paraId="1DDE04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9650C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9A8D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2BF6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98E0F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5FBF79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C4F3D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11</w:t>
            </w:r>
          </w:p>
        </w:tc>
        <w:tc>
          <w:tcPr>
            <w:tcW w:w="144" w:type="pct"/>
            <w:tcBorders>
              <w:top w:val="nil"/>
              <w:left w:val="nil"/>
              <w:bottom w:val="single" w:sz="4" w:space="0" w:color="auto"/>
              <w:right w:val="single" w:sz="4" w:space="0" w:color="auto"/>
            </w:tcBorders>
            <w:shd w:val="clear" w:color="FFFFFF" w:fill="FFFFFF"/>
            <w:vAlign w:val="center"/>
            <w:hideMark/>
          </w:tcPr>
          <w:p w14:paraId="46F1D4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466C6A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Fermat Organike</w:t>
            </w:r>
          </w:p>
        </w:tc>
        <w:tc>
          <w:tcPr>
            <w:tcW w:w="171" w:type="pct"/>
            <w:tcBorders>
              <w:top w:val="nil"/>
              <w:left w:val="nil"/>
              <w:bottom w:val="single" w:sz="4" w:space="0" w:color="auto"/>
              <w:right w:val="single" w:sz="4" w:space="0" w:color="auto"/>
            </w:tcBorders>
            <w:shd w:val="clear" w:color="FFFFFF" w:fill="FFFFFF"/>
            <w:vAlign w:val="center"/>
            <w:hideMark/>
          </w:tcPr>
          <w:p w14:paraId="482D10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Blegtoria organike</w:t>
            </w:r>
          </w:p>
        </w:tc>
        <w:tc>
          <w:tcPr>
            <w:tcW w:w="661" w:type="pct"/>
            <w:tcBorders>
              <w:top w:val="nil"/>
              <w:left w:val="nil"/>
              <w:bottom w:val="single" w:sz="4" w:space="0" w:color="auto"/>
              <w:right w:val="single" w:sz="4" w:space="0" w:color="auto"/>
            </w:tcBorders>
            <w:shd w:val="clear" w:color="FFFFFF" w:fill="FFFFFF"/>
            <w:vAlign w:val="center"/>
            <w:hideMark/>
          </w:tcPr>
          <w:p w14:paraId="03E566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2018/848 e Parlamentit Evropian dhe e Këshillit, datë 30 maj 2018, "Për prodhimin organik dhe etiketimin e produkteve organike dhe shfuqizimin e rregullores së Këshillit (BE) nr. 834/2007</w:t>
            </w:r>
          </w:p>
        </w:tc>
        <w:tc>
          <w:tcPr>
            <w:tcW w:w="668" w:type="pct"/>
            <w:tcBorders>
              <w:top w:val="nil"/>
              <w:left w:val="nil"/>
              <w:bottom w:val="single" w:sz="4" w:space="0" w:color="auto"/>
              <w:right w:val="single" w:sz="4" w:space="0" w:color="auto"/>
            </w:tcBorders>
            <w:shd w:val="clear" w:color="FFFFFF" w:fill="FFFFFF"/>
            <w:vAlign w:val="center"/>
            <w:hideMark/>
          </w:tcPr>
          <w:p w14:paraId="12A5E240" w14:textId="77777777" w:rsidR="00482167" w:rsidRPr="006D6BE5" w:rsidRDefault="00E63D69" w:rsidP="00A7241A">
            <w:pPr>
              <w:rPr>
                <w:rFonts w:ascii="Arial" w:hAnsi="Arial" w:cs="Arial"/>
                <w:color w:val="0563C1"/>
                <w:sz w:val="4"/>
                <w:szCs w:val="8"/>
                <w:u w:val="single"/>
                <w:lang w:val="sq-AL"/>
              </w:rPr>
            </w:pPr>
            <w:hyperlink r:id="rId255" w:history="1">
              <w:r w:rsidR="00482167" w:rsidRPr="006D6BE5">
                <w:rPr>
                  <w:rFonts w:ascii="Arial" w:hAnsi="Arial" w:cs="Arial"/>
                  <w:color w:val="0563C1"/>
                  <w:sz w:val="4"/>
                  <w:szCs w:val="8"/>
                  <w:u w:val="single"/>
                  <w:lang w:val="sq-AL"/>
                </w:rPr>
                <w:t>http://data.europa.eu/eli/reg/2018/848/oj</w:t>
              </w:r>
            </w:hyperlink>
          </w:p>
        </w:tc>
        <w:tc>
          <w:tcPr>
            <w:tcW w:w="506" w:type="pct"/>
            <w:tcBorders>
              <w:top w:val="nil"/>
              <w:left w:val="nil"/>
              <w:bottom w:val="single" w:sz="4" w:space="0" w:color="auto"/>
              <w:right w:val="single" w:sz="4" w:space="0" w:color="auto"/>
            </w:tcBorders>
            <w:shd w:val="clear" w:color="FFFFFF" w:fill="FFFFFF"/>
            <w:vAlign w:val="center"/>
            <w:hideMark/>
          </w:tcPr>
          <w:p w14:paraId="00E57C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EF67B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"Për rregulla specifike për prodhimin blegtoral organik, si dhe mbajtjen e detyrueshme të evidencës"</w:t>
            </w:r>
          </w:p>
        </w:tc>
        <w:tc>
          <w:tcPr>
            <w:tcW w:w="330" w:type="pct"/>
            <w:tcBorders>
              <w:top w:val="nil"/>
              <w:left w:val="nil"/>
              <w:bottom w:val="single" w:sz="4" w:space="0" w:color="auto"/>
              <w:right w:val="single" w:sz="4" w:space="0" w:color="auto"/>
            </w:tcBorders>
            <w:shd w:val="clear" w:color="FFFFFF" w:fill="FFFFFF"/>
            <w:vAlign w:val="center"/>
            <w:hideMark/>
          </w:tcPr>
          <w:p w14:paraId="50EB8F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e prodhimit blegtoral si: Rregullat e konvertimit, Origjina e kafshëve, Ushqyerja, Kujdesi Shëndetësor, Praktikat e strehimit dhe blegtorisë, Mirëqenia e kafshëve dhe Përgatitja e produkteve të papërpunuara,</w:t>
            </w:r>
          </w:p>
        </w:tc>
        <w:tc>
          <w:tcPr>
            <w:tcW w:w="126" w:type="pct"/>
            <w:tcBorders>
              <w:top w:val="nil"/>
              <w:left w:val="nil"/>
              <w:bottom w:val="single" w:sz="4" w:space="0" w:color="auto"/>
              <w:right w:val="single" w:sz="4" w:space="0" w:color="auto"/>
            </w:tcBorders>
            <w:shd w:val="clear" w:color="FFFFFF" w:fill="FFFFFF"/>
            <w:vAlign w:val="center"/>
            <w:hideMark/>
          </w:tcPr>
          <w:p w14:paraId="77F0C0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A0CC8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780EB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77C9AF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F5F93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0B03D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43E68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943E6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CE176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9" w:type="pct"/>
            <w:tcBorders>
              <w:top w:val="nil"/>
              <w:left w:val="nil"/>
              <w:bottom w:val="single" w:sz="4" w:space="0" w:color="auto"/>
              <w:right w:val="single" w:sz="4" w:space="0" w:color="auto"/>
            </w:tcBorders>
            <w:shd w:val="clear" w:color="FFFFFF" w:fill="FFFFFF"/>
            <w:vAlign w:val="center"/>
            <w:hideMark/>
          </w:tcPr>
          <w:p w14:paraId="00969F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D7FA6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240F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38164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5971F1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E5717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0E2FE9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5F1B97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Kontrollet Zyrtare</w:t>
            </w:r>
          </w:p>
        </w:tc>
        <w:tc>
          <w:tcPr>
            <w:tcW w:w="171" w:type="pct"/>
            <w:tcBorders>
              <w:top w:val="nil"/>
              <w:left w:val="nil"/>
              <w:bottom w:val="single" w:sz="4" w:space="0" w:color="auto"/>
              <w:right w:val="single" w:sz="4" w:space="0" w:color="auto"/>
            </w:tcBorders>
            <w:shd w:val="clear" w:color="FFFFFF" w:fill="FFFFFF"/>
            <w:vAlign w:val="center"/>
            <w:hideMark/>
          </w:tcPr>
          <w:p w14:paraId="40808E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Modeli i certifikatave mbi shendetin e kafshëve</w:t>
            </w:r>
          </w:p>
        </w:tc>
        <w:tc>
          <w:tcPr>
            <w:tcW w:w="661" w:type="pct"/>
            <w:tcBorders>
              <w:top w:val="nil"/>
              <w:left w:val="nil"/>
              <w:bottom w:val="single" w:sz="4" w:space="0" w:color="auto"/>
              <w:right w:val="single" w:sz="4" w:space="0" w:color="auto"/>
            </w:tcBorders>
            <w:shd w:val="clear" w:color="FFFFFF" w:fill="FFFFFF"/>
            <w:vAlign w:val="center"/>
            <w:hideMark/>
          </w:tcPr>
          <w:p w14:paraId="1EE2A8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RREGULLORE E KOMISIONIT PËR ZBATIM (BE) 2020/2235 që përcakton rregullat për zbatimin e Rregulloreve (BE) 2016/429 dhe (BE) 2017/625 të Parlamentit Evropian dhe të Këshillit për sa i përket modelit të certifikatave shëndetësore të kafshëve, certifikatave zyrtare model dhe modelit çertifikatat e shëndetit të kafshëve/certifikatat zyrtare, për hyrjen në Bashkim dhe lëvizjet brenda Unionit të ngarkesave të disa kategorive të kafshëve dhe mallrave, certifikata zyrtare në lidhje me këto certifikata dhe shfuqizimi i Rregullores (EC) Nr. 599/2004, Rregulloreve Zbatuese (BE) Nr. 636 /2014 dhe (BE) 2019/628, Direktiva 98/68/KE dhe Vendimet 2000/572/EC, 2003/779/EC dhe 2007/240/EC</w:t>
            </w:r>
          </w:p>
        </w:tc>
        <w:tc>
          <w:tcPr>
            <w:tcW w:w="668" w:type="pct"/>
            <w:tcBorders>
              <w:top w:val="nil"/>
              <w:left w:val="nil"/>
              <w:bottom w:val="single" w:sz="4" w:space="0" w:color="auto"/>
              <w:right w:val="single" w:sz="4" w:space="0" w:color="auto"/>
            </w:tcBorders>
            <w:shd w:val="clear" w:color="FFFFFF" w:fill="FFFFFF"/>
            <w:vAlign w:val="center"/>
            <w:hideMark/>
          </w:tcPr>
          <w:p w14:paraId="7870D092" w14:textId="77777777" w:rsidR="00482167" w:rsidRPr="006D6BE5" w:rsidRDefault="00E63D69" w:rsidP="00A7241A">
            <w:pPr>
              <w:rPr>
                <w:rFonts w:ascii="Arial" w:hAnsi="Arial" w:cs="Arial"/>
                <w:color w:val="0563C1"/>
                <w:sz w:val="4"/>
                <w:szCs w:val="8"/>
                <w:u w:val="single"/>
                <w:lang w:val="sq-AL"/>
              </w:rPr>
            </w:pPr>
            <w:hyperlink r:id="rId256" w:history="1">
              <w:r w:rsidR="00482167" w:rsidRPr="006D6BE5">
                <w:rPr>
                  <w:rFonts w:ascii="Arial" w:hAnsi="Arial" w:cs="Arial"/>
                  <w:color w:val="0563C1"/>
                  <w:sz w:val="4"/>
                  <w:szCs w:val="8"/>
                  <w:u w:val="single"/>
                  <w:lang w:val="sq-AL"/>
                </w:rPr>
                <w:t>https://eur-lex.europa.eu/legal-content/EN/ALL/?uri=CELEX:32020R2235</w:t>
              </w:r>
            </w:hyperlink>
          </w:p>
        </w:tc>
        <w:tc>
          <w:tcPr>
            <w:tcW w:w="506" w:type="pct"/>
            <w:tcBorders>
              <w:top w:val="nil"/>
              <w:left w:val="nil"/>
              <w:bottom w:val="single" w:sz="4" w:space="0" w:color="auto"/>
              <w:right w:val="single" w:sz="4" w:space="0" w:color="auto"/>
            </w:tcBorders>
            <w:shd w:val="clear" w:color="FFFFFF" w:fill="FFFFFF"/>
            <w:vAlign w:val="center"/>
            <w:hideMark/>
          </w:tcPr>
          <w:p w14:paraId="1AFE76C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F1FDFB4" w14:textId="37A67CA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Projektudhëzim i Ministrit të Bujqësisë dhe Zhvillimit Rural "</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Modeli i certifikatave të shëndetit të kafshëve, modeli i certifikatave zyrtare dhe modeli i certifikatave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të shëndetit të kafshëve/zyrtare, për hyrjen në Shqipëri dhe lëvizjet brenda dërgesave të disa kategorive të kafshëve dhe mallrave dhe certifikimi zyrtar lidhur me certifikatat e tilla </w:t>
            </w:r>
          </w:p>
        </w:tc>
        <w:tc>
          <w:tcPr>
            <w:tcW w:w="330" w:type="pct"/>
            <w:tcBorders>
              <w:top w:val="nil"/>
              <w:left w:val="nil"/>
              <w:bottom w:val="single" w:sz="4" w:space="0" w:color="auto"/>
              <w:right w:val="single" w:sz="4" w:space="0" w:color="auto"/>
            </w:tcBorders>
            <w:shd w:val="clear" w:color="FFFFFF" w:fill="FFFFFF"/>
            <w:vAlign w:val="center"/>
            <w:hideMark/>
          </w:tcPr>
          <w:p w14:paraId="74D5B8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Vendosja e rregullave në lidhje me shëndetin e kafshëve </w:t>
            </w:r>
            <w:r w:rsidRPr="006D6BE5">
              <w:rPr>
                <w:rFonts w:ascii="Arial" w:hAnsi="Arial" w:cs="Arial"/>
                <w:color w:val="000000"/>
                <w:sz w:val="4"/>
                <w:szCs w:val="8"/>
                <w:lang w:val="sq-AL"/>
              </w:rPr>
              <w:br/>
              <w:t>- Certifikatat e parashikuara në Rregulloren (BE) 2016/429, zyrtare</w:t>
            </w:r>
            <w:r w:rsidRPr="006D6BE5">
              <w:rPr>
                <w:rFonts w:ascii="Arial" w:hAnsi="Arial" w:cs="Arial"/>
                <w:color w:val="000000"/>
                <w:sz w:val="4"/>
                <w:szCs w:val="8"/>
                <w:lang w:val="sq-AL"/>
              </w:rPr>
              <w:br/>
              <w:t xml:space="preserve">- Certifikatat e parashikuara në Rregulloren (BE) 2017/625 dhe kafshët </w:t>
            </w:r>
            <w:r w:rsidRPr="006D6BE5">
              <w:rPr>
                <w:rFonts w:ascii="Arial" w:hAnsi="Arial" w:cs="Arial"/>
                <w:color w:val="000000"/>
                <w:sz w:val="4"/>
                <w:szCs w:val="8"/>
                <w:lang w:val="sq-AL"/>
              </w:rPr>
              <w:br/>
              <w:t>- Certifikatat shëndetësore/ zyrtare bazuar në ato Rregullore dhe në lidhje me lëshimin dhe zëvendësimin e atyre certifikatave të kërkuara për hyrjen në Shqipëri</w:t>
            </w:r>
          </w:p>
        </w:tc>
        <w:tc>
          <w:tcPr>
            <w:tcW w:w="126" w:type="pct"/>
            <w:tcBorders>
              <w:top w:val="nil"/>
              <w:left w:val="nil"/>
              <w:bottom w:val="single" w:sz="4" w:space="0" w:color="auto"/>
              <w:right w:val="single" w:sz="4" w:space="0" w:color="auto"/>
            </w:tcBorders>
            <w:shd w:val="clear" w:color="FFFFFF" w:fill="FFFFFF"/>
            <w:vAlign w:val="center"/>
            <w:hideMark/>
          </w:tcPr>
          <w:p w14:paraId="460D7A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0E2945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06B61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1290AF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3AAA6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4B53D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80EB3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715DE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CFFF2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9" w:type="pct"/>
            <w:tcBorders>
              <w:top w:val="nil"/>
              <w:left w:val="nil"/>
              <w:bottom w:val="single" w:sz="4" w:space="0" w:color="auto"/>
              <w:right w:val="single" w:sz="4" w:space="0" w:color="auto"/>
            </w:tcBorders>
            <w:shd w:val="clear" w:color="FFFFFF" w:fill="FFFFFF"/>
            <w:vAlign w:val="center"/>
            <w:hideMark/>
          </w:tcPr>
          <w:p w14:paraId="220F56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171C9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55627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53E64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19E1D0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190AD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0658AE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33397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Kapitulli 2 Rregullat specifike të kontrollit për produktet e kafshëve </w:t>
            </w:r>
          </w:p>
        </w:tc>
        <w:tc>
          <w:tcPr>
            <w:tcW w:w="171" w:type="pct"/>
            <w:tcBorders>
              <w:top w:val="nil"/>
              <w:left w:val="nil"/>
              <w:bottom w:val="single" w:sz="4" w:space="0" w:color="auto"/>
              <w:right w:val="single" w:sz="4" w:space="0" w:color="auto"/>
            </w:tcBorders>
            <w:shd w:val="clear" w:color="FFFFFF" w:fill="FFFFFF"/>
            <w:vAlign w:val="center"/>
            <w:hideMark/>
          </w:tcPr>
          <w:p w14:paraId="3D3759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Mbi shëndetin e kafshëve</w:t>
            </w:r>
          </w:p>
        </w:tc>
        <w:tc>
          <w:tcPr>
            <w:tcW w:w="661" w:type="pct"/>
            <w:tcBorders>
              <w:top w:val="nil"/>
              <w:left w:val="nil"/>
              <w:bottom w:val="single" w:sz="4" w:space="0" w:color="auto"/>
              <w:right w:val="single" w:sz="4" w:space="0" w:color="auto"/>
            </w:tcBorders>
            <w:shd w:val="clear" w:color="FFFFFF" w:fill="FFFFFF"/>
            <w:vAlign w:val="center"/>
            <w:hideMark/>
          </w:tcPr>
          <w:p w14:paraId="0F695E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2016/429 e Parlamentit Evropian dhe e Këshillit e datës 9 mars 2016 mbi sëmundjet e transmetueshme të kafshëve dhe ndryshimin dhe shfuqizimin e disa akteve në fushën e shëndetit të kafshëve ("Ligji për Shëndetin e Kafshëve")</w:t>
            </w:r>
          </w:p>
        </w:tc>
        <w:tc>
          <w:tcPr>
            <w:tcW w:w="668" w:type="pct"/>
            <w:tcBorders>
              <w:top w:val="nil"/>
              <w:left w:val="nil"/>
              <w:bottom w:val="single" w:sz="4" w:space="0" w:color="auto"/>
              <w:right w:val="single" w:sz="4" w:space="0" w:color="auto"/>
            </w:tcBorders>
            <w:shd w:val="clear" w:color="FFFFFF" w:fill="FFFFFF"/>
            <w:vAlign w:val="center"/>
            <w:hideMark/>
          </w:tcPr>
          <w:p w14:paraId="58509197" w14:textId="77777777" w:rsidR="00482167" w:rsidRPr="006D6BE5" w:rsidRDefault="00E63D69" w:rsidP="00A7241A">
            <w:pPr>
              <w:rPr>
                <w:rFonts w:ascii="Arial" w:hAnsi="Arial" w:cs="Arial"/>
                <w:color w:val="0563C1"/>
                <w:sz w:val="4"/>
                <w:szCs w:val="8"/>
                <w:u w:val="single"/>
                <w:lang w:val="sq-AL"/>
              </w:rPr>
            </w:pPr>
            <w:hyperlink r:id="rId257" w:history="1">
              <w:r w:rsidR="00482167" w:rsidRPr="006D6BE5">
                <w:rPr>
                  <w:rFonts w:ascii="Arial" w:hAnsi="Arial" w:cs="Arial"/>
                  <w:color w:val="0563C1"/>
                  <w:sz w:val="4"/>
                  <w:szCs w:val="8"/>
                  <w:u w:val="single"/>
                  <w:lang w:val="sq-AL"/>
                </w:rPr>
                <w:t>EUR-Lex - 32016R0429 - EN - EUR-Lex (europa.eu)</w:t>
              </w:r>
            </w:hyperlink>
          </w:p>
        </w:tc>
        <w:tc>
          <w:tcPr>
            <w:tcW w:w="506" w:type="pct"/>
            <w:tcBorders>
              <w:top w:val="nil"/>
              <w:left w:val="nil"/>
              <w:bottom w:val="single" w:sz="4" w:space="0" w:color="auto"/>
              <w:right w:val="single" w:sz="4" w:space="0" w:color="auto"/>
            </w:tcBorders>
            <w:shd w:val="clear" w:color="FFFFFF" w:fill="FFFFFF"/>
            <w:vAlign w:val="center"/>
            <w:hideMark/>
          </w:tcPr>
          <w:p w14:paraId="25EE22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BA992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Shëndetin e Kafshëve"</w:t>
            </w:r>
          </w:p>
        </w:tc>
        <w:tc>
          <w:tcPr>
            <w:tcW w:w="330" w:type="pct"/>
            <w:tcBorders>
              <w:top w:val="nil"/>
              <w:left w:val="nil"/>
              <w:bottom w:val="single" w:sz="4" w:space="0" w:color="auto"/>
              <w:right w:val="single" w:sz="4" w:space="0" w:color="auto"/>
            </w:tcBorders>
            <w:shd w:val="clear" w:color="FFFFFF" w:fill="FFFFFF"/>
            <w:vAlign w:val="center"/>
            <w:hideMark/>
          </w:tcPr>
          <w:p w14:paraId="7366C3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Sëmundjet e transmetueshme të kafshëve dhe ndryshimin dhe shfuqizimin e disa akteve në fushën e shëndetit të kafshëve ("Ligji për Shëndetin e Kafshëve")</w:t>
            </w:r>
          </w:p>
        </w:tc>
        <w:tc>
          <w:tcPr>
            <w:tcW w:w="126" w:type="pct"/>
            <w:tcBorders>
              <w:top w:val="nil"/>
              <w:left w:val="nil"/>
              <w:bottom w:val="single" w:sz="4" w:space="0" w:color="auto"/>
              <w:right w:val="single" w:sz="4" w:space="0" w:color="auto"/>
            </w:tcBorders>
            <w:shd w:val="clear" w:color="FFFFFF" w:fill="FFFFFF"/>
            <w:vAlign w:val="center"/>
            <w:hideMark/>
          </w:tcPr>
          <w:p w14:paraId="4862D3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125F99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89FBE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2354A7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1ACB7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A11E6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BD65D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69D300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ED155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BEFC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CD7FC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FABD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233A0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7A6025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9CBC4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93A3B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0A0570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Rregulla specifike për produktet shtazore</w:t>
            </w:r>
          </w:p>
        </w:tc>
        <w:tc>
          <w:tcPr>
            <w:tcW w:w="171" w:type="pct"/>
            <w:tcBorders>
              <w:top w:val="nil"/>
              <w:left w:val="nil"/>
              <w:bottom w:val="single" w:sz="4" w:space="0" w:color="auto"/>
              <w:right w:val="single" w:sz="4" w:space="0" w:color="auto"/>
            </w:tcBorders>
            <w:shd w:val="clear" w:color="FFFFFF" w:fill="FFFFFF"/>
            <w:vAlign w:val="center"/>
            <w:hideMark/>
          </w:tcPr>
          <w:p w14:paraId="0DB309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e Higjenës së Ushqimit</w:t>
            </w:r>
          </w:p>
        </w:tc>
        <w:tc>
          <w:tcPr>
            <w:tcW w:w="661" w:type="pct"/>
            <w:tcBorders>
              <w:top w:val="nil"/>
              <w:left w:val="nil"/>
              <w:bottom w:val="single" w:sz="4" w:space="0" w:color="auto"/>
              <w:right w:val="single" w:sz="4" w:space="0" w:color="auto"/>
            </w:tcBorders>
            <w:shd w:val="clear" w:color="FFFFFF" w:fill="FFFFFF"/>
            <w:vAlign w:val="center"/>
            <w:hideMark/>
          </w:tcPr>
          <w:p w14:paraId="288BDB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(EC) Nr. 853/2004 e Parlamentit Evropian dhe e Këshillit e datës 29 prill 2004 që përcakton rregullat specifike të higjienës për ushqimet me origjinë shtazore</w:t>
            </w:r>
          </w:p>
        </w:tc>
        <w:tc>
          <w:tcPr>
            <w:tcW w:w="668" w:type="pct"/>
            <w:tcBorders>
              <w:top w:val="nil"/>
              <w:left w:val="nil"/>
              <w:bottom w:val="single" w:sz="4" w:space="0" w:color="auto"/>
              <w:right w:val="single" w:sz="4" w:space="0" w:color="auto"/>
            </w:tcBorders>
            <w:shd w:val="clear" w:color="FFFFFF" w:fill="FFFFFF"/>
            <w:vAlign w:val="center"/>
            <w:hideMark/>
          </w:tcPr>
          <w:p w14:paraId="1876A23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https://eur-lex.europa.eu/legal-content/EN/TXT/?uri=CELEX%3A02004R0853-20230215</w:t>
            </w:r>
          </w:p>
        </w:tc>
        <w:tc>
          <w:tcPr>
            <w:tcW w:w="506" w:type="pct"/>
            <w:tcBorders>
              <w:top w:val="nil"/>
              <w:left w:val="nil"/>
              <w:bottom w:val="single" w:sz="4" w:space="0" w:color="auto"/>
              <w:right w:val="single" w:sz="4" w:space="0" w:color="auto"/>
            </w:tcBorders>
            <w:shd w:val="clear" w:color="FFFFFF" w:fill="FFFFFF"/>
            <w:vAlign w:val="center"/>
            <w:hideMark/>
          </w:tcPr>
          <w:p w14:paraId="1A3AA8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7591B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 Rregulla specifike higjienike për ushqimin me origjinë shtazore</w:t>
            </w:r>
          </w:p>
        </w:tc>
        <w:tc>
          <w:tcPr>
            <w:tcW w:w="330" w:type="pct"/>
            <w:tcBorders>
              <w:top w:val="nil"/>
              <w:left w:val="nil"/>
              <w:bottom w:val="single" w:sz="4" w:space="0" w:color="auto"/>
              <w:right w:val="single" w:sz="4" w:space="0" w:color="auto"/>
            </w:tcBorders>
            <w:shd w:val="clear" w:color="FFFFFF" w:fill="FFFFFF"/>
            <w:vAlign w:val="center"/>
            <w:hideMark/>
          </w:tcPr>
          <w:p w14:paraId="109112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specifike mbi higjienën e ushqimit me origjinë shtazore për operatorët e biznesit ushqimor</w:t>
            </w:r>
          </w:p>
        </w:tc>
        <w:tc>
          <w:tcPr>
            <w:tcW w:w="126" w:type="pct"/>
            <w:tcBorders>
              <w:top w:val="nil"/>
              <w:left w:val="nil"/>
              <w:bottom w:val="single" w:sz="4" w:space="0" w:color="auto"/>
              <w:right w:val="single" w:sz="4" w:space="0" w:color="auto"/>
            </w:tcBorders>
            <w:shd w:val="clear" w:color="FFFFFF" w:fill="FFFFFF"/>
            <w:vAlign w:val="center"/>
            <w:hideMark/>
          </w:tcPr>
          <w:p w14:paraId="287C32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FAF98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E67B4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7B84BE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E7A4A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481B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F09CE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6" w:type="pct"/>
            <w:tcBorders>
              <w:top w:val="nil"/>
              <w:left w:val="nil"/>
              <w:bottom w:val="single" w:sz="4" w:space="0" w:color="auto"/>
              <w:right w:val="single" w:sz="4" w:space="0" w:color="auto"/>
            </w:tcBorders>
            <w:shd w:val="clear" w:color="FFFFFF" w:fill="FFFFFF"/>
            <w:vAlign w:val="center"/>
            <w:hideMark/>
          </w:tcPr>
          <w:p w14:paraId="563CC2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40F05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F5575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C7A2FC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6889E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23DCB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F82AF9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6B364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B1C83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4FEF38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Kontrollet Zyrtare</w:t>
            </w:r>
          </w:p>
        </w:tc>
        <w:tc>
          <w:tcPr>
            <w:tcW w:w="171" w:type="pct"/>
            <w:tcBorders>
              <w:top w:val="nil"/>
              <w:left w:val="nil"/>
              <w:bottom w:val="single" w:sz="4" w:space="0" w:color="auto"/>
              <w:right w:val="single" w:sz="4" w:space="0" w:color="auto"/>
            </w:tcBorders>
            <w:shd w:val="clear" w:color="FFFFFF" w:fill="FFFFFF"/>
            <w:vAlign w:val="center"/>
            <w:hideMark/>
          </w:tcPr>
          <w:p w14:paraId="275B1B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Ushqimi, ushqimi për kafshët, shëndeti dhe mirëqenia e kafshëve, mbrojtja e bimëve, produktet organike</w:t>
            </w:r>
          </w:p>
        </w:tc>
        <w:tc>
          <w:tcPr>
            <w:tcW w:w="661" w:type="pct"/>
            <w:tcBorders>
              <w:top w:val="nil"/>
              <w:left w:val="nil"/>
              <w:bottom w:val="single" w:sz="4" w:space="0" w:color="auto"/>
              <w:right w:val="single" w:sz="4" w:space="0" w:color="auto"/>
            </w:tcBorders>
            <w:shd w:val="clear" w:color="FFFFFF" w:fill="FFFFFF"/>
            <w:vAlign w:val="center"/>
            <w:hideMark/>
          </w:tcPr>
          <w:p w14:paraId="6D4A29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2017/625 e Parlamentit Evropian dhe e Këshillit e datës 15 mars 2017 mbi kontrollet zyrtare dhe aktivitete të tjera zyrtare të kryera për të siguruar zbatimin e ligjit për ushqimin dhe ushqimin për kafshë, rregullat për shëndetin dhe mirëqenien e kafshëve, shëndetin e bimëve dhe produktet për mbrojtjen e bimëve , duke ndryshuar Rregulloret (EC) Nr 999/2001, (EC) Nr 396/2005, (EC) Nr 1069/2009, (EC) Nr 1107/2009, (EU) Nr 1151/2012, (EU) Nr 652/2014 , (EU) 2016/429 dhe (BE) 2016/2031 e Parlamentit Evropian dhe e Këshillit, Rregulloret e Këshillit (KE) Nr 1/2005 dhe (KE) Nr 1099/2009 dhe Direktivat e Këshillit 98/58/EC, 1999 /74/EC, 2007/43/EC, 2008/119/EC dhe 2008/120/EC, dhe shfuqizimin e Rregulloreve (EC) Nr. 854/2004 dhe (EC) Nr. 882/2004 të Parlamentit Evropian dhe të Këshillit, Direktivat e Këshillit 89/608/EEC, 89/662/EEC, 90/425/EEC, 91/496/EEC, 96/23/EC, 96/93/EC dhe 97/78/EC dhe Vendimi i Këshillit 92/438/ EEC</w:t>
            </w:r>
          </w:p>
        </w:tc>
        <w:tc>
          <w:tcPr>
            <w:tcW w:w="668" w:type="pct"/>
            <w:tcBorders>
              <w:top w:val="nil"/>
              <w:left w:val="nil"/>
              <w:bottom w:val="single" w:sz="4" w:space="0" w:color="auto"/>
              <w:right w:val="single" w:sz="4" w:space="0" w:color="auto"/>
            </w:tcBorders>
            <w:shd w:val="clear" w:color="FFFFFF" w:fill="FFFFFF"/>
            <w:vAlign w:val="center"/>
            <w:hideMark/>
          </w:tcPr>
          <w:p w14:paraId="513983CF" w14:textId="77777777" w:rsidR="00482167" w:rsidRPr="006D6BE5" w:rsidRDefault="00E63D69" w:rsidP="00A7241A">
            <w:pPr>
              <w:rPr>
                <w:rFonts w:ascii="Arial" w:hAnsi="Arial" w:cs="Arial"/>
                <w:color w:val="0563C1"/>
                <w:sz w:val="4"/>
                <w:szCs w:val="8"/>
                <w:u w:val="single"/>
                <w:lang w:val="sq-AL"/>
              </w:rPr>
            </w:pPr>
            <w:hyperlink r:id="rId258" w:history="1">
              <w:r w:rsidR="00482167" w:rsidRPr="006D6BE5">
                <w:rPr>
                  <w:rFonts w:ascii="Arial" w:hAnsi="Arial" w:cs="Arial"/>
                  <w:color w:val="0563C1"/>
                  <w:sz w:val="4"/>
                  <w:szCs w:val="8"/>
                  <w:u w:val="single"/>
                  <w:lang w:val="sq-AL"/>
                </w:rPr>
                <w:t>https://eur-lex.europa.eu/legal-content/EN/ALL/?uri=CELEX:32017R0625</w:t>
              </w:r>
            </w:hyperlink>
          </w:p>
        </w:tc>
        <w:tc>
          <w:tcPr>
            <w:tcW w:w="506" w:type="pct"/>
            <w:tcBorders>
              <w:top w:val="nil"/>
              <w:left w:val="nil"/>
              <w:bottom w:val="single" w:sz="4" w:space="0" w:color="auto"/>
              <w:right w:val="single" w:sz="4" w:space="0" w:color="auto"/>
            </w:tcBorders>
            <w:shd w:val="clear" w:color="FFFFFF" w:fill="FFFFFF"/>
            <w:vAlign w:val="center"/>
            <w:hideMark/>
          </w:tcPr>
          <w:p w14:paraId="26827F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75B9F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kontrollet zyrtare dhe aktivitetet e tjera zyrtare të kryera për të siguruar zbatimin e ligjit për ushqimin dhe ushqimin për kafshët, rregullat mbi shëndetin dhe mirëqenien e kafshëve, shëndetin e bimëve dhe produktet e mbrojtjes së bimëve</w:t>
            </w:r>
          </w:p>
        </w:tc>
        <w:tc>
          <w:tcPr>
            <w:tcW w:w="330" w:type="pct"/>
            <w:tcBorders>
              <w:top w:val="nil"/>
              <w:left w:val="nil"/>
              <w:bottom w:val="single" w:sz="4" w:space="0" w:color="auto"/>
              <w:right w:val="single" w:sz="4" w:space="0" w:color="auto"/>
            </w:tcBorders>
            <w:shd w:val="clear" w:color="FFFFFF" w:fill="FFFFFF"/>
            <w:vAlign w:val="center"/>
            <w:hideMark/>
          </w:tcPr>
          <w:p w14:paraId="10F9E7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për kryerjen e kontrolleve zyrtare dhe aktiviteteve të tjera zyrtare nga autoritetet kompetente të Shqipërisë për ushqimin, ushqimin, shëndetin dhe mirëqenien e kafshëve, mbrojtjen e bimëve, financimin e kontrolleve zyrtare dhe ndihmën administrative</w:t>
            </w:r>
          </w:p>
        </w:tc>
        <w:tc>
          <w:tcPr>
            <w:tcW w:w="126" w:type="pct"/>
            <w:tcBorders>
              <w:top w:val="nil"/>
              <w:left w:val="nil"/>
              <w:bottom w:val="single" w:sz="4" w:space="0" w:color="auto"/>
              <w:right w:val="single" w:sz="4" w:space="0" w:color="auto"/>
            </w:tcBorders>
            <w:shd w:val="clear" w:color="FFFFFF" w:fill="FFFFFF"/>
            <w:vAlign w:val="center"/>
            <w:hideMark/>
          </w:tcPr>
          <w:p w14:paraId="5E2633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7A7FE4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76D66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5B0412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64C6B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CD56C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2AE02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08B0D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2C18C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644FE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FE751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83CF4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580F6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9FB73C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39829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F7DCD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583F91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Rregulla specifike për produktet shtazore</w:t>
            </w:r>
          </w:p>
        </w:tc>
        <w:tc>
          <w:tcPr>
            <w:tcW w:w="171" w:type="pct"/>
            <w:tcBorders>
              <w:top w:val="nil"/>
              <w:left w:val="nil"/>
              <w:bottom w:val="single" w:sz="4" w:space="0" w:color="auto"/>
              <w:right w:val="single" w:sz="4" w:space="0" w:color="auto"/>
            </w:tcBorders>
            <w:shd w:val="clear" w:color="FFFFFF" w:fill="FFFFFF"/>
            <w:vAlign w:val="center"/>
            <w:hideMark/>
          </w:tcPr>
          <w:p w14:paraId="19BC50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Kontrolli dhe parandalimi i sëmundjeve të listuara</w:t>
            </w:r>
          </w:p>
        </w:tc>
        <w:tc>
          <w:tcPr>
            <w:tcW w:w="661" w:type="pct"/>
            <w:tcBorders>
              <w:top w:val="nil"/>
              <w:left w:val="nil"/>
              <w:bottom w:val="single" w:sz="4" w:space="0" w:color="auto"/>
              <w:right w:val="single" w:sz="4" w:space="0" w:color="auto"/>
            </w:tcBorders>
            <w:shd w:val="clear" w:color="FFFFFF" w:fill="FFFFFF"/>
            <w:vAlign w:val="center"/>
            <w:hideMark/>
          </w:tcPr>
          <w:p w14:paraId="685BE4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Rregullorja e deleguar e Komisionit (BE) 2020/687 e datës 17 dhjetor 2019 që plotëson Rregulloren (BE) 2016/429 të Parlamentit Evropian dhe Këshillit, në lidhje me rregullat për parandalimin dhe kontrollin e sëmundjeve të caktuara të listuara</w:t>
            </w:r>
          </w:p>
        </w:tc>
        <w:tc>
          <w:tcPr>
            <w:tcW w:w="668" w:type="pct"/>
            <w:tcBorders>
              <w:top w:val="nil"/>
              <w:left w:val="nil"/>
              <w:bottom w:val="single" w:sz="4" w:space="0" w:color="auto"/>
              <w:right w:val="single" w:sz="4" w:space="0" w:color="auto"/>
            </w:tcBorders>
            <w:shd w:val="clear" w:color="FFFFFF" w:fill="FFFFFF"/>
            <w:vAlign w:val="center"/>
            <w:hideMark/>
          </w:tcPr>
          <w:p w14:paraId="28645C65" w14:textId="77777777" w:rsidR="00482167" w:rsidRPr="006D6BE5" w:rsidRDefault="00E63D69" w:rsidP="00A7241A">
            <w:pPr>
              <w:rPr>
                <w:rFonts w:ascii="Arial" w:hAnsi="Arial" w:cs="Arial"/>
                <w:color w:val="0563C1"/>
                <w:sz w:val="4"/>
                <w:szCs w:val="8"/>
                <w:u w:val="single"/>
                <w:lang w:val="sq-AL"/>
              </w:rPr>
            </w:pPr>
            <w:hyperlink r:id="rId259" w:history="1">
              <w:r w:rsidR="00482167" w:rsidRPr="006D6BE5">
                <w:rPr>
                  <w:rFonts w:ascii="Arial" w:hAnsi="Arial" w:cs="Arial"/>
                  <w:color w:val="0563C1"/>
                  <w:sz w:val="4"/>
                  <w:szCs w:val="8"/>
                  <w:u w:val="single"/>
                  <w:lang w:val="sq-AL"/>
                </w:rPr>
                <w:t>https://eur-lex.europa.eu/eli/reg_del/2020/687/oj</w:t>
              </w:r>
            </w:hyperlink>
          </w:p>
        </w:tc>
        <w:tc>
          <w:tcPr>
            <w:tcW w:w="506" w:type="pct"/>
            <w:tcBorders>
              <w:top w:val="nil"/>
              <w:left w:val="nil"/>
              <w:bottom w:val="single" w:sz="4" w:space="0" w:color="auto"/>
              <w:right w:val="single" w:sz="4" w:space="0" w:color="auto"/>
            </w:tcBorders>
            <w:shd w:val="clear" w:color="FFFFFF" w:fill="FFFFFF"/>
            <w:vAlign w:val="center"/>
            <w:hideMark/>
          </w:tcPr>
          <w:p w14:paraId="2D3947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980F3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"Rregullat për parandalimin dhe kontrollin e disa sëmundjeve të listuara"</w:t>
            </w:r>
          </w:p>
        </w:tc>
        <w:tc>
          <w:tcPr>
            <w:tcW w:w="330" w:type="pct"/>
            <w:tcBorders>
              <w:top w:val="nil"/>
              <w:left w:val="nil"/>
              <w:bottom w:val="single" w:sz="4" w:space="0" w:color="auto"/>
              <w:right w:val="single" w:sz="4" w:space="0" w:color="auto"/>
            </w:tcBorders>
            <w:shd w:val="clear" w:color="FFFFFF" w:fill="FFFFFF"/>
            <w:vAlign w:val="center"/>
            <w:hideMark/>
          </w:tcPr>
          <w:p w14:paraId="3312DB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i rregullave mbi ndërgjegjësimin ndaj sëmundjeve,</w:t>
            </w:r>
            <w:r w:rsidRPr="006D6BE5">
              <w:rPr>
                <w:rFonts w:ascii="Arial" w:hAnsi="Arial" w:cs="Arial"/>
                <w:color w:val="000000"/>
                <w:sz w:val="4"/>
                <w:szCs w:val="8"/>
                <w:lang w:val="sq-AL"/>
              </w:rPr>
              <w:br/>
              <w:t>Përgatitja dhe kontrolli që do të zbatohet në lidhje me listën</w:t>
            </w:r>
            <w:r w:rsidRPr="006D6BE5">
              <w:rPr>
                <w:rFonts w:ascii="Arial" w:hAnsi="Arial" w:cs="Arial"/>
                <w:color w:val="000000"/>
                <w:sz w:val="4"/>
                <w:szCs w:val="8"/>
                <w:lang w:val="sq-AL"/>
              </w:rPr>
              <w:br/>
              <w:t>e sëmundjeve të referuara nga Rregullorja (BE)</w:t>
            </w:r>
            <w:r w:rsidRPr="006D6BE5">
              <w:rPr>
                <w:rFonts w:ascii="Arial" w:hAnsi="Arial" w:cs="Arial"/>
                <w:color w:val="000000"/>
                <w:sz w:val="4"/>
                <w:szCs w:val="8"/>
                <w:lang w:val="sq-AL"/>
              </w:rPr>
              <w:br/>
              <w:t>2016/429</w:t>
            </w:r>
          </w:p>
        </w:tc>
        <w:tc>
          <w:tcPr>
            <w:tcW w:w="126" w:type="pct"/>
            <w:tcBorders>
              <w:top w:val="nil"/>
              <w:left w:val="nil"/>
              <w:bottom w:val="single" w:sz="4" w:space="0" w:color="auto"/>
              <w:right w:val="single" w:sz="4" w:space="0" w:color="auto"/>
            </w:tcBorders>
            <w:shd w:val="clear" w:color="FFFFFF" w:fill="FFFFFF"/>
            <w:vAlign w:val="center"/>
            <w:hideMark/>
          </w:tcPr>
          <w:p w14:paraId="757D4D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310E2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9BF21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5486D9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45C46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2FB66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1A01E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6B43C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17" w:type="pct"/>
            <w:tcBorders>
              <w:top w:val="nil"/>
              <w:left w:val="nil"/>
              <w:bottom w:val="single" w:sz="4" w:space="0" w:color="auto"/>
              <w:right w:val="single" w:sz="4" w:space="0" w:color="auto"/>
            </w:tcBorders>
            <w:shd w:val="clear" w:color="FFFFFF" w:fill="FFFFFF"/>
            <w:vAlign w:val="center"/>
            <w:hideMark/>
          </w:tcPr>
          <w:p w14:paraId="2B9186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8D128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B130B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4AA61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77837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DDEA36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E968E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0F467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2B303C41" w14:textId="28516B1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Sistem Kontrolli për Importet</w:t>
            </w:r>
          </w:p>
        </w:tc>
        <w:tc>
          <w:tcPr>
            <w:tcW w:w="171" w:type="pct"/>
            <w:tcBorders>
              <w:top w:val="nil"/>
              <w:left w:val="nil"/>
              <w:bottom w:val="single" w:sz="4" w:space="0" w:color="auto"/>
              <w:right w:val="single" w:sz="4" w:space="0" w:color="auto"/>
            </w:tcBorders>
            <w:shd w:val="clear" w:color="FFFFFF" w:fill="FFFFFF"/>
            <w:vAlign w:val="center"/>
            <w:hideMark/>
          </w:tcPr>
          <w:p w14:paraId="74844E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Listat e vendeve të treta, territoreve apo zonave të tyre nga të cilat hyjnë në Shqipëri kafshë, produkteve germinale dhe produkteve me origjinë shtazore</w:t>
            </w:r>
          </w:p>
        </w:tc>
        <w:tc>
          <w:tcPr>
            <w:tcW w:w="661" w:type="pct"/>
            <w:tcBorders>
              <w:top w:val="nil"/>
              <w:left w:val="nil"/>
              <w:bottom w:val="single" w:sz="4" w:space="0" w:color="auto"/>
              <w:right w:val="single" w:sz="4" w:space="0" w:color="auto"/>
            </w:tcBorders>
            <w:shd w:val="clear" w:color="FFFFFF" w:fill="FFFFFF"/>
            <w:vAlign w:val="center"/>
            <w:hideMark/>
          </w:tcPr>
          <w:p w14:paraId="12D48E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Zbatuese e Komisionit (BE) 2021/404 e datës 24 mars 2021 që përcakton listat e vendeve të treta, territoreve ose zonave të tyre nga të cilat lejohet hyrja në Bashkimin e kafshëve, produkteve germinale dhe produkteve me origjinë shtazore në përputhje me Rregulloren (BE ) 2016/429 e Parlamentit Evropian dhe Këshillit </w:t>
            </w:r>
          </w:p>
        </w:tc>
        <w:tc>
          <w:tcPr>
            <w:tcW w:w="668" w:type="pct"/>
            <w:tcBorders>
              <w:top w:val="nil"/>
              <w:left w:val="nil"/>
              <w:bottom w:val="single" w:sz="4" w:space="0" w:color="auto"/>
              <w:right w:val="single" w:sz="4" w:space="0" w:color="auto"/>
            </w:tcBorders>
            <w:shd w:val="clear" w:color="FFFFFF" w:fill="FFFFFF"/>
            <w:vAlign w:val="center"/>
            <w:hideMark/>
          </w:tcPr>
          <w:p w14:paraId="7F61F0E8" w14:textId="77777777" w:rsidR="00482167" w:rsidRPr="006D6BE5" w:rsidRDefault="00E63D69" w:rsidP="00A7241A">
            <w:pPr>
              <w:rPr>
                <w:rFonts w:ascii="Arial" w:hAnsi="Arial" w:cs="Arial"/>
                <w:color w:val="0563C1"/>
                <w:sz w:val="4"/>
                <w:szCs w:val="8"/>
                <w:u w:val="single"/>
                <w:lang w:val="sq-AL"/>
              </w:rPr>
            </w:pPr>
            <w:hyperlink r:id="rId260" w:history="1">
              <w:r w:rsidR="00482167" w:rsidRPr="006D6BE5">
                <w:rPr>
                  <w:rFonts w:ascii="Arial" w:hAnsi="Arial" w:cs="Arial"/>
                  <w:color w:val="0563C1"/>
                  <w:sz w:val="4"/>
                  <w:szCs w:val="8"/>
                  <w:u w:val="single"/>
                  <w:lang w:val="sq-AL"/>
                </w:rPr>
                <w:t>https://eur-lex.europa.eu/legal-content/EN/ALL/?uri=CELEX:32021R0404</w:t>
              </w:r>
            </w:hyperlink>
          </w:p>
        </w:tc>
        <w:tc>
          <w:tcPr>
            <w:tcW w:w="506" w:type="pct"/>
            <w:tcBorders>
              <w:top w:val="nil"/>
              <w:left w:val="nil"/>
              <w:bottom w:val="single" w:sz="4" w:space="0" w:color="auto"/>
              <w:right w:val="single" w:sz="4" w:space="0" w:color="auto"/>
            </w:tcBorders>
            <w:shd w:val="clear" w:color="FFFFFF" w:fill="FFFFFF"/>
            <w:vAlign w:val="center"/>
            <w:hideMark/>
          </w:tcPr>
          <w:p w14:paraId="6B63F5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4C6A9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"Listat e vendeve të treta, territoreve apo zonave të tyre nga të cilat hyrja në Shqipëri e kafshëve, produkteve germinale dhe produkteve me origjinë shtazore"</w:t>
            </w:r>
          </w:p>
        </w:tc>
        <w:tc>
          <w:tcPr>
            <w:tcW w:w="330" w:type="pct"/>
            <w:tcBorders>
              <w:top w:val="nil"/>
              <w:left w:val="nil"/>
              <w:bottom w:val="single" w:sz="4" w:space="0" w:color="auto"/>
              <w:right w:val="single" w:sz="4" w:space="0" w:color="auto"/>
            </w:tcBorders>
            <w:shd w:val="clear" w:color="FFFFFF" w:fill="FFFFFF"/>
            <w:vAlign w:val="center"/>
            <w:hideMark/>
          </w:tcPr>
          <w:p w14:paraId="045F5A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Lista e vendeve të treta, territoreve ose </w:t>
            </w:r>
            <w:r w:rsidRPr="006D6BE5">
              <w:rPr>
                <w:rFonts w:ascii="Arial" w:hAnsi="Arial" w:cs="Arial"/>
                <w:color w:val="000000"/>
                <w:sz w:val="4"/>
                <w:szCs w:val="8"/>
                <w:lang w:val="sq-AL"/>
              </w:rPr>
              <w:br/>
              <w:t xml:space="preserve">zonave të tyre, ose kompartimentet e tyre në rastin e kafshëve akuakulturës, nga të cilat hyrja në Shqipëri e dërgesave të llojit dhe kategoritë e kafshëve, produktet germinale dhe produktet e </w:t>
            </w:r>
            <w:r w:rsidRPr="006D6BE5">
              <w:rPr>
                <w:rFonts w:ascii="Arial" w:hAnsi="Arial" w:cs="Arial"/>
                <w:color w:val="000000"/>
                <w:sz w:val="4"/>
                <w:szCs w:val="8"/>
                <w:lang w:val="sq-AL"/>
              </w:rPr>
              <w:br/>
              <w:t>me origjinë shtazore është e lejuar</w:t>
            </w:r>
          </w:p>
        </w:tc>
        <w:tc>
          <w:tcPr>
            <w:tcW w:w="126" w:type="pct"/>
            <w:tcBorders>
              <w:top w:val="nil"/>
              <w:left w:val="nil"/>
              <w:bottom w:val="single" w:sz="4" w:space="0" w:color="auto"/>
              <w:right w:val="single" w:sz="4" w:space="0" w:color="auto"/>
            </w:tcBorders>
            <w:shd w:val="clear" w:color="FFFFFF" w:fill="FFFFFF"/>
            <w:vAlign w:val="center"/>
            <w:hideMark/>
          </w:tcPr>
          <w:p w14:paraId="592D07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2F97F7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3F1A4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184497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A7288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6E463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2BA57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1AD44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17" w:type="pct"/>
            <w:tcBorders>
              <w:top w:val="nil"/>
              <w:left w:val="nil"/>
              <w:bottom w:val="single" w:sz="4" w:space="0" w:color="auto"/>
              <w:right w:val="single" w:sz="4" w:space="0" w:color="auto"/>
            </w:tcBorders>
            <w:shd w:val="clear" w:color="FFFFFF" w:fill="FFFFFF"/>
            <w:vAlign w:val="center"/>
            <w:hideMark/>
          </w:tcPr>
          <w:p w14:paraId="1F2740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FD0F1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DD0F0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3A8D1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E7231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47E8F1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13040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73140A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2EB78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Kapitulli 1 Sistem kontrolli për tregun e brendshëm </w:t>
            </w:r>
          </w:p>
        </w:tc>
        <w:tc>
          <w:tcPr>
            <w:tcW w:w="171" w:type="pct"/>
            <w:tcBorders>
              <w:top w:val="nil"/>
              <w:left w:val="nil"/>
              <w:bottom w:val="single" w:sz="4" w:space="0" w:color="auto"/>
              <w:right w:val="single" w:sz="4" w:space="0" w:color="auto"/>
            </w:tcBorders>
            <w:shd w:val="clear" w:color="FFFFFF" w:fill="FFFFFF"/>
            <w:vAlign w:val="center"/>
            <w:hideMark/>
          </w:tcPr>
          <w:p w14:paraId="7E8A03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Kërkesat për certifikim dhe njoftim për lëvizjet e produkteve me origjinë shtazore nga kafshët tokësore</w:t>
            </w:r>
          </w:p>
        </w:tc>
        <w:tc>
          <w:tcPr>
            <w:tcW w:w="661" w:type="pct"/>
            <w:tcBorders>
              <w:top w:val="nil"/>
              <w:left w:val="nil"/>
              <w:bottom w:val="single" w:sz="4" w:space="0" w:color="auto"/>
              <w:right w:val="single" w:sz="4" w:space="0" w:color="auto"/>
            </w:tcBorders>
            <w:shd w:val="clear" w:color="FFFFFF" w:fill="FFFFFF"/>
            <w:vAlign w:val="center"/>
            <w:hideMark/>
          </w:tcPr>
          <w:p w14:paraId="0FBF6B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Rregullorja e deleguar e Komisionit (BE) 2020/2154 e datës 14 tetor 2020 që plotëson Rregulloren (BE) 2016/429 të Parlamentit Evropian dhe Këshillit në lidhje me kërkesat për shëndetin, certifikimin dhe njoftimin e kafshëve për lëvizjet brenda Bashkimit të produkteve me origjinë shtazore nga toka kafshëve</w:t>
            </w:r>
          </w:p>
        </w:tc>
        <w:tc>
          <w:tcPr>
            <w:tcW w:w="668" w:type="pct"/>
            <w:tcBorders>
              <w:top w:val="nil"/>
              <w:left w:val="nil"/>
              <w:bottom w:val="single" w:sz="4" w:space="0" w:color="auto"/>
              <w:right w:val="single" w:sz="4" w:space="0" w:color="auto"/>
            </w:tcBorders>
            <w:shd w:val="clear" w:color="FFFFFF" w:fill="FFFFFF"/>
            <w:vAlign w:val="center"/>
            <w:hideMark/>
          </w:tcPr>
          <w:p w14:paraId="3D98F7D7" w14:textId="77777777" w:rsidR="00482167" w:rsidRPr="006D6BE5" w:rsidRDefault="00E63D69" w:rsidP="00A7241A">
            <w:pPr>
              <w:rPr>
                <w:rFonts w:ascii="Arial" w:hAnsi="Arial" w:cs="Arial"/>
                <w:color w:val="0563C1"/>
                <w:sz w:val="4"/>
                <w:szCs w:val="8"/>
                <w:u w:val="single"/>
                <w:lang w:val="sq-AL"/>
              </w:rPr>
            </w:pPr>
            <w:hyperlink r:id="rId261" w:history="1">
              <w:r w:rsidR="00482167" w:rsidRPr="006D6BE5">
                <w:rPr>
                  <w:rFonts w:ascii="Arial" w:hAnsi="Arial" w:cs="Arial"/>
                  <w:color w:val="0563C1"/>
                  <w:sz w:val="4"/>
                  <w:szCs w:val="8"/>
                  <w:u w:val="single"/>
                  <w:lang w:val="sq-AL"/>
                </w:rPr>
                <w:t>https://eur-lex.europa.eu/legal-content/EN/ALL/?uri=CELEX:32020R2154</w:t>
              </w:r>
            </w:hyperlink>
          </w:p>
        </w:tc>
        <w:tc>
          <w:tcPr>
            <w:tcW w:w="506" w:type="pct"/>
            <w:tcBorders>
              <w:top w:val="nil"/>
              <w:left w:val="nil"/>
              <w:bottom w:val="single" w:sz="4" w:space="0" w:color="auto"/>
              <w:right w:val="single" w:sz="4" w:space="0" w:color="auto"/>
            </w:tcBorders>
            <w:shd w:val="clear" w:color="FFFFFF" w:fill="FFFFFF"/>
            <w:vAlign w:val="center"/>
            <w:hideMark/>
          </w:tcPr>
          <w:p w14:paraId="3068B9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CA872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"Kërkesat e certifikimit dhe njoftimit për lëvizjet e produkteve me origjinë shtazore nga kafshët tokësore"</w:t>
            </w:r>
          </w:p>
        </w:tc>
        <w:tc>
          <w:tcPr>
            <w:tcW w:w="330" w:type="pct"/>
            <w:tcBorders>
              <w:top w:val="nil"/>
              <w:left w:val="nil"/>
              <w:bottom w:val="single" w:sz="4" w:space="0" w:color="auto"/>
              <w:right w:val="single" w:sz="4" w:space="0" w:color="auto"/>
            </w:tcBorders>
            <w:shd w:val="clear" w:color="FFFFFF" w:fill="FFFFFF"/>
            <w:vAlign w:val="center"/>
            <w:hideMark/>
          </w:tcPr>
          <w:p w14:paraId="2549D2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Plotësimi i rregullave të përcaktuara në Rregulloren (BE) 2016/429 lidhur me lëvizjet e dërgesave të produkteve me origjinë shtazore nga kafshët tokësore</w:t>
            </w:r>
          </w:p>
        </w:tc>
        <w:tc>
          <w:tcPr>
            <w:tcW w:w="126" w:type="pct"/>
            <w:tcBorders>
              <w:top w:val="nil"/>
              <w:left w:val="nil"/>
              <w:bottom w:val="single" w:sz="4" w:space="0" w:color="auto"/>
              <w:right w:val="single" w:sz="4" w:space="0" w:color="auto"/>
            </w:tcBorders>
            <w:shd w:val="clear" w:color="FFFFFF" w:fill="FFFFFF"/>
            <w:vAlign w:val="center"/>
            <w:hideMark/>
          </w:tcPr>
          <w:p w14:paraId="1C2FC8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7020C8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4B63E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E78C4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A0DF1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540590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48420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BED8C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342A8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9" w:type="pct"/>
            <w:tcBorders>
              <w:top w:val="nil"/>
              <w:left w:val="nil"/>
              <w:bottom w:val="single" w:sz="4" w:space="0" w:color="auto"/>
              <w:right w:val="single" w:sz="4" w:space="0" w:color="auto"/>
            </w:tcBorders>
            <w:shd w:val="clear" w:color="FFFFFF" w:fill="FFFFFF"/>
            <w:vAlign w:val="center"/>
            <w:hideMark/>
          </w:tcPr>
          <w:p w14:paraId="1F5172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999F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907F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7EEE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03B430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644F5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2E9377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A67B2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Kontrollet Zyrtare</w:t>
            </w:r>
          </w:p>
        </w:tc>
        <w:tc>
          <w:tcPr>
            <w:tcW w:w="171" w:type="pct"/>
            <w:tcBorders>
              <w:top w:val="nil"/>
              <w:left w:val="nil"/>
              <w:bottom w:val="single" w:sz="4" w:space="0" w:color="auto"/>
              <w:right w:val="single" w:sz="4" w:space="0" w:color="auto"/>
            </w:tcBorders>
            <w:shd w:val="clear" w:color="FFFFFF" w:fill="FFFFFF"/>
            <w:vAlign w:val="center"/>
            <w:hideMark/>
          </w:tcPr>
          <w:p w14:paraId="2742B5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Listat e vendeve të treta ose rajoneve të tyre të autorizuara për hyrjen në Shqipëri të disa kafshëve dhe mallrave të destinuara për konsum njerëzor</w:t>
            </w:r>
          </w:p>
        </w:tc>
        <w:tc>
          <w:tcPr>
            <w:tcW w:w="661" w:type="pct"/>
            <w:tcBorders>
              <w:top w:val="nil"/>
              <w:left w:val="nil"/>
              <w:bottom w:val="single" w:sz="4" w:space="0" w:color="auto"/>
              <w:right w:val="single" w:sz="4" w:space="0" w:color="auto"/>
            </w:tcBorders>
            <w:shd w:val="clear" w:color="FFFFFF" w:fill="FFFFFF"/>
            <w:vAlign w:val="center"/>
            <w:hideMark/>
          </w:tcPr>
          <w:p w14:paraId="453A63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2021/405 e datës 24 mars 2021 që përcakton listat e vendeve të treta ose rajoneve të tyre të autorizuara për hyrjen në Bashkimin e disa kafshëve dhe mallrave të destinuara për konsum njerëzor në përputhje me Rregulloren (BE) 2017/625 të Parlamenti Evropian dhe Këshilli</w:t>
            </w:r>
          </w:p>
        </w:tc>
        <w:tc>
          <w:tcPr>
            <w:tcW w:w="668" w:type="pct"/>
            <w:tcBorders>
              <w:top w:val="nil"/>
              <w:left w:val="nil"/>
              <w:bottom w:val="single" w:sz="4" w:space="0" w:color="auto"/>
              <w:right w:val="single" w:sz="4" w:space="0" w:color="auto"/>
            </w:tcBorders>
            <w:shd w:val="clear" w:color="FFFFFF" w:fill="FFFFFF"/>
            <w:vAlign w:val="center"/>
            <w:hideMark/>
          </w:tcPr>
          <w:p w14:paraId="6C03D662" w14:textId="77777777" w:rsidR="00482167" w:rsidRPr="006D6BE5" w:rsidRDefault="00E63D69" w:rsidP="00A7241A">
            <w:pPr>
              <w:rPr>
                <w:rFonts w:ascii="Arial" w:hAnsi="Arial" w:cs="Arial"/>
                <w:color w:val="0563C1"/>
                <w:sz w:val="4"/>
                <w:szCs w:val="8"/>
                <w:u w:val="single"/>
                <w:lang w:val="sq-AL"/>
              </w:rPr>
            </w:pPr>
            <w:hyperlink r:id="rId262" w:history="1">
              <w:r w:rsidR="00482167" w:rsidRPr="006D6BE5">
                <w:rPr>
                  <w:rFonts w:ascii="Arial" w:hAnsi="Arial" w:cs="Arial"/>
                  <w:color w:val="0563C1"/>
                  <w:sz w:val="4"/>
                  <w:szCs w:val="8"/>
                  <w:u w:val="single"/>
                  <w:lang w:val="sq-AL"/>
                </w:rPr>
                <w:t>https://eur-lex.europa.eu/legal-content/EN/ALL/?uri=CELEX:32021R0405</w:t>
              </w:r>
            </w:hyperlink>
          </w:p>
        </w:tc>
        <w:tc>
          <w:tcPr>
            <w:tcW w:w="506" w:type="pct"/>
            <w:tcBorders>
              <w:top w:val="nil"/>
              <w:left w:val="nil"/>
              <w:bottom w:val="single" w:sz="4" w:space="0" w:color="auto"/>
              <w:right w:val="single" w:sz="4" w:space="0" w:color="auto"/>
            </w:tcBorders>
            <w:shd w:val="clear" w:color="FFFFFF" w:fill="FFFFFF"/>
            <w:vAlign w:val="center"/>
            <w:hideMark/>
          </w:tcPr>
          <w:p w14:paraId="6A444C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93343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Projektudhëzim i Ministrit të Bujqësisë dhe Zhvillimit Rural "Përcaktimi i listave të vendeve të treta ose rajoneve të tyre të autorizuara për hyrjen në Shqipëri të disa kafshëve dhe mallrave të destinuara për konsum njerëzor" </w:t>
            </w:r>
          </w:p>
        </w:tc>
        <w:tc>
          <w:tcPr>
            <w:tcW w:w="330" w:type="pct"/>
            <w:tcBorders>
              <w:top w:val="nil"/>
              <w:left w:val="nil"/>
              <w:bottom w:val="single" w:sz="4" w:space="0" w:color="auto"/>
              <w:right w:val="single" w:sz="4" w:space="0" w:color="auto"/>
            </w:tcBorders>
            <w:shd w:val="clear" w:color="FFFFFF" w:fill="FFFFFF"/>
            <w:vAlign w:val="center"/>
            <w:hideMark/>
          </w:tcPr>
          <w:p w14:paraId="1EA83E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Krijimi i listave me vende të treta ose rajoneve të tyre të autorizuara për hyrjen në Shqipëri të disa kafshëve dhe mallrave të destinuara për konsum njerëzor</w:t>
            </w:r>
          </w:p>
        </w:tc>
        <w:tc>
          <w:tcPr>
            <w:tcW w:w="126" w:type="pct"/>
            <w:tcBorders>
              <w:top w:val="nil"/>
              <w:left w:val="nil"/>
              <w:bottom w:val="single" w:sz="4" w:space="0" w:color="auto"/>
              <w:right w:val="single" w:sz="4" w:space="0" w:color="auto"/>
            </w:tcBorders>
            <w:shd w:val="clear" w:color="FFFFFF" w:fill="FFFFFF"/>
            <w:vAlign w:val="center"/>
            <w:hideMark/>
          </w:tcPr>
          <w:p w14:paraId="376900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5234EF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3D52B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3FE9F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A353D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78EF61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282EC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3A59A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31729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9" w:type="pct"/>
            <w:tcBorders>
              <w:top w:val="nil"/>
              <w:left w:val="nil"/>
              <w:bottom w:val="single" w:sz="4" w:space="0" w:color="auto"/>
              <w:right w:val="single" w:sz="4" w:space="0" w:color="auto"/>
            </w:tcBorders>
            <w:shd w:val="clear" w:color="FFFFFF" w:fill="FFFFFF"/>
            <w:vAlign w:val="center"/>
            <w:hideMark/>
          </w:tcPr>
          <w:p w14:paraId="5A9FE5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4181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09A3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3E4EB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645961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C8747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4CC619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6C1B2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2 Rregullat e Sigurisë Ushqimore (Aditivët)</w:t>
            </w:r>
          </w:p>
        </w:tc>
        <w:tc>
          <w:tcPr>
            <w:tcW w:w="171" w:type="pct"/>
            <w:tcBorders>
              <w:top w:val="nil"/>
              <w:left w:val="nil"/>
              <w:bottom w:val="single" w:sz="4" w:space="0" w:color="auto"/>
              <w:right w:val="single" w:sz="4" w:space="0" w:color="auto"/>
            </w:tcBorders>
            <w:shd w:val="clear" w:color="FFFFFF" w:fill="FFFFFF"/>
            <w:vAlign w:val="center"/>
            <w:hideMark/>
          </w:tcPr>
          <w:p w14:paraId="2FE559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Specifikimet</w:t>
            </w:r>
          </w:p>
        </w:tc>
        <w:tc>
          <w:tcPr>
            <w:tcW w:w="661" w:type="pct"/>
            <w:tcBorders>
              <w:top w:val="nil"/>
              <w:left w:val="nil"/>
              <w:bottom w:val="single" w:sz="4" w:space="0" w:color="auto"/>
              <w:right w:val="single" w:sz="4" w:space="0" w:color="auto"/>
            </w:tcBorders>
            <w:shd w:val="clear" w:color="FFFFFF" w:fill="FFFFFF"/>
            <w:vAlign w:val="center"/>
            <w:hideMark/>
          </w:tcPr>
          <w:p w14:paraId="0C9EE6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231/2012 e datës 9 mars 2012 që përcakton specifikimet për aditivët ushqimorë të listuar në anekset II dhe III të Rregullores (KE) Nr. 1333/2008 të Parlamentit Evropian dhe të Këshillit</w:t>
            </w:r>
          </w:p>
        </w:tc>
        <w:tc>
          <w:tcPr>
            <w:tcW w:w="668" w:type="pct"/>
            <w:tcBorders>
              <w:top w:val="nil"/>
              <w:left w:val="nil"/>
              <w:bottom w:val="single" w:sz="4" w:space="0" w:color="auto"/>
              <w:right w:val="single" w:sz="4" w:space="0" w:color="auto"/>
            </w:tcBorders>
            <w:shd w:val="clear" w:color="auto" w:fill="auto"/>
            <w:vAlign w:val="center"/>
            <w:hideMark/>
          </w:tcPr>
          <w:p w14:paraId="46FA4062" w14:textId="77777777" w:rsidR="00482167" w:rsidRPr="006D6BE5" w:rsidRDefault="00E63D69" w:rsidP="00A7241A">
            <w:pPr>
              <w:rPr>
                <w:rFonts w:ascii="Arial" w:hAnsi="Arial" w:cs="Arial"/>
                <w:color w:val="4472C4"/>
                <w:sz w:val="4"/>
                <w:szCs w:val="8"/>
                <w:u w:val="single"/>
                <w:lang w:val="sq-AL"/>
              </w:rPr>
            </w:pPr>
            <w:hyperlink r:id="rId263" w:history="1">
              <w:r w:rsidR="00482167" w:rsidRPr="006D6BE5">
                <w:rPr>
                  <w:rFonts w:ascii="Arial" w:hAnsi="Arial" w:cs="Arial"/>
                  <w:color w:val="4472C4"/>
                  <w:sz w:val="4"/>
                  <w:szCs w:val="8"/>
                  <w:u w:val="single"/>
                  <w:lang w:val="sq-AL"/>
                </w:rPr>
                <w:t xml:space="preserve">https://eur-lex.europa.eu/legal-content/EN/TXT/PDF/?uri=CELEX:02012R0231-20231029 </w:t>
              </w:r>
            </w:hyperlink>
          </w:p>
        </w:tc>
        <w:tc>
          <w:tcPr>
            <w:tcW w:w="506" w:type="pct"/>
            <w:tcBorders>
              <w:top w:val="nil"/>
              <w:left w:val="nil"/>
              <w:bottom w:val="single" w:sz="4" w:space="0" w:color="auto"/>
              <w:right w:val="single" w:sz="4" w:space="0" w:color="auto"/>
            </w:tcBorders>
            <w:shd w:val="clear" w:color="FFFFFF" w:fill="FFFFFF"/>
            <w:vAlign w:val="center"/>
            <w:hideMark/>
          </w:tcPr>
          <w:p w14:paraId="0984BB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40E9E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"Mbi specifikimet për aditivët ushqimorë të listuar në Anekset II dhe III të Urdhërit Nr. 18 datë 09.11.2022 "Per aditivet ushqimore te lejuar "</w:t>
            </w:r>
          </w:p>
        </w:tc>
        <w:tc>
          <w:tcPr>
            <w:tcW w:w="330" w:type="pct"/>
            <w:tcBorders>
              <w:top w:val="nil"/>
              <w:left w:val="nil"/>
              <w:bottom w:val="single" w:sz="4" w:space="0" w:color="auto"/>
              <w:right w:val="single" w:sz="4" w:space="0" w:color="auto"/>
            </w:tcBorders>
            <w:shd w:val="clear" w:color="FFFFFF" w:fill="FFFFFF"/>
            <w:vAlign w:val="center"/>
            <w:hideMark/>
          </w:tcPr>
          <w:p w14:paraId="7FDB8C5E" w14:textId="5B748BD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i specifikimeve për aditivët ushqimore të cilët janë të listuar në anekset 2 dhe 3 të Urdhrit Nr. 18</w:t>
            </w:r>
          </w:p>
        </w:tc>
        <w:tc>
          <w:tcPr>
            <w:tcW w:w="126" w:type="pct"/>
            <w:tcBorders>
              <w:top w:val="nil"/>
              <w:left w:val="nil"/>
              <w:bottom w:val="single" w:sz="4" w:space="0" w:color="auto"/>
              <w:right w:val="single" w:sz="4" w:space="0" w:color="auto"/>
            </w:tcBorders>
            <w:shd w:val="clear" w:color="FFFFFF" w:fill="FFFFFF"/>
            <w:vAlign w:val="center"/>
            <w:hideMark/>
          </w:tcPr>
          <w:p w14:paraId="24A4EC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660962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12786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451BAB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E74DB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41CED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4D58C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1,693 </w:t>
            </w:r>
          </w:p>
        </w:tc>
        <w:tc>
          <w:tcPr>
            <w:tcW w:w="126" w:type="pct"/>
            <w:tcBorders>
              <w:top w:val="nil"/>
              <w:left w:val="nil"/>
              <w:bottom w:val="single" w:sz="4" w:space="0" w:color="auto"/>
              <w:right w:val="single" w:sz="4" w:space="0" w:color="auto"/>
            </w:tcBorders>
            <w:shd w:val="clear" w:color="FFFFFF" w:fill="FFFFFF"/>
            <w:vAlign w:val="center"/>
            <w:hideMark/>
          </w:tcPr>
          <w:p w14:paraId="0F759E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E47C3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21A33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23E8F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5089F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6E264E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7FA22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69C7F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4CDD98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C2F75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10 Kontaminantët</w:t>
            </w:r>
          </w:p>
        </w:tc>
        <w:tc>
          <w:tcPr>
            <w:tcW w:w="171" w:type="pct"/>
            <w:tcBorders>
              <w:top w:val="nil"/>
              <w:left w:val="nil"/>
              <w:bottom w:val="single" w:sz="4" w:space="0" w:color="auto"/>
              <w:right w:val="single" w:sz="4" w:space="0" w:color="auto"/>
            </w:tcBorders>
            <w:shd w:val="clear" w:color="FFFFFF" w:fill="FFFFFF"/>
            <w:vAlign w:val="center"/>
            <w:hideMark/>
          </w:tcPr>
          <w:p w14:paraId="73B059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Kontaminantët</w:t>
            </w:r>
          </w:p>
        </w:tc>
        <w:tc>
          <w:tcPr>
            <w:tcW w:w="661" w:type="pct"/>
            <w:tcBorders>
              <w:top w:val="nil"/>
              <w:left w:val="nil"/>
              <w:bottom w:val="single" w:sz="4" w:space="0" w:color="auto"/>
              <w:right w:val="single" w:sz="4" w:space="0" w:color="auto"/>
            </w:tcBorders>
            <w:shd w:val="clear" w:color="FFFFFF" w:fill="FFFFFF"/>
            <w:vAlign w:val="center"/>
            <w:hideMark/>
          </w:tcPr>
          <w:p w14:paraId="4F74EE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2023/915 e datës 25 Prill 2023 mbi nivelet maksimale për disa ndotës në ushqim dhe shfuqizimi i Rregullores (EC) Nr. 1881/2006</w:t>
            </w:r>
          </w:p>
        </w:tc>
        <w:tc>
          <w:tcPr>
            <w:tcW w:w="668" w:type="pct"/>
            <w:tcBorders>
              <w:top w:val="nil"/>
              <w:left w:val="nil"/>
              <w:bottom w:val="single" w:sz="4" w:space="0" w:color="auto"/>
              <w:right w:val="single" w:sz="4" w:space="0" w:color="auto"/>
            </w:tcBorders>
            <w:shd w:val="clear" w:color="auto" w:fill="auto"/>
            <w:vAlign w:val="center"/>
            <w:hideMark/>
          </w:tcPr>
          <w:p w14:paraId="53F4FF8B" w14:textId="77777777" w:rsidR="00482167" w:rsidRPr="006D6BE5" w:rsidRDefault="00E63D69" w:rsidP="00A7241A">
            <w:pPr>
              <w:rPr>
                <w:rFonts w:ascii="Arial" w:hAnsi="Arial" w:cs="Arial"/>
                <w:color w:val="4472C4"/>
                <w:sz w:val="4"/>
                <w:szCs w:val="8"/>
                <w:u w:val="single"/>
                <w:lang w:val="sq-AL"/>
              </w:rPr>
            </w:pPr>
            <w:hyperlink r:id="rId264" w:history="1">
              <w:r w:rsidR="00482167" w:rsidRPr="006D6BE5">
                <w:rPr>
                  <w:rFonts w:ascii="Arial" w:hAnsi="Arial" w:cs="Arial"/>
                  <w:color w:val="4472C4"/>
                  <w:sz w:val="4"/>
                  <w:szCs w:val="8"/>
                  <w:u w:val="single"/>
                  <w:lang w:val="sq-AL"/>
                </w:rPr>
                <w:t xml:space="preserve">https://eur-lex.europa.eu/legal-content/EN/TXT/PDF/?uri=CELEX:32023R0915&amp;qid=1703158462468 </w:t>
              </w:r>
            </w:hyperlink>
          </w:p>
        </w:tc>
        <w:tc>
          <w:tcPr>
            <w:tcW w:w="506" w:type="pct"/>
            <w:tcBorders>
              <w:top w:val="nil"/>
              <w:left w:val="nil"/>
              <w:bottom w:val="single" w:sz="4" w:space="0" w:color="auto"/>
              <w:right w:val="single" w:sz="4" w:space="0" w:color="auto"/>
            </w:tcBorders>
            <w:shd w:val="clear" w:color="FFFFFF" w:fill="FFFFFF"/>
            <w:vAlign w:val="center"/>
            <w:hideMark/>
          </w:tcPr>
          <w:p w14:paraId="78FC67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60D9C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"Për nivelet maksimale për disa kontaminantë në ushqim"</w:t>
            </w:r>
          </w:p>
        </w:tc>
        <w:tc>
          <w:tcPr>
            <w:tcW w:w="330" w:type="pct"/>
            <w:tcBorders>
              <w:top w:val="nil"/>
              <w:left w:val="nil"/>
              <w:bottom w:val="single" w:sz="4" w:space="0" w:color="auto"/>
              <w:right w:val="single" w:sz="4" w:space="0" w:color="auto"/>
            </w:tcBorders>
            <w:shd w:val="clear" w:color="FFFFFF" w:fill="FFFFFF"/>
            <w:vAlign w:val="center"/>
            <w:hideMark/>
          </w:tcPr>
          <w:p w14:paraId="533145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Identifikimi dhe përcaktimi i niveleve maksimale për disa kontaminantë në ushqim</w:t>
            </w:r>
          </w:p>
        </w:tc>
        <w:tc>
          <w:tcPr>
            <w:tcW w:w="126" w:type="pct"/>
            <w:tcBorders>
              <w:top w:val="nil"/>
              <w:left w:val="nil"/>
              <w:bottom w:val="single" w:sz="4" w:space="0" w:color="auto"/>
              <w:right w:val="single" w:sz="4" w:space="0" w:color="auto"/>
            </w:tcBorders>
            <w:shd w:val="clear" w:color="FFFFFF" w:fill="FFFFFF"/>
            <w:vAlign w:val="center"/>
            <w:hideMark/>
          </w:tcPr>
          <w:p w14:paraId="244A0D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47E78A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8ACC7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7721D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FF436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6EE72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4B836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6" w:type="pct"/>
            <w:tcBorders>
              <w:top w:val="nil"/>
              <w:left w:val="nil"/>
              <w:bottom w:val="single" w:sz="4" w:space="0" w:color="auto"/>
              <w:right w:val="single" w:sz="4" w:space="0" w:color="auto"/>
            </w:tcBorders>
            <w:shd w:val="clear" w:color="FFFFFF" w:fill="FFFFFF"/>
            <w:vAlign w:val="center"/>
            <w:hideMark/>
          </w:tcPr>
          <w:p w14:paraId="6A205B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66A92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1862C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3690A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FC497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3E7BE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B3C854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77D53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DF502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7B64A3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1 Rregullat e Higjenës</w:t>
            </w:r>
          </w:p>
        </w:tc>
        <w:tc>
          <w:tcPr>
            <w:tcW w:w="171" w:type="pct"/>
            <w:tcBorders>
              <w:top w:val="nil"/>
              <w:left w:val="nil"/>
              <w:bottom w:val="single" w:sz="4" w:space="0" w:color="auto"/>
              <w:right w:val="single" w:sz="4" w:space="0" w:color="auto"/>
            </w:tcBorders>
            <w:shd w:val="clear" w:color="FFFFFF" w:fill="FFFFFF"/>
            <w:vAlign w:val="center"/>
            <w:hideMark/>
          </w:tcPr>
          <w:p w14:paraId="5EE133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e Higjenës Ushqimore</w:t>
            </w:r>
          </w:p>
        </w:tc>
        <w:tc>
          <w:tcPr>
            <w:tcW w:w="661" w:type="pct"/>
            <w:tcBorders>
              <w:top w:val="nil"/>
              <w:left w:val="nil"/>
              <w:bottom w:val="single" w:sz="4" w:space="0" w:color="auto"/>
              <w:right w:val="single" w:sz="4" w:space="0" w:color="auto"/>
            </w:tcBorders>
            <w:shd w:val="clear" w:color="FFFFFF" w:fill="FFFFFF"/>
            <w:vAlign w:val="center"/>
            <w:hideMark/>
          </w:tcPr>
          <w:p w14:paraId="007613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Komisionit (BE) Nr. 210/2013 e datës 11 mars 2013 për miratimin e ndërmarrjeve që prodhojnë filiza në përputhje me Rregulloren (EC) Nr. 852/2004 të Parlamentit Evropian dhe të Këshillit</w:t>
            </w:r>
          </w:p>
        </w:tc>
        <w:tc>
          <w:tcPr>
            <w:tcW w:w="668" w:type="pct"/>
            <w:tcBorders>
              <w:top w:val="nil"/>
              <w:left w:val="nil"/>
              <w:bottom w:val="single" w:sz="4" w:space="0" w:color="auto"/>
              <w:right w:val="single" w:sz="4" w:space="0" w:color="auto"/>
            </w:tcBorders>
            <w:shd w:val="clear" w:color="auto" w:fill="auto"/>
            <w:vAlign w:val="center"/>
            <w:hideMark/>
          </w:tcPr>
          <w:p w14:paraId="4CCF60C4" w14:textId="77777777" w:rsidR="00482167" w:rsidRPr="006D6BE5" w:rsidRDefault="00E63D69" w:rsidP="00A7241A">
            <w:pPr>
              <w:rPr>
                <w:rFonts w:ascii="Arial" w:hAnsi="Arial" w:cs="Arial"/>
                <w:color w:val="4472C4"/>
                <w:sz w:val="4"/>
                <w:szCs w:val="8"/>
                <w:u w:val="single"/>
                <w:lang w:val="sq-AL"/>
              </w:rPr>
            </w:pPr>
            <w:hyperlink r:id="rId265" w:history="1">
              <w:r w:rsidR="00482167" w:rsidRPr="006D6BE5">
                <w:rPr>
                  <w:rFonts w:ascii="Arial" w:hAnsi="Arial" w:cs="Arial"/>
                  <w:color w:val="4472C4"/>
                  <w:sz w:val="4"/>
                  <w:szCs w:val="8"/>
                  <w:u w:val="single"/>
                  <w:lang w:val="sq-AL"/>
                </w:rPr>
                <w:t>https://eur-lex.europa.eu/legal-content/EN/TXT/PDF/?uri=CELEX:32013R0210</w:t>
              </w:r>
            </w:hyperlink>
          </w:p>
        </w:tc>
        <w:tc>
          <w:tcPr>
            <w:tcW w:w="506" w:type="pct"/>
            <w:tcBorders>
              <w:top w:val="nil"/>
              <w:left w:val="nil"/>
              <w:bottom w:val="single" w:sz="4" w:space="0" w:color="auto"/>
              <w:right w:val="single" w:sz="4" w:space="0" w:color="auto"/>
            </w:tcBorders>
            <w:shd w:val="clear" w:color="FFFFFF" w:fill="FFFFFF"/>
            <w:vAlign w:val="center"/>
            <w:hideMark/>
          </w:tcPr>
          <w:p w14:paraId="4AC019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69917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"Mbi miratimin e institucioneve prodhuese të filizave sipas udhëzimit Nr.22 datë 25.11.2010 "Për kushtet e përgjithshme dhe të veçanta të higjienës për lokalet ushqimore dhe operatorët e biznesit ushqimor"</w:t>
            </w:r>
          </w:p>
        </w:tc>
        <w:tc>
          <w:tcPr>
            <w:tcW w:w="330" w:type="pct"/>
            <w:tcBorders>
              <w:top w:val="nil"/>
              <w:left w:val="nil"/>
              <w:bottom w:val="single" w:sz="4" w:space="0" w:color="auto"/>
              <w:right w:val="single" w:sz="4" w:space="0" w:color="auto"/>
            </w:tcBorders>
            <w:shd w:val="clear" w:color="FFFFFF" w:fill="FFFFFF"/>
            <w:vAlign w:val="center"/>
            <w:hideMark/>
          </w:tcPr>
          <w:p w14:paraId="7A2BC9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Identifikohen institucionet prodhuese të filizave në përputhje me Udhëzimin Nr 22</w:t>
            </w:r>
          </w:p>
        </w:tc>
        <w:tc>
          <w:tcPr>
            <w:tcW w:w="126" w:type="pct"/>
            <w:tcBorders>
              <w:top w:val="nil"/>
              <w:left w:val="nil"/>
              <w:bottom w:val="single" w:sz="4" w:space="0" w:color="auto"/>
              <w:right w:val="single" w:sz="4" w:space="0" w:color="auto"/>
            </w:tcBorders>
            <w:shd w:val="clear" w:color="FFFFFF" w:fill="FFFFFF"/>
            <w:vAlign w:val="center"/>
            <w:hideMark/>
          </w:tcPr>
          <w:p w14:paraId="7CD5DA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33B7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BCDDB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735FB1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924E5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578DE4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9809A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1,553 </w:t>
            </w:r>
          </w:p>
        </w:tc>
        <w:tc>
          <w:tcPr>
            <w:tcW w:w="126" w:type="pct"/>
            <w:tcBorders>
              <w:top w:val="nil"/>
              <w:left w:val="nil"/>
              <w:bottom w:val="single" w:sz="4" w:space="0" w:color="auto"/>
              <w:right w:val="single" w:sz="4" w:space="0" w:color="auto"/>
            </w:tcBorders>
            <w:shd w:val="clear" w:color="FFFFFF" w:fill="FFFFFF"/>
            <w:vAlign w:val="center"/>
            <w:hideMark/>
          </w:tcPr>
          <w:p w14:paraId="55A707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3C6C7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BE07F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E9295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881806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B287C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6872A7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BD2B6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4DA8DE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27259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Kapitulli 5 Aromatizuesit </w:t>
            </w:r>
          </w:p>
        </w:tc>
        <w:tc>
          <w:tcPr>
            <w:tcW w:w="171" w:type="pct"/>
            <w:tcBorders>
              <w:top w:val="nil"/>
              <w:left w:val="nil"/>
              <w:bottom w:val="single" w:sz="4" w:space="0" w:color="auto"/>
              <w:right w:val="single" w:sz="4" w:space="0" w:color="auto"/>
            </w:tcBorders>
            <w:shd w:val="clear" w:color="FFFFFF" w:fill="FFFFFF"/>
            <w:vAlign w:val="center"/>
            <w:hideMark/>
          </w:tcPr>
          <w:p w14:paraId="57F387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Aromatizuesit</w:t>
            </w:r>
          </w:p>
        </w:tc>
        <w:tc>
          <w:tcPr>
            <w:tcW w:w="661" w:type="pct"/>
            <w:tcBorders>
              <w:top w:val="nil"/>
              <w:left w:val="nil"/>
              <w:bottom w:val="single" w:sz="4" w:space="0" w:color="auto"/>
              <w:right w:val="single" w:sz="4" w:space="0" w:color="auto"/>
            </w:tcBorders>
            <w:shd w:val="clear" w:color="FFFFFF" w:fill="FFFFFF"/>
            <w:vAlign w:val="center"/>
            <w:hideMark/>
          </w:tcPr>
          <w:p w14:paraId="34AA6F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Zbatuese e Komisionit (BE) Nr. 872/2012 e datës 1 tetor 2012 që miraton listën e substancave aromatizuese të parashikuar nga Rregullorja (KE) Nr. 2232/96 e Parlamentit Evropian dhe e Këshillit, duke e futur atë në Shtojcën I të Rregullores (KE) Nr. 1334/2008 i Parlamentit Evropian dhe i Këshillit dhe shfuqizimi i Rregullores së Komisionit (EC) Nr 1565/2000 dhe Vendimit të Komisionit 1999/217/EC</w:t>
            </w:r>
          </w:p>
        </w:tc>
        <w:tc>
          <w:tcPr>
            <w:tcW w:w="668" w:type="pct"/>
            <w:tcBorders>
              <w:top w:val="nil"/>
              <w:left w:val="nil"/>
              <w:bottom w:val="single" w:sz="4" w:space="0" w:color="auto"/>
              <w:right w:val="single" w:sz="4" w:space="0" w:color="auto"/>
            </w:tcBorders>
            <w:shd w:val="clear" w:color="auto" w:fill="auto"/>
            <w:vAlign w:val="center"/>
            <w:hideMark/>
          </w:tcPr>
          <w:p w14:paraId="099353B3" w14:textId="77777777" w:rsidR="00482167" w:rsidRPr="006D6BE5" w:rsidRDefault="00E63D69" w:rsidP="00A7241A">
            <w:pPr>
              <w:rPr>
                <w:rFonts w:ascii="Arial" w:hAnsi="Arial" w:cs="Arial"/>
                <w:color w:val="0563C1"/>
                <w:sz w:val="4"/>
                <w:szCs w:val="8"/>
                <w:u w:val="single"/>
                <w:lang w:val="sq-AL"/>
              </w:rPr>
            </w:pPr>
            <w:hyperlink r:id="rId266" w:history="1">
              <w:r w:rsidR="00482167" w:rsidRPr="006D6BE5">
                <w:rPr>
                  <w:rFonts w:ascii="Arial" w:hAnsi="Arial" w:cs="Arial"/>
                  <w:color w:val="0563C1"/>
                  <w:sz w:val="4"/>
                  <w:szCs w:val="8"/>
                  <w:u w:val="single"/>
                  <w:lang w:val="sq-AL"/>
                </w:rPr>
                <w:t xml:space="preserve">https://eur-lex.europa.eu/legal-content/EN/TXT/PDF/?uri=CELEX:32012R0872 </w:t>
              </w:r>
            </w:hyperlink>
          </w:p>
        </w:tc>
        <w:tc>
          <w:tcPr>
            <w:tcW w:w="506" w:type="pct"/>
            <w:tcBorders>
              <w:top w:val="nil"/>
              <w:left w:val="nil"/>
              <w:bottom w:val="single" w:sz="4" w:space="0" w:color="auto"/>
              <w:right w:val="single" w:sz="4" w:space="0" w:color="auto"/>
            </w:tcBorders>
            <w:shd w:val="clear" w:color="FFFFFF" w:fill="FFFFFF"/>
            <w:vAlign w:val="center"/>
            <w:hideMark/>
          </w:tcPr>
          <w:p w14:paraId="73FEB3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D3EB4EF"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Projektudhezim i Ministrit të Bujqësisë dhe Zhvillimit Rural "Miratimi i listës së substancave aromatike"</w:t>
            </w:r>
          </w:p>
        </w:tc>
        <w:tc>
          <w:tcPr>
            <w:tcW w:w="330" w:type="pct"/>
            <w:tcBorders>
              <w:top w:val="nil"/>
              <w:left w:val="nil"/>
              <w:bottom w:val="single" w:sz="4" w:space="0" w:color="auto"/>
              <w:right w:val="single" w:sz="4" w:space="0" w:color="auto"/>
            </w:tcBorders>
            <w:shd w:val="clear" w:color="FFFFFF" w:fill="FFFFFF"/>
            <w:vAlign w:val="center"/>
            <w:hideMark/>
          </w:tcPr>
          <w:p w14:paraId="39AFEF32"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Përcaktimi i listës së substancave aromatike</w:t>
            </w:r>
          </w:p>
        </w:tc>
        <w:tc>
          <w:tcPr>
            <w:tcW w:w="126" w:type="pct"/>
            <w:tcBorders>
              <w:top w:val="nil"/>
              <w:left w:val="nil"/>
              <w:bottom w:val="single" w:sz="4" w:space="0" w:color="auto"/>
              <w:right w:val="single" w:sz="4" w:space="0" w:color="auto"/>
            </w:tcBorders>
            <w:shd w:val="clear" w:color="FFFFFF" w:fill="FFFFFF"/>
            <w:vAlign w:val="center"/>
            <w:hideMark/>
          </w:tcPr>
          <w:p w14:paraId="2D7817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7333D8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26FCBF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95556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9E49B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23555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33023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8D46A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984</w:t>
            </w:r>
          </w:p>
        </w:tc>
        <w:tc>
          <w:tcPr>
            <w:tcW w:w="117" w:type="pct"/>
            <w:tcBorders>
              <w:top w:val="nil"/>
              <w:left w:val="nil"/>
              <w:bottom w:val="single" w:sz="4" w:space="0" w:color="auto"/>
              <w:right w:val="single" w:sz="4" w:space="0" w:color="auto"/>
            </w:tcBorders>
            <w:shd w:val="clear" w:color="FFFFFF" w:fill="FFFFFF"/>
            <w:vAlign w:val="center"/>
            <w:hideMark/>
          </w:tcPr>
          <w:p w14:paraId="07FD0D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1E91E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3E62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67C3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AB46B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582D58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A742DA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160862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5ABA3B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Kapitulli 5 Aromatizuesit </w:t>
            </w:r>
          </w:p>
        </w:tc>
        <w:tc>
          <w:tcPr>
            <w:tcW w:w="171" w:type="pct"/>
            <w:tcBorders>
              <w:top w:val="nil"/>
              <w:left w:val="nil"/>
              <w:bottom w:val="single" w:sz="4" w:space="0" w:color="auto"/>
              <w:right w:val="single" w:sz="4" w:space="0" w:color="auto"/>
            </w:tcBorders>
            <w:shd w:val="clear" w:color="FFFFFF" w:fill="FFFFFF"/>
            <w:vAlign w:val="center"/>
            <w:hideMark/>
          </w:tcPr>
          <w:p w14:paraId="35775A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Aromatizuesit</w:t>
            </w:r>
          </w:p>
        </w:tc>
        <w:tc>
          <w:tcPr>
            <w:tcW w:w="661" w:type="pct"/>
            <w:tcBorders>
              <w:top w:val="nil"/>
              <w:left w:val="nil"/>
              <w:bottom w:val="single" w:sz="4" w:space="0" w:color="auto"/>
              <w:right w:val="single" w:sz="4" w:space="0" w:color="auto"/>
            </w:tcBorders>
            <w:shd w:val="clear" w:color="FFFFFF" w:fill="FFFFFF"/>
            <w:vAlign w:val="center"/>
            <w:hideMark/>
          </w:tcPr>
          <w:p w14:paraId="3EC59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Rregullorja Zbatuese e Komisionit (BE) Nr. 1321/2013 e datës 10 dhjetor 2013 për krijimin e listës së Bashkimit të produkteve parësore të autorizuara me aromatizues tymi për përdorim si të tillë në ose mbi ushqime dhe/ose për prodhimin e aromatizuesve që rrjedhin nga tymi </w:t>
            </w:r>
          </w:p>
        </w:tc>
        <w:tc>
          <w:tcPr>
            <w:tcW w:w="668" w:type="pct"/>
            <w:tcBorders>
              <w:top w:val="nil"/>
              <w:left w:val="nil"/>
              <w:bottom w:val="single" w:sz="4" w:space="0" w:color="auto"/>
              <w:right w:val="single" w:sz="4" w:space="0" w:color="auto"/>
            </w:tcBorders>
            <w:shd w:val="clear" w:color="auto" w:fill="auto"/>
            <w:vAlign w:val="center"/>
            <w:hideMark/>
          </w:tcPr>
          <w:p w14:paraId="3DBB960A" w14:textId="77777777" w:rsidR="00482167" w:rsidRPr="006D6BE5" w:rsidRDefault="00E63D69" w:rsidP="00A7241A">
            <w:pPr>
              <w:rPr>
                <w:rFonts w:ascii="Arial" w:hAnsi="Arial" w:cs="Arial"/>
                <w:color w:val="0563C1"/>
                <w:sz w:val="4"/>
                <w:szCs w:val="8"/>
                <w:u w:val="single"/>
                <w:lang w:val="sq-AL"/>
              </w:rPr>
            </w:pPr>
            <w:hyperlink r:id="rId267" w:history="1">
              <w:r w:rsidR="00482167" w:rsidRPr="006D6BE5">
                <w:rPr>
                  <w:rFonts w:ascii="Arial" w:hAnsi="Arial" w:cs="Arial"/>
                  <w:color w:val="0563C1"/>
                  <w:sz w:val="4"/>
                  <w:szCs w:val="8"/>
                  <w:u w:val="single"/>
                  <w:lang w:val="sq-AL"/>
                </w:rPr>
                <w:t>https://eur-lex.europa.eu/legal-content/EN/TXT/PDF/?uri=CELEX:32013R1321</w:t>
              </w:r>
            </w:hyperlink>
          </w:p>
        </w:tc>
        <w:tc>
          <w:tcPr>
            <w:tcW w:w="506" w:type="pct"/>
            <w:tcBorders>
              <w:top w:val="nil"/>
              <w:left w:val="nil"/>
              <w:bottom w:val="single" w:sz="4" w:space="0" w:color="auto"/>
              <w:right w:val="single" w:sz="4" w:space="0" w:color="auto"/>
            </w:tcBorders>
            <w:shd w:val="clear" w:color="FFFFFF" w:fill="FFFFFF"/>
            <w:vAlign w:val="center"/>
            <w:hideMark/>
          </w:tcPr>
          <w:p w14:paraId="6077E3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24F9A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"Lista e autorizuar me aromatizuesit e tymit"</w:t>
            </w:r>
          </w:p>
        </w:tc>
        <w:tc>
          <w:tcPr>
            <w:tcW w:w="330" w:type="pct"/>
            <w:tcBorders>
              <w:top w:val="nil"/>
              <w:left w:val="nil"/>
              <w:bottom w:val="single" w:sz="4" w:space="0" w:color="auto"/>
              <w:right w:val="single" w:sz="4" w:space="0" w:color="auto"/>
            </w:tcBorders>
            <w:shd w:val="clear" w:color="FFFFFF" w:fill="FFFFFF"/>
            <w:vAlign w:val="center"/>
            <w:hideMark/>
          </w:tcPr>
          <w:p w14:paraId="72EA2C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listës me aromatizuesit e tymit</w:t>
            </w:r>
          </w:p>
        </w:tc>
        <w:tc>
          <w:tcPr>
            <w:tcW w:w="126" w:type="pct"/>
            <w:tcBorders>
              <w:top w:val="nil"/>
              <w:left w:val="nil"/>
              <w:bottom w:val="single" w:sz="4" w:space="0" w:color="auto"/>
              <w:right w:val="single" w:sz="4" w:space="0" w:color="auto"/>
            </w:tcBorders>
            <w:shd w:val="clear" w:color="FFFFFF" w:fill="FFFFFF"/>
            <w:vAlign w:val="center"/>
            <w:hideMark/>
          </w:tcPr>
          <w:p w14:paraId="1CCA88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20DF4D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1B6AE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84D24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28D34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E2859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D0073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5562A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5AC0B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1,553 </w:t>
            </w:r>
          </w:p>
        </w:tc>
        <w:tc>
          <w:tcPr>
            <w:tcW w:w="129" w:type="pct"/>
            <w:tcBorders>
              <w:top w:val="nil"/>
              <w:left w:val="nil"/>
              <w:bottom w:val="single" w:sz="4" w:space="0" w:color="auto"/>
              <w:right w:val="single" w:sz="4" w:space="0" w:color="auto"/>
            </w:tcBorders>
            <w:shd w:val="clear" w:color="FFFFFF" w:fill="FFFFFF"/>
            <w:vAlign w:val="center"/>
            <w:hideMark/>
          </w:tcPr>
          <w:p w14:paraId="1452DB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9B85A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76EC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D6562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0E3616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74569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2CE420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46BC13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Materialet në Kontakt me Ushqimin</w:t>
            </w:r>
          </w:p>
        </w:tc>
        <w:tc>
          <w:tcPr>
            <w:tcW w:w="171" w:type="pct"/>
            <w:tcBorders>
              <w:top w:val="nil"/>
              <w:left w:val="nil"/>
              <w:bottom w:val="single" w:sz="4" w:space="0" w:color="auto"/>
              <w:right w:val="single" w:sz="4" w:space="0" w:color="auto"/>
            </w:tcBorders>
            <w:shd w:val="clear" w:color="FFFFFF" w:fill="FFFFFF"/>
            <w:vAlign w:val="center"/>
            <w:hideMark/>
          </w:tcPr>
          <w:p w14:paraId="383CF2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Materialet në Kontakt me Ushqimin</w:t>
            </w:r>
          </w:p>
        </w:tc>
        <w:tc>
          <w:tcPr>
            <w:tcW w:w="661" w:type="pct"/>
            <w:tcBorders>
              <w:top w:val="nil"/>
              <w:left w:val="nil"/>
              <w:bottom w:val="single" w:sz="4" w:space="0" w:color="auto"/>
              <w:right w:val="single" w:sz="4" w:space="0" w:color="auto"/>
            </w:tcBorders>
            <w:shd w:val="clear" w:color="FFFFFF" w:fill="FFFFFF"/>
            <w:vAlign w:val="center"/>
            <w:hideMark/>
          </w:tcPr>
          <w:p w14:paraId="152078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Këshillit 85/572/EEC e 19 dhjetorit 1985 që përcakton listën e simulantëve që do të përdoren për testimin e migrimit të përbërësve të materialeve plastike dhe artikujve që synojnë të vijnë në kontakt me produktet ushqimore</w:t>
            </w:r>
          </w:p>
        </w:tc>
        <w:tc>
          <w:tcPr>
            <w:tcW w:w="668" w:type="pct"/>
            <w:tcBorders>
              <w:top w:val="nil"/>
              <w:left w:val="nil"/>
              <w:bottom w:val="single" w:sz="4" w:space="0" w:color="auto"/>
              <w:right w:val="single" w:sz="4" w:space="0" w:color="auto"/>
            </w:tcBorders>
            <w:shd w:val="clear" w:color="auto" w:fill="auto"/>
            <w:vAlign w:val="center"/>
            <w:hideMark/>
          </w:tcPr>
          <w:p w14:paraId="19B61BA5" w14:textId="77777777" w:rsidR="00482167" w:rsidRPr="006D6BE5" w:rsidRDefault="00E63D69" w:rsidP="00A7241A">
            <w:pPr>
              <w:rPr>
                <w:rFonts w:ascii="Arial" w:hAnsi="Arial" w:cs="Arial"/>
                <w:color w:val="0563C1"/>
                <w:sz w:val="4"/>
                <w:szCs w:val="8"/>
                <w:u w:val="single"/>
                <w:lang w:val="sq-AL"/>
              </w:rPr>
            </w:pPr>
            <w:hyperlink r:id="rId268" w:history="1">
              <w:r w:rsidR="00482167" w:rsidRPr="006D6BE5">
                <w:rPr>
                  <w:rFonts w:ascii="Arial" w:hAnsi="Arial" w:cs="Arial"/>
                  <w:color w:val="0563C1"/>
                  <w:sz w:val="4"/>
                  <w:szCs w:val="8"/>
                  <w:u w:val="single"/>
                  <w:lang w:val="sq-AL"/>
                </w:rPr>
                <w:t xml:space="preserve">https://eur-lex.europa.eu/legal-content/EN/TXT/PDF/?uri=CELEX:31985L0572 </w:t>
              </w:r>
            </w:hyperlink>
          </w:p>
        </w:tc>
        <w:tc>
          <w:tcPr>
            <w:tcW w:w="506" w:type="pct"/>
            <w:tcBorders>
              <w:top w:val="nil"/>
              <w:left w:val="nil"/>
              <w:bottom w:val="single" w:sz="4" w:space="0" w:color="auto"/>
              <w:right w:val="single" w:sz="4" w:space="0" w:color="auto"/>
            </w:tcBorders>
            <w:shd w:val="clear" w:color="FFFFFF" w:fill="FFFFFF"/>
            <w:vAlign w:val="center"/>
            <w:hideMark/>
          </w:tcPr>
          <w:p w14:paraId="7A4F41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D93FD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"Lista e simulantëve që do të përdoren për testimin e kalimit të përbërësve të materialeve plastike dhe artikujve që synojnë të bien në kontakt me ushqimet"</w:t>
            </w:r>
          </w:p>
        </w:tc>
        <w:tc>
          <w:tcPr>
            <w:tcW w:w="330" w:type="pct"/>
            <w:tcBorders>
              <w:top w:val="nil"/>
              <w:left w:val="nil"/>
              <w:bottom w:val="single" w:sz="4" w:space="0" w:color="auto"/>
              <w:right w:val="single" w:sz="4" w:space="0" w:color="auto"/>
            </w:tcBorders>
            <w:shd w:val="clear" w:color="FFFFFF" w:fill="FFFFFF"/>
            <w:vAlign w:val="center"/>
            <w:hideMark/>
          </w:tcPr>
          <w:p w14:paraId="417586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listës i të gjithë stimulanteve që do të përdoren me qëllim testimin e përbërësve të materialeve plastike dhe artikujve që synojnë të bien në kontakt me ushqimin</w:t>
            </w:r>
          </w:p>
        </w:tc>
        <w:tc>
          <w:tcPr>
            <w:tcW w:w="126" w:type="pct"/>
            <w:tcBorders>
              <w:top w:val="nil"/>
              <w:left w:val="nil"/>
              <w:bottom w:val="single" w:sz="4" w:space="0" w:color="auto"/>
              <w:right w:val="single" w:sz="4" w:space="0" w:color="auto"/>
            </w:tcBorders>
            <w:shd w:val="clear" w:color="FFFFFF" w:fill="FFFFFF"/>
            <w:vAlign w:val="center"/>
            <w:hideMark/>
          </w:tcPr>
          <w:p w14:paraId="54B27F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5ED425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BABD0D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597680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23505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72BBB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3D526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33886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A9DC7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9" w:type="pct"/>
            <w:tcBorders>
              <w:top w:val="nil"/>
              <w:left w:val="nil"/>
              <w:bottom w:val="single" w:sz="4" w:space="0" w:color="auto"/>
              <w:right w:val="single" w:sz="4" w:space="0" w:color="auto"/>
            </w:tcBorders>
            <w:shd w:val="clear" w:color="FFFFFF" w:fill="FFFFFF"/>
            <w:vAlign w:val="center"/>
            <w:hideMark/>
          </w:tcPr>
          <w:p w14:paraId="41EF24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5EC9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554E2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46EFCC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47D486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E1BF4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1863E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0628FF24"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Kapitulli 2 Politikat Veterinare</w:t>
            </w:r>
          </w:p>
        </w:tc>
        <w:tc>
          <w:tcPr>
            <w:tcW w:w="171" w:type="pct"/>
            <w:tcBorders>
              <w:top w:val="nil"/>
              <w:left w:val="nil"/>
              <w:bottom w:val="single" w:sz="4" w:space="0" w:color="auto"/>
              <w:right w:val="single" w:sz="4" w:space="0" w:color="auto"/>
            </w:tcBorders>
            <w:shd w:val="clear" w:color="FFFFFF" w:fill="FFFFFF"/>
            <w:vAlign w:val="center"/>
            <w:hideMark/>
          </w:tcPr>
          <w:p w14:paraId="6DD0B0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Substancat e ndaluara dhe kontrolli i mbetjeve</w:t>
            </w:r>
          </w:p>
        </w:tc>
        <w:tc>
          <w:tcPr>
            <w:tcW w:w="661" w:type="pct"/>
            <w:tcBorders>
              <w:top w:val="nil"/>
              <w:left w:val="nil"/>
              <w:bottom w:val="single" w:sz="4" w:space="0" w:color="auto"/>
              <w:right w:val="single" w:sz="4" w:space="0" w:color="auto"/>
            </w:tcBorders>
            <w:shd w:val="clear" w:color="FFFFFF" w:fill="FFFFFF"/>
            <w:vAlign w:val="center"/>
            <w:hideMark/>
          </w:tcPr>
          <w:p w14:paraId="7A1FDA9E"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e Komisionit (BE) Nr 37/2010 e datës 22 Dhjetor 2009 mbi substancat farmakologjikisht aktive dhe klasifikimin e tyre në lidhje me kufijtë maksimalë të mbetjeve në produktet ushqimore me origjinë shtazore</w:t>
            </w:r>
          </w:p>
        </w:tc>
        <w:tc>
          <w:tcPr>
            <w:tcW w:w="668" w:type="pct"/>
            <w:tcBorders>
              <w:top w:val="nil"/>
              <w:left w:val="nil"/>
              <w:bottom w:val="single" w:sz="4" w:space="0" w:color="auto"/>
              <w:right w:val="single" w:sz="4" w:space="0" w:color="auto"/>
            </w:tcBorders>
            <w:shd w:val="clear" w:color="FFFFFF" w:fill="FFFFFF"/>
            <w:vAlign w:val="center"/>
            <w:hideMark/>
          </w:tcPr>
          <w:p w14:paraId="3312E8E5" w14:textId="77777777" w:rsidR="00482167" w:rsidRPr="006D6BE5" w:rsidRDefault="00E63D69" w:rsidP="00A7241A">
            <w:pPr>
              <w:rPr>
                <w:rFonts w:ascii="Arial" w:hAnsi="Arial" w:cs="Arial"/>
                <w:color w:val="0563C1"/>
                <w:sz w:val="4"/>
                <w:szCs w:val="8"/>
                <w:u w:val="single"/>
                <w:lang w:val="sq-AL"/>
              </w:rPr>
            </w:pPr>
            <w:hyperlink r:id="rId269" w:history="1">
              <w:r w:rsidR="00482167" w:rsidRPr="006D6BE5">
                <w:rPr>
                  <w:rFonts w:ascii="Arial" w:hAnsi="Arial" w:cs="Arial"/>
                  <w:color w:val="0563C1"/>
                  <w:sz w:val="4"/>
                  <w:szCs w:val="8"/>
                  <w:u w:val="single"/>
                  <w:lang w:val="sq-AL"/>
                </w:rPr>
                <w:t>https://eur-lex.europa.eu/legal-content/EN/TXT/?uri=CELEX%3A02010R0037-20230611</w:t>
              </w:r>
            </w:hyperlink>
          </w:p>
        </w:tc>
        <w:tc>
          <w:tcPr>
            <w:tcW w:w="506" w:type="pct"/>
            <w:tcBorders>
              <w:top w:val="nil"/>
              <w:left w:val="nil"/>
              <w:bottom w:val="single" w:sz="4" w:space="0" w:color="auto"/>
              <w:right w:val="single" w:sz="4" w:space="0" w:color="auto"/>
            </w:tcBorders>
            <w:shd w:val="clear" w:color="FFFFFF" w:fill="FFFFFF"/>
            <w:vAlign w:val="center"/>
            <w:hideMark/>
          </w:tcPr>
          <w:p w14:paraId="777D58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EBEF9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Ministrit të Bujqësisë dhe Zhvillimit Rural "Substancat farmakologjikisht aktive dhe klasifikimi i tyre në lidhje me limitet maksimale të mbetjeve"</w:t>
            </w:r>
          </w:p>
        </w:tc>
        <w:tc>
          <w:tcPr>
            <w:tcW w:w="330" w:type="pct"/>
            <w:tcBorders>
              <w:top w:val="nil"/>
              <w:left w:val="nil"/>
              <w:bottom w:val="single" w:sz="4" w:space="0" w:color="auto"/>
              <w:right w:val="single" w:sz="4" w:space="0" w:color="auto"/>
            </w:tcBorders>
            <w:shd w:val="clear" w:color="FFFFFF" w:fill="FFFFFF"/>
            <w:vAlign w:val="center"/>
            <w:hideMark/>
          </w:tcPr>
          <w:p w14:paraId="1F672C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Klasifikimi i substancave farmakologjike aktive dhe KMM-ve në produktet ushqimore me origjinë shtazore:</w:t>
            </w:r>
            <w:r w:rsidRPr="006D6BE5">
              <w:rPr>
                <w:rFonts w:ascii="Arial" w:hAnsi="Arial" w:cs="Arial"/>
                <w:color w:val="000000"/>
                <w:sz w:val="4"/>
                <w:szCs w:val="8"/>
                <w:lang w:val="sq-AL"/>
              </w:rPr>
              <w:br/>
              <w:t>Tabela 1: klasifikimi i substancave të autorizuara farmakologjike aktive në lidhje me kufijtë e tyre maksimalë të mbetjeve (KMM)</w:t>
            </w:r>
            <w:r w:rsidRPr="006D6BE5">
              <w:rPr>
                <w:rFonts w:ascii="Arial" w:hAnsi="Arial" w:cs="Arial"/>
                <w:color w:val="000000"/>
                <w:sz w:val="4"/>
                <w:szCs w:val="8"/>
                <w:lang w:val="sq-AL"/>
              </w:rPr>
              <w:br/>
              <w:t>Tabela 2: Substancat e ndaluara</w:t>
            </w:r>
          </w:p>
        </w:tc>
        <w:tc>
          <w:tcPr>
            <w:tcW w:w="126" w:type="pct"/>
            <w:tcBorders>
              <w:top w:val="nil"/>
              <w:left w:val="nil"/>
              <w:bottom w:val="single" w:sz="4" w:space="0" w:color="auto"/>
              <w:right w:val="single" w:sz="4" w:space="0" w:color="auto"/>
            </w:tcBorders>
            <w:shd w:val="clear" w:color="FFFFFF" w:fill="FFFFFF"/>
            <w:vAlign w:val="center"/>
            <w:hideMark/>
          </w:tcPr>
          <w:p w14:paraId="542E33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0B6C22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E65F4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86B3C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4F8D5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593463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Donator</w:t>
            </w:r>
          </w:p>
        </w:tc>
        <w:tc>
          <w:tcPr>
            <w:tcW w:w="120" w:type="pct"/>
            <w:tcBorders>
              <w:top w:val="nil"/>
              <w:left w:val="nil"/>
              <w:bottom w:val="single" w:sz="4" w:space="0" w:color="auto"/>
              <w:right w:val="single" w:sz="4" w:space="0" w:color="auto"/>
            </w:tcBorders>
            <w:shd w:val="clear" w:color="FFFFFF" w:fill="FFFFFF"/>
            <w:vAlign w:val="center"/>
            <w:hideMark/>
          </w:tcPr>
          <w:p w14:paraId="49EA72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2277A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904</w:t>
            </w:r>
          </w:p>
        </w:tc>
        <w:tc>
          <w:tcPr>
            <w:tcW w:w="117" w:type="pct"/>
            <w:tcBorders>
              <w:top w:val="nil"/>
              <w:left w:val="nil"/>
              <w:bottom w:val="single" w:sz="4" w:space="0" w:color="auto"/>
              <w:right w:val="single" w:sz="4" w:space="0" w:color="auto"/>
            </w:tcBorders>
            <w:shd w:val="clear" w:color="FFFFFF" w:fill="FFFFFF"/>
            <w:vAlign w:val="center"/>
            <w:hideMark/>
          </w:tcPr>
          <w:p w14:paraId="7F9554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EE243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3779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03361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E36B9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4D1E56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54EB6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77AC45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26FAF0D2"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Kapitulli 2 Politikat Veterinare</w:t>
            </w:r>
          </w:p>
        </w:tc>
        <w:tc>
          <w:tcPr>
            <w:tcW w:w="171" w:type="pct"/>
            <w:tcBorders>
              <w:top w:val="nil"/>
              <w:left w:val="nil"/>
              <w:bottom w:val="single" w:sz="4" w:space="0" w:color="auto"/>
              <w:right w:val="single" w:sz="4" w:space="0" w:color="auto"/>
            </w:tcBorders>
            <w:shd w:val="clear" w:color="FFFFFF" w:fill="FFFFFF"/>
            <w:vAlign w:val="center"/>
            <w:hideMark/>
          </w:tcPr>
          <w:p w14:paraId="03F56775"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 xml:space="preserve"> Rregullat për ndërrmarjet që mbajnë kafshët tokësore dhe stacionet e inkubimit, dhe gjurmueshmërinë e disa kafshëve tokësore të mbajtura si dhe vezët që çelin/inkubohen</w:t>
            </w:r>
          </w:p>
        </w:tc>
        <w:tc>
          <w:tcPr>
            <w:tcW w:w="661" w:type="pct"/>
            <w:tcBorders>
              <w:top w:val="nil"/>
              <w:left w:val="nil"/>
              <w:bottom w:val="single" w:sz="4" w:space="0" w:color="auto"/>
              <w:right w:val="single" w:sz="4" w:space="0" w:color="auto"/>
            </w:tcBorders>
            <w:shd w:val="clear" w:color="FFFFFF" w:fill="FFFFFF"/>
            <w:vAlign w:val="center"/>
            <w:hideMark/>
          </w:tcPr>
          <w:p w14:paraId="788EABB2"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e deleguar e Komisionit (BE) 2019/2035 e datës 28 qershor 2019 që plotëson Rregulloren (BE) 2016/429 të Parlamentit Evropian dhe të Këshillit për sa i përket rregullave për objektet që mbajnë kafshë tokësore dhe çerdhe, dhe gjurmueshmërinë e disa kafshëve tokësore të mbajtura kafshët dhe vezët për çelëzim</w:t>
            </w:r>
          </w:p>
        </w:tc>
        <w:tc>
          <w:tcPr>
            <w:tcW w:w="668" w:type="pct"/>
            <w:tcBorders>
              <w:top w:val="nil"/>
              <w:left w:val="nil"/>
              <w:bottom w:val="single" w:sz="4" w:space="0" w:color="auto"/>
              <w:right w:val="single" w:sz="4" w:space="0" w:color="auto"/>
            </w:tcBorders>
            <w:shd w:val="clear" w:color="auto" w:fill="auto"/>
            <w:vAlign w:val="center"/>
            <w:hideMark/>
          </w:tcPr>
          <w:p w14:paraId="145DD4B6" w14:textId="77777777" w:rsidR="00482167" w:rsidRPr="006D6BE5" w:rsidRDefault="00E63D69" w:rsidP="00A7241A">
            <w:pPr>
              <w:rPr>
                <w:rFonts w:ascii="Arial" w:hAnsi="Arial" w:cs="Arial"/>
                <w:color w:val="0563C1"/>
                <w:sz w:val="4"/>
                <w:szCs w:val="8"/>
                <w:u w:val="single"/>
                <w:lang w:val="sq-AL"/>
              </w:rPr>
            </w:pPr>
            <w:hyperlink r:id="rId270" w:history="1">
              <w:r w:rsidR="00482167" w:rsidRPr="006D6BE5">
                <w:rPr>
                  <w:rFonts w:ascii="Arial" w:hAnsi="Arial" w:cs="Arial"/>
                  <w:color w:val="0563C1"/>
                  <w:sz w:val="4"/>
                  <w:szCs w:val="8"/>
                  <w:u w:val="single"/>
                  <w:lang w:val="sq-AL"/>
                </w:rPr>
                <w:t xml:space="preserve">https://eur-lex.europa.eu/legal-content/EN/TXT/?uri=CELEX:02019R2035-20230406 </w:t>
              </w:r>
            </w:hyperlink>
          </w:p>
        </w:tc>
        <w:tc>
          <w:tcPr>
            <w:tcW w:w="506" w:type="pct"/>
            <w:tcBorders>
              <w:top w:val="nil"/>
              <w:left w:val="nil"/>
              <w:bottom w:val="single" w:sz="4" w:space="0" w:color="auto"/>
              <w:right w:val="single" w:sz="4" w:space="0" w:color="auto"/>
            </w:tcBorders>
            <w:shd w:val="clear" w:color="FFFFFF" w:fill="FFFFFF"/>
            <w:vAlign w:val="center"/>
            <w:hideMark/>
          </w:tcPr>
          <w:p w14:paraId="6EB606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81633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të Bujqësisë dhe Zhvillimit Rural "Për përcaktimin e rregullave për ndërmarrjet të mbarështimit të kafshëve tokësore dhe shpendëve që çelin, gjurmueshmërinë e kafshëve tokësore dhe shpendëtë që çelin"</w:t>
            </w:r>
          </w:p>
        </w:tc>
        <w:tc>
          <w:tcPr>
            <w:tcW w:w="330" w:type="pct"/>
            <w:tcBorders>
              <w:top w:val="nil"/>
              <w:left w:val="nil"/>
              <w:bottom w:val="single" w:sz="4" w:space="0" w:color="auto"/>
              <w:right w:val="single" w:sz="4" w:space="0" w:color="auto"/>
            </w:tcBorders>
            <w:shd w:val="clear" w:color="FFFFFF" w:fill="FFFFFF"/>
            <w:vAlign w:val="center"/>
            <w:hideMark/>
          </w:tcPr>
          <w:p w14:paraId="66B508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Rregullat në lidhje me detyrimin e regjistrimit të transportuesve të angazhuar në transportin e disa kafshëve tokësore të mbajtura, përveç thundërakëve, miratimin e ndërmarrjeve që mbajnë kafshë tokësore që sjellin një rrezik të konsiderueshëm për shëndetin e kafshëve dhe stacionet e inkubimit, regjistrat e transportuesve dhe ndërmarrjeve të kafshëve tokësore të mbajtura dhe vezëve për inkubim që duhet të mbahen nga autoritetet kompetente, detyrimet e mbajtjes së regjistrave të operatorëve dhe kërkesat për gjurmueshmëri për kafshët tokësore të mbajtura dhe vezët për inkubim</w:t>
            </w:r>
          </w:p>
        </w:tc>
        <w:tc>
          <w:tcPr>
            <w:tcW w:w="126" w:type="pct"/>
            <w:tcBorders>
              <w:top w:val="nil"/>
              <w:left w:val="nil"/>
              <w:bottom w:val="single" w:sz="4" w:space="0" w:color="auto"/>
              <w:right w:val="single" w:sz="4" w:space="0" w:color="auto"/>
            </w:tcBorders>
            <w:shd w:val="clear" w:color="FFFFFF" w:fill="FFFFFF"/>
            <w:vAlign w:val="center"/>
            <w:hideMark/>
          </w:tcPr>
          <w:p w14:paraId="4A1DA6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E9067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4ED26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08D9DD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291AE4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7ADD5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2F676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41D38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17" w:type="pct"/>
            <w:tcBorders>
              <w:top w:val="nil"/>
              <w:left w:val="nil"/>
              <w:bottom w:val="single" w:sz="4" w:space="0" w:color="auto"/>
              <w:right w:val="single" w:sz="4" w:space="0" w:color="auto"/>
            </w:tcBorders>
            <w:shd w:val="clear" w:color="FFFFFF" w:fill="FFFFFF"/>
            <w:vAlign w:val="center"/>
            <w:hideMark/>
          </w:tcPr>
          <w:p w14:paraId="601BF8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C18AA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95986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82C3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59FF6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15885E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35A76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307E6E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7D582C44"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Kapitulli 2 Politikat Veterinare</w:t>
            </w:r>
          </w:p>
        </w:tc>
        <w:tc>
          <w:tcPr>
            <w:tcW w:w="171" w:type="pct"/>
            <w:tcBorders>
              <w:top w:val="nil"/>
              <w:left w:val="nil"/>
              <w:bottom w:val="single" w:sz="4" w:space="0" w:color="auto"/>
              <w:right w:val="single" w:sz="4" w:space="0" w:color="auto"/>
            </w:tcBorders>
            <w:shd w:val="clear" w:color="FFFFFF" w:fill="FFFFFF"/>
            <w:vAlign w:val="center"/>
            <w:hideMark/>
          </w:tcPr>
          <w:p w14:paraId="3AA734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Rregullat për lëvizjet jo-komerciale të shpendëve shtëpiak</w:t>
            </w:r>
          </w:p>
        </w:tc>
        <w:tc>
          <w:tcPr>
            <w:tcW w:w="661" w:type="pct"/>
            <w:tcBorders>
              <w:top w:val="nil"/>
              <w:left w:val="nil"/>
              <w:bottom w:val="single" w:sz="4" w:space="0" w:color="auto"/>
              <w:right w:val="single" w:sz="4" w:space="0" w:color="auto"/>
            </w:tcBorders>
            <w:shd w:val="clear" w:color="FFFFFF" w:fill="FFFFFF"/>
            <w:vAlign w:val="center"/>
            <w:hideMark/>
          </w:tcPr>
          <w:p w14:paraId="3B97C4D6"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e deleguar e Komisionit (BE) 2021/1933 e datës 14 korrik 2021 që plotëson Rregulloren (BE) Nr 576/2013 të Parlamentit Evropian dhe të Këshillit në lidhje me rregullat për lëvizjet jokomerciale të zogjve të përkëdhelur në një shtet anëtar nga një territor ose një vend të tretë</w:t>
            </w:r>
          </w:p>
        </w:tc>
        <w:tc>
          <w:tcPr>
            <w:tcW w:w="668" w:type="pct"/>
            <w:tcBorders>
              <w:top w:val="nil"/>
              <w:left w:val="nil"/>
              <w:bottom w:val="single" w:sz="4" w:space="0" w:color="auto"/>
              <w:right w:val="single" w:sz="4" w:space="0" w:color="auto"/>
            </w:tcBorders>
            <w:shd w:val="clear" w:color="auto" w:fill="auto"/>
            <w:vAlign w:val="center"/>
            <w:hideMark/>
          </w:tcPr>
          <w:p w14:paraId="486727C0" w14:textId="77777777" w:rsidR="00482167" w:rsidRPr="006D6BE5" w:rsidRDefault="00E63D69" w:rsidP="00A7241A">
            <w:pPr>
              <w:rPr>
                <w:rFonts w:ascii="Arial" w:hAnsi="Arial" w:cs="Arial"/>
                <w:color w:val="0563C1"/>
                <w:sz w:val="4"/>
                <w:szCs w:val="8"/>
                <w:u w:val="single"/>
                <w:lang w:val="sq-AL"/>
              </w:rPr>
            </w:pPr>
            <w:hyperlink r:id="rId271" w:history="1">
              <w:r w:rsidR="00482167" w:rsidRPr="006D6BE5">
                <w:rPr>
                  <w:rFonts w:ascii="Arial" w:hAnsi="Arial" w:cs="Arial"/>
                  <w:color w:val="0563C1"/>
                  <w:sz w:val="4"/>
                  <w:szCs w:val="8"/>
                  <w:u w:val="single"/>
                  <w:lang w:val="sq-AL"/>
                </w:rPr>
                <w:t xml:space="preserve">https://eur-lex.europa.eu/legal-content/EN/TXT/?uri=CELEX:32021R1933 </w:t>
              </w:r>
            </w:hyperlink>
          </w:p>
        </w:tc>
        <w:tc>
          <w:tcPr>
            <w:tcW w:w="506" w:type="pct"/>
            <w:tcBorders>
              <w:top w:val="nil"/>
              <w:left w:val="nil"/>
              <w:bottom w:val="single" w:sz="4" w:space="0" w:color="auto"/>
              <w:right w:val="single" w:sz="4" w:space="0" w:color="auto"/>
            </w:tcBorders>
            <w:shd w:val="clear" w:color="FFFFFF" w:fill="FFFFFF"/>
            <w:vAlign w:val="center"/>
            <w:hideMark/>
          </w:tcPr>
          <w:p w14:paraId="386CBA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E436FF2"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Projekturdhër i Ministrit të Bujqësisë dhe Zhvillimit Rural "Për përcaktimin e rregullave për ndërmarrjet të mbarështimit të kafshëve tokësore dhe shpendëve që çelin, gjurmueshmërinë e kafshëve tokësore dhe shpendëtë që çelin"</w:t>
            </w:r>
          </w:p>
        </w:tc>
        <w:tc>
          <w:tcPr>
            <w:tcW w:w="330" w:type="pct"/>
            <w:tcBorders>
              <w:top w:val="nil"/>
              <w:left w:val="nil"/>
              <w:bottom w:val="single" w:sz="4" w:space="0" w:color="auto"/>
              <w:right w:val="single" w:sz="4" w:space="0" w:color="auto"/>
            </w:tcBorders>
            <w:shd w:val="clear" w:color="auto" w:fill="auto"/>
            <w:vAlign w:val="center"/>
            <w:hideMark/>
          </w:tcPr>
          <w:p w14:paraId="3C2A67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në lidhje me marrjen e masave parandaluese me qëllim mbrojtjen e shëndetit të kafshëve nga sëmundjet apo infkesionet që përhapen për shkak të lëvizjeve të shpendëve</w:t>
            </w:r>
          </w:p>
        </w:tc>
        <w:tc>
          <w:tcPr>
            <w:tcW w:w="126" w:type="pct"/>
            <w:tcBorders>
              <w:top w:val="nil"/>
              <w:left w:val="nil"/>
              <w:bottom w:val="single" w:sz="4" w:space="0" w:color="auto"/>
              <w:right w:val="single" w:sz="4" w:space="0" w:color="auto"/>
            </w:tcBorders>
            <w:shd w:val="clear" w:color="FFFFFF" w:fill="FFFFFF"/>
            <w:vAlign w:val="center"/>
            <w:hideMark/>
          </w:tcPr>
          <w:p w14:paraId="41D5BD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FD61AC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3CCFEA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A5160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EE6311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FF648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63E93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6" w:type="pct"/>
            <w:tcBorders>
              <w:top w:val="nil"/>
              <w:left w:val="nil"/>
              <w:bottom w:val="single" w:sz="4" w:space="0" w:color="auto"/>
              <w:right w:val="single" w:sz="4" w:space="0" w:color="auto"/>
            </w:tcBorders>
            <w:shd w:val="clear" w:color="FFFFFF" w:fill="FFFFFF"/>
            <w:vAlign w:val="center"/>
            <w:hideMark/>
          </w:tcPr>
          <w:p w14:paraId="09B202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D1588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E3252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B8A21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357F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85AE0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D88232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C15ECA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10246E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0A488D2"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Kapitulli 2 Politikat Veterinare</w:t>
            </w:r>
          </w:p>
        </w:tc>
        <w:tc>
          <w:tcPr>
            <w:tcW w:w="171" w:type="pct"/>
            <w:tcBorders>
              <w:top w:val="nil"/>
              <w:left w:val="nil"/>
              <w:bottom w:val="single" w:sz="4" w:space="0" w:color="auto"/>
              <w:right w:val="single" w:sz="4" w:space="0" w:color="auto"/>
            </w:tcBorders>
            <w:shd w:val="clear" w:color="FFFFFF" w:fill="FFFFFF"/>
            <w:vAlign w:val="center"/>
            <w:hideMark/>
          </w:tcPr>
          <w:p w14:paraId="2321C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Krijimi i modelit të identifikimit për lëvizjet jo-komerciale të kafshëve shtëpiake</w:t>
            </w:r>
          </w:p>
        </w:tc>
        <w:tc>
          <w:tcPr>
            <w:tcW w:w="661" w:type="pct"/>
            <w:tcBorders>
              <w:top w:val="nil"/>
              <w:left w:val="nil"/>
              <w:bottom w:val="single" w:sz="4" w:space="0" w:color="auto"/>
              <w:right w:val="single" w:sz="4" w:space="0" w:color="auto"/>
            </w:tcBorders>
            <w:shd w:val="clear" w:color="FFFFFF" w:fill="FFFFFF"/>
            <w:vAlign w:val="center"/>
            <w:hideMark/>
          </w:tcPr>
          <w:p w14:paraId="62163CD4"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e deleguar e Komisionit (BE) 2021/1933 e datës 14 korrik 2021 që plotëson Rregulloren (BE) Nr 576/2013 të Parlamentit Evropian dhe të Këshillit në lidhje me rregullat për lëvizjet jokomerciale të zogjve shoqerues në një shtet anëtar nga një territor ose një vend të tretë</w:t>
            </w:r>
          </w:p>
        </w:tc>
        <w:tc>
          <w:tcPr>
            <w:tcW w:w="668" w:type="pct"/>
            <w:tcBorders>
              <w:top w:val="nil"/>
              <w:left w:val="nil"/>
              <w:bottom w:val="single" w:sz="4" w:space="0" w:color="auto"/>
              <w:right w:val="single" w:sz="4" w:space="0" w:color="auto"/>
            </w:tcBorders>
            <w:shd w:val="clear" w:color="auto" w:fill="auto"/>
            <w:vAlign w:val="center"/>
            <w:hideMark/>
          </w:tcPr>
          <w:p w14:paraId="0A2878CB" w14:textId="77777777" w:rsidR="00482167" w:rsidRPr="006D6BE5" w:rsidRDefault="00E63D69" w:rsidP="00A7241A">
            <w:pPr>
              <w:rPr>
                <w:rFonts w:ascii="Arial" w:hAnsi="Arial" w:cs="Arial"/>
                <w:color w:val="0563C1"/>
                <w:sz w:val="4"/>
                <w:szCs w:val="8"/>
                <w:u w:val="single"/>
                <w:lang w:val="sq-AL"/>
              </w:rPr>
            </w:pPr>
            <w:hyperlink r:id="rId272" w:history="1">
              <w:r w:rsidR="00482167" w:rsidRPr="006D6BE5">
                <w:rPr>
                  <w:rFonts w:ascii="Arial" w:hAnsi="Arial" w:cs="Arial"/>
                  <w:color w:val="0563C1"/>
                  <w:sz w:val="4"/>
                  <w:szCs w:val="8"/>
                  <w:u w:val="single"/>
                  <w:lang w:val="sq-AL"/>
                </w:rPr>
                <w:t xml:space="preserve">https://eur-lex.europa.eu/legal-content/EN/TXT/?uri=CELEX:32021R1938 </w:t>
              </w:r>
            </w:hyperlink>
          </w:p>
        </w:tc>
        <w:tc>
          <w:tcPr>
            <w:tcW w:w="506" w:type="pct"/>
            <w:tcBorders>
              <w:top w:val="nil"/>
              <w:left w:val="nil"/>
              <w:bottom w:val="single" w:sz="4" w:space="0" w:color="auto"/>
              <w:right w:val="single" w:sz="4" w:space="0" w:color="auto"/>
            </w:tcBorders>
            <w:shd w:val="clear" w:color="FFFFFF" w:fill="FFFFFF"/>
            <w:vAlign w:val="center"/>
            <w:hideMark/>
          </w:tcPr>
          <w:p w14:paraId="4DAECD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602117D" w14:textId="77777777" w:rsidR="00482167" w:rsidRPr="006D6BE5" w:rsidRDefault="00482167" w:rsidP="00A7241A">
            <w:pPr>
              <w:rPr>
                <w:rFonts w:ascii="Arial" w:hAnsi="Arial" w:cs="Arial"/>
                <w:color w:val="3C4043"/>
                <w:sz w:val="4"/>
                <w:szCs w:val="8"/>
                <w:lang w:val="sq-AL"/>
              </w:rPr>
            </w:pPr>
            <w:r w:rsidRPr="006D6BE5">
              <w:rPr>
                <w:rFonts w:ascii="Arial" w:hAnsi="Arial" w:cs="Arial"/>
                <w:color w:val="3C4043"/>
                <w:sz w:val="4"/>
                <w:szCs w:val="8"/>
                <w:lang w:val="sq-AL"/>
              </w:rPr>
              <w:t>Projekturdhër i Ministrit të Bujqësisë dhe Zhvillimit Rural "Mbi miratimin e dokumentit model të identifikimit për lëvizjen jo-tregtare të shpendëve shoqërues"</w:t>
            </w:r>
            <w:r w:rsidRPr="006D6BE5">
              <w:rPr>
                <w:rFonts w:ascii="Arial" w:hAnsi="Arial" w:cs="Arial"/>
                <w:color w:val="3C4043"/>
                <w:sz w:val="4"/>
                <w:szCs w:val="8"/>
                <w:lang w:val="sq-AL"/>
              </w:rPr>
              <w:br/>
              <w:t>​</w:t>
            </w:r>
            <w:r w:rsidRPr="006D6BE5">
              <w:rPr>
                <w:rFonts w:ascii="Arial" w:hAnsi="Arial" w:cs="Arial"/>
                <w:color w:val="3C4043"/>
                <w:sz w:val="4"/>
                <w:szCs w:val="8"/>
                <w:lang w:val="sq-AL"/>
              </w:rPr>
              <w:br/>
              <w:t>​</w:t>
            </w:r>
          </w:p>
        </w:tc>
        <w:tc>
          <w:tcPr>
            <w:tcW w:w="330" w:type="pct"/>
            <w:tcBorders>
              <w:top w:val="nil"/>
              <w:left w:val="nil"/>
              <w:bottom w:val="single" w:sz="4" w:space="0" w:color="auto"/>
              <w:right w:val="single" w:sz="4" w:space="0" w:color="auto"/>
            </w:tcBorders>
            <w:shd w:val="clear" w:color="FFFFFF" w:fill="FFFFFF"/>
            <w:vAlign w:val="center"/>
            <w:hideMark/>
          </w:tcPr>
          <w:p w14:paraId="5865AF97" w14:textId="65BEA4A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Parashikon që shpendëtë e kafshëve shtëpiake që kalojnë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në një shtet anëtar nga një territor ose një vend i tretë duhet të shoqërohen me një dokument identifikimi</w:t>
            </w:r>
          </w:p>
        </w:tc>
        <w:tc>
          <w:tcPr>
            <w:tcW w:w="126" w:type="pct"/>
            <w:tcBorders>
              <w:top w:val="nil"/>
              <w:left w:val="nil"/>
              <w:bottom w:val="single" w:sz="4" w:space="0" w:color="auto"/>
              <w:right w:val="single" w:sz="4" w:space="0" w:color="auto"/>
            </w:tcBorders>
            <w:shd w:val="clear" w:color="FFFFFF" w:fill="FFFFFF"/>
            <w:vAlign w:val="center"/>
            <w:hideMark/>
          </w:tcPr>
          <w:p w14:paraId="500E23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966525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57204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321E2A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A40B6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FADD9C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B887E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1,553 </w:t>
            </w:r>
          </w:p>
        </w:tc>
        <w:tc>
          <w:tcPr>
            <w:tcW w:w="126" w:type="pct"/>
            <w:tcBorders>
              <w:top w:val="nil"/>
              <w:left w:val="nil"/>
              <w:bottom w:val="single" w:sz="4" w:space="0" w:color="auto"/>
              <w:right w:val="single" w:sz="4" w:space="0" w:color="auto"/>
            </w:tcBorders>
            <w:shd w:val="clear" w:color="FFFFFF" w:fill="FFFFFF"/>
            <w:vAlign w:val="center"/>
            <w:hideMark/>
          </w:tcPr>
          <w:p w14:paraId="7E6D0B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85BFA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B9DAA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AA0AE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15E00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E480F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FD66D3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ABA68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7C4B2A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AA7223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28D950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Masat specifike të kontrollit </w:t>
            </w:r>
          </w:p>
        </w:tc>
        <w:tc>
          <w:tcPr>
            <w:tcW w:w="661" w:type="pct"/>
            <w:tcBorders>
              <w:top w:val="nil"/>
              <w:left w:val="nil"/>
              <w:bottom w:val="single" w:sz="4" w:space="0" w:color="auto"/>
              <w:right w:val="single" w:sz="4" w:space="0" w:color="auto"/>
            </w:tcBorders>
            <w:shd w:val="clear" w:color="FFFFFF" w:fill="FFFFFF"/>
            <w:vAlign w:val="center"/>
            <w:hideMark/>
          </w:tcPr>
          <w:p w14:paraId="33E6D71F"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Zbatuese e Komisionit (BE) 2022/1192 e datës 11 korrik 2022 që përcakton masat për të zhdukur dhe parandaluar përhapjen e Globodera pallida (Gurit) Behrens dhe Globodera rostochiensis (Wollenweber) Behrens</w:t>
            </w:r>
          </w:p>
        </w:tc>
        <w:tc>
          <w:tcPr>
            <w:tcW w:w="668" w:type="pct"/>
            <w:tcBorders>
              <w:top w:val="nil"/>
              <w:left w:val="nil"/>
              <w:bottom w:val="single" w:sz="4" w:space="0" w:color="auto"/>
              <w:right w:val="single" w:sz="4" w:space="0" w:color="auto"/>
            </w:tcBorders>
            <w:shd w:val="clear" w:color="FFFFFF" w:fill="FFFFFF"/>
            <w:vAlign w:val="center"/>
            <w:hideMark/>
          </w:tcPr>
          <w:p w14:paraId="39D7A03F" w14:textId="77777777" w:rsidR="00482167" w:rsidRPr="006D6BE5" w:rsidRDefault="00E63D69" w:rsidP="00A7241A">
            <w:pPr>
              <w:rPr>
                <w:rFonts w:ascii="Arial" w:hAnsi="Arial" w:cs="Arial"/>
                <w:color w:val="0563C1"/>
                <w:sz w:val="4"/>
                <w:szCs w:val="8"/>
                <w:u w:val="single"/>
                <w:lang w:val="sq-AL"/>
              </w:rPr>
            </w:pPr>
            <w:hyperlink r:id="rId273" w:history="1">
              <w:r w:rsidR="00482167" w:rsidRPr="006D6BE5">
                <w:rPr>
                  <w:rFonts w:ascii="Arial" w:hAnsi="Arial" w:cs="Arial"/>
                  <w:color w:val="0563C1"/>
                  <w:sz w:val="4"/>
                  <w:szCs w:val="8"/>
                  <w:u w:val="single"/>
                  <w:lang w:val="sq-AL"/>
                </w:rPr>
                <w:t>https://eur-lex.europa.eu/eli/reg_impl/2022/1192/oj</w:t>
              </w:r>
            </w:hyperlink>
          </w:p>
        </w:tc>
        <w:tc>
          <w:tcPr>
            <w:tcW w:w="506" w:type="pct"/>
            <w:tcBorders>
              <w:top w:val="nil"/>
              <w:left w:val="nil"/>
              <w:bottom w:val="single" w:sz="4" w:space="0" w:color="auto"/>
              <w:right w:val="single" w:sz="4" w:space="0" w:color="auto"/>
            </w:tcBorders>
            <w:shd w:val="clear" w:color="FFFFFF" w:fill="FFFFFF"/>
            <w:vAlign w:val="center"/>
            <w:hideMark/>
          </w:tcPr>
          <w:p w14:paraId="202B5E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AD5A8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Projektudhëzim i Ministrit të Bujqësisë dhe Zhvillimit Rural “Për rregullat për masat veçanta të kontrollit për të parandaluar hyrjen, përhapjen dhe çrrënjosjen e </w:t>
            </w:r>
            <w:r w:rsidRPr="006D6BE5">
              <w:rPr>
                <w:rFonts w:ascii="Arial" w:hAnsi="Arial" w:cs="Arial"/>
                <w:i/>
                <w:iCs/>
                <w:color w:val="000000"/>
                <w:sz w:val="4"/>
                <w:szCs w:val="8"/>
                <w:lang w:val="sq-AL"/>
              </w:rPr>
              <w:t>Globodera pallida</w:t>
            </w:r>
            <w:r w:rsidRPr="006D6BE5">
              <w:rPr>
                <w:rFonts w:ascii="Arial" w:hAnsi="Arial" w:cs="Arial"/>
                <w:color w:val="000000"/>
                <w:sz w:val="4"/>
                <w:szCs w:val="8"/>
                <w:lang w:val="sq-AL"/>
              </w:rPr>
              <w:t xml:space="preserve"> (Gurit) Behrens dhe </w:t>
            </w:r>
            <w:r w:rsidRPr="006D6BE5">
              <w:rPr>
                <w:rFonts w:ascii="Arial" w:hAnsi="Arial" w:cs="Arial"/>
                <w:i/>
                <w:iCs/>
                <w:color w:val="000000"/>
                <w:sz w:val="4"/>
                <w:szCs w:val="8"/>
                <w:lang w:val="sq-AL"/>
              </w:rPr>
              <w:t xml:space="preserve">Globodera rostochiensis </w:t>
            </w:r>
            <w:r w:rsidRPr="006D6BE5">
              <w:rPr>
                <w:rFonts w:ascii="Arial" w:hAnsi="Arial" w:cs="Arial"/>
                <w:color w:val="000000"/>
                <w:sz w:val="4"/>
                <w:szCs w:val="8"/>
                <w:lang w:val="sq-AL"/>
              </w:rPr>
              <w:t>(Wollenweber) Behrens"</w:t>
            </w:r>
          </w:p>
        </w:tc>
        <w:tc>
          <w:tcPr>
            <w:tcW w:w="330" w:type="pct"/>
            <w:tcBorders>
              <w:top w:val="nil"/>
              <w:left w:val="nil"/>
              <w:bottom w:val="single" w:sz="4" w:space="0" w:color="auto"/>
              <w:right w:val="single" w:sz="4" w:space="0" w:color="auto"/>
            </w:tcBorders>
            <w:shd w:val="clear" w:color="FFFFFF" w:fill="FFFFFF"/>
            <w:vAlign w:val="center"/>
            <w:hideMark/>
          </w:tcPr>
          <w:p w14:paraId="31A73E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me qëllim çrrënjosjen e Globodera pallida (Stone) Behrens dhe Globodera rostochiensis (Wollenweber) Behrens, dhe parandalimin e përhapjes së tyre brenda territorit të Shqipërisë</w:t>
            </w:r>
          </w:p>
        </w:tc>
        <w:tc>
          <w:tcPr>
            <w:tcW w:w="126" w:type="pct"/>
            <w:tcBorders>
              <w:top w:val="nil"/>
              <w:left w:val="nil"/>
              <w:bottom w:val="single" w:sz="4" w:space="0" w:color="auto"/>
              <w:right w:val="single" w:sz="4" w:space="0" w:color="auto"/>
            </w:tcBorders>
            <w:shd w:val="clear" w:color="FFFFFF" w:fill="FFFFFF"/>
            <w:vAlign w:val="center"/>
            <w:hideMark/>
          </w:tcPr>
          <w:p w14:paraId="781E90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478E25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33DC1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63333B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F743A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8E982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13AB0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984</w:t>
            </w:r>
          </w:p>
        </w:tc>
        <w:tc>
          <w:tcPr>
            <w:tcW w:w="126" w:type="pct"/>
            <w:tcBorders>
              <w:top w:val="nil"/>
              <w:left w:val="nil"/>
              <w:bottom w:val="single" w:sz="4" w:space="0" w:color="auto"/>
              <w:right w:val="single" w:sz="4" w:space="0" w:color="auto"/>
            </w:tcBorders>
            <w:shd w:val="clear" w:color="FFFFFF" w:fill="FFFFFF"/>
            <w:vAlign w:val="center"/>
            <w:hideMark/>
          </w:tcPr>
          <w:p w14:paraId="237EF3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841E7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35BAB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ECCC4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09C24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13596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722323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02995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666A6E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C1D51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2BC8CB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Masat specifike të kontrollit </w:t>
            </w:r>
          </w:p>
        </w:tc>
        <w:tc>
          <w:tcPr>
            <w:tcW w:w="661" w:type="pct"/>
            <w:tcBorders>
              <w:top w:val="nil"/>
              <w:left w:val="nil"/>
              <w:bottom w:val="single" w:sz="4" w:space="0" w:color="auto"/>
              <w:right w:val="single" w:sz="4" w:space="0" w:color="auto"/>
            </w:tcBorders>
            <w:shd w:val="clear" w:color="FFFFFF" w:fill="FFFFFF"/>
            <w:vAlign w:val="center"/>
            <w:hideMark/>
          </w:tcPr>
          <w:p w14:paraId="513DCE88"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Zbatuese e Komisionit (BE) 2022/1195 e datës 11 korrik 2022 që përcakton masat për të zhdukur dhe parandaluar përhapjen e Synchytrium endobioticum (Schilbersky) Percival</w:t>
            </w:r>
          </w:p>
        </w:tc>
        <w:tc>
          <w:tcPr>
            <w:tcW w:w="668" w:type="pct"/>
            <w:tcBorders>
              <w:top w:val="nil"/>
              <w:left w:val="nil"/>
              <w:bottom w:val="single" w:sz="4" w:space="0" w:color="auto"/>
              <w:right w:val="single" w:sz="4" w:space="0" w:color="auto"/>
            </w:tcBorders>
            <w:shd w:val="clear" w:color="auto" w:fill="auto"/>
            <w:vAlign w:val="center"/>
            <w:hideMark/>
          </w:tcPr>
          <w:p w14:paraId="4B291750" w14:textId="77777777" w:rsidR="00482167" w:rsidRPr="006D6BE5" w:rsidRDefault="00E63D69" w:rsidP="00A7241A">
            <w:pPr>
              <w:rPr>
                <w:rFonts w:ascii="Arial" w:hAnsi="Arial" w:cs="Arial"/>
                <w:color w:val="0563C1"/>
                <w:sz w:val="4"/>
                <w:szCs w:val="8"/>
                <w:u w:val="single"/>
                <w:lang w:val="sq-AL"/>
              </w:rPr>
            </w:pPr>
            <w:hyperlink r:id="rId274" w:history="1">
              <w:r w:rsidR="00482167" w:rsidRPr="006D6BE5">
                <w:rPr>
                  <w:rFonts w:ascii="Arial" w:hAnsi="Arial" w:cs="Arial"/>
                  <w:color w:val="0563C1"/>
                  <w:sz w:val="4"/>
                  <w:szCs w:val="8"/>
                  <w:u w:val="single"/>
                  <w:lang w:val="sq-AL"/>
                </w:rPr>
                <w:t xml:space="preserve">https://eur-lex.europa.eu/eli/reg_impl/2022/1195/oj </w:t>
              </w:r>
            </w:hyperlink>
          </w:p>
        </w:tc>
        <w:tc>
          <w:tcPr>
            <w:tcW w:w="506" w:type="pct"/>
            <w:tcBorders>
              <w:top w:val="nil"/>
              <w:left w:val="nil"/>
              <w:bottom w:val="single" w:sz="4" w:space="0" w:color="auto"/>
              <w:right w:val="single" w:sz="4" w:space="0" w:color="auto"/>
            </w:tcBorders>
            <w:shd w:val="clear" w:color="FFFFFF" w:fill="FFFFFF"/>
            <w:vAlign w:val="center"/>
            <w:hideMark/>
          </w:tcPr>
          <w:p w14:paraId="027045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8171B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Projektudhëzim i Ministrit të Bujqësisë dhe Zhvillimit Rural “Për rregullat për masat veçanta të kontrollit për të çrrënjosur dhe parandaluar përhapjen e </w:t>
            </w:r>
            <w:r w:rsidRPr="006D6BE5">
              <w:rPr>
                <w:rFonts w:ascii="Arial" w:hAnsi="Arial" w:cs="Arial"/>
                <w:i/>
                <w:iCs/>
                <w:color w:val="000000"/>
                <w:sz w:val="4"/>
                <w:szCs w:val="8"/>
                <w:lang w:val="sq-AL"/>
              </w:rPr>
              <w:t xml:space="preserve">Synchytrium endobioticum </w:t>
            </w:r>
            <w:r w:rsidRPr="006D6BE5">
              <w:rPr>
                <w:rFonts w:ascii="Arial" w:hAnsi="Arial" w:cs="Arial"/>
                <w:color w:val="000000"/>
                <w:sz w:val="4"/>
                <w:szCs w:val="8"/>
                <w:lang w:val="sq-AL"/>
              </w:rPr>
              <w:t>(Schilbersky) Percival”.</w:t>
            </w:r>
          </w:p>
        </w:tc>
        <w:tc>
          <w:tcPr>
            <w:tcW w:w="330" w:type="pct"/>
            <w:tcBorders>
              <w:top w:val="nil"/>
              <w:left w:val="nil"/>
              <w:bottom w:val="single" w:sz="4" w:space="0" w:color="auto"/>
              <w:right w:val="single" w:sz="4" w:space="0" w:color="auto"/>
            </w:tcBorders>
            <w:shd w:val="clear" w:color="FFFFFF" w:fill="FFFFFF"/>
            <w:vAlign w:val="center"/>
            <w:hideMark/>
          </w:tcPr>
          <w:p w14:paraId="19862A42"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Masat me qëllim të çrrënjosjes së Synchytrium endobioticum (Schilbersky) Percival, dhe parandalimin e përhapjes së tij brenda territorit të Bashkimit Evropian</w:t>
            </w:r>
          </w:p>
        </w:tc>
        <w:tc>
          <w:tcPr>
            <w:tcW w:w="126" w:type="pct"/>
            <w:tcBorders>
              <w:top w:val="nil"/>
              <w:left w:val="nil"/>
              <w:bottom w:val="single" w:sz="4" w:space="0" w:color="auto"/>
              <w:right w:val="single" w:sz="4" w:space="0" w:color="auto"/>
            </w:tcBorders>
            <w:shd w:val="clear" w:color="FFFFFF" w:fill="FFFFFF"/>
            <w:vAlign w:val="center"/>
            <w:hideMark/>
          </w:tcPr>
          <w:p w14:paraId="4B0FF8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EAAD4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A95B0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1B9AED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2199C0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28C1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363C3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904</w:t>
            </w:r>
          </w:p>
        </w:tc>
        <w:tc>
          <w:tcPr>
            <w:tcW w:w="126" w:type="pct"/>
            <w:tcBorders>
              <w:top w:val="nil"/>
              <w:left w:val="nil"/>
              <w:bottom w:val="single" w:sz="4" w:space="0" w:color="auto"/>
              <w:right w:val="single" w:sz="4" w:space="0" w:color="auto"/>
            </w:tcBorders>
            <w:shd w:val="clear" w:color="FFFFFF" w:fill="FFFFFF"/>
            <w:vAlign w:val="center"/>
            <w:hideMark/>
          </w:tcPr>
          <w:p w14:paraId="555368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DEA3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74244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4272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41EF6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2DBD9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7405C1D"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5ED63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5F020D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CC956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02F8FE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Masat specifike të kontrollit </w:t>
            </w:r>
          </w:p>
        </w:tc>
        <w:tc>
          <w:tcPr>
            <w:tcW w:w="661" w:type="pct"/>
            <w:tcBorders>
              <w:top w:val="nil"/>
              <w:left w:val="nil"/>
              <w:bottom w:val="single" w:sz="4" w:space="0" w:color="auto"/>
              <w:right w:val="single" w:sz="4" w:space="0" w:color="auto"/>
            </w:tcBorders>
            <w:shd w:val="clear" w:color="FFFFFF" w:fill="FFFFFF"/>
            <w:vAlign w:val="center"/>
            <w:hideMark/>
          </w:tcPr>
          <w:p w14:paraId="2558E86C"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 xml:space="preserve">Rregullorja Zbatuese e Komisionit (BE) 2022/1194 e datës 11 Korrik 2022 që përcakton masat për të zhdukur dhe parandaluar përhapjen e Clavibacter sepedonicus (Spieckermann &amp; Kotthoff 1914) </w:t>
            </w:r>
          </w:p>
        </w:tc>
        <w:tc>
          <w:tcPr>
            <w:tcW w:w="668" w:type="pct"/>
            <w:tcBorders>
              <w:top w:val="nil"/>
              <w:left w:val="nil"/>
              <w:bottom w:val="single" w:sz="4" w:space="0" w:color="auto"/>
              <w:right w:val="single" w:sz="4" w:space="0" w:color="auto"/>
            </w:tcBorders>
            <w:shd w:val="clear" w:color="auto" w:fill="auto"/>
            <w:vAlign w:val="center"/>
            <w:hideMark/>
          </w:tcPr>
          <w:p w14:paraId="5ED949A8" w14:textId="77777777" w:rsidR="00482167" w:rsidRPr="006D6BE5" w:rsidRDefault="00E63D69" w:rsidP="00A7241A">
            <w:pPr>
              <w:rPr>
                <w:rFonts w:ascii="Arial" w:hAnsi="Arial" w:cs="Arial"/>
                <w:color w:val="0563C1"/>
                <w:sz w:val="4"/>
                <w:szCs w:val="8"/>
                <w:u w:val="single"/>
                <w:lang w:val="sq-AL"/>
              </w:rPr>
            </w:pPr>
            <w:hyperlink r:id="rId275" w:history="1">
              <w:r w:rsidR="00482167" w:rsidRPr="006D6BE5">
                <w:rPr>
                  <w:rFonts w:ascii="Arial" w:hAnsi="Arial" w:cs="Arial"/>
                  <w:color w:val="0563C1"/>
                  <w:sz w:val="4"/>
                  <w:szCs w:val="8"/>
                  <w:u w:val="single"/>
                  <w:lang w:val="sq-AL"/>
                </w:rPr>
                <w:t xml:space="preserve">https://eur-lex.europa.eu/eli/reg_impl/2022/1194/oj </w:t>
              </w:r>
            </w:hyperlink>
          </w:p>
        </w:tc>
        <w:tc>
          <w:tcPr>
            <w:tcW w:w="506" w:type="pct"/>
            <w:tcBorders>
              <w:top w:val="nil"/>
              <w:left w:val="nil"/>
              <w:bottom w:val="single" w:sz="4" w:space="0" w:color="auto"/>
              <w:right w:val="single" w:sz="4" w:space="0" w:color="auto"/>
            </w:tcBorders>
            <w:shd w:val="clear" w:color="FFFFFF" w:fill="FFFFFF"/>
            <w:vAlign w:val="center"/>
            <w:hideMark/>
          </w:tcPr>
          <w:p w14:paraId="50EB9B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9B4C0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Projektudhëzim i Ministrit të Bujqësisë dhe Zhvillimit Rural “Për rregullat për masat veçanta të kontrollit për të çrrënjosur dhe parandaluar përhapjen e </w:t>
            </w:r>
            <w:r w:rsidRPr="006D6BE5">
              <w:rPr>
                <w:rFonts w:ascii="Arial" w:hAnsi="Arial" w:cs="Arial"/>
                <w:i/>
                <w:iCs/>
                <w:color w:val="000000"/>
                <w:sz w:val="4"/>
                <w:szCs w:val="8"/>
                <w:lang w:val="sq-AL"/>
              </w:rPr>
              <w:t xml:space="preserve">Ralstonia solanacearum </w:t>
            </w:r>
            <w:r w:rsidRPr="006D6BE5">
              <w:rPr>
                <w:rFonts w:ascii="Arial" w:hAnsi="Arial" w:cs="Arial"/>
                <w:color w:val="000000"/>
                <w:sz w:val="4"/>
                <w:szCs w:val="8"/>
                <w:lang w:val="sq-AL"/>
              </w:rPr>
              <w:t>(Smith 1896) Yabuuchi et al. 1996 emend. Safni etj. 2014"</w:t>
            </w:r>
          </w:p>
        </w:tc>
        <w:tc>
          <w:tcPr>
            <w:tcW w:w="330" w:type="pct"/>
            <w:tcBorders>
              <w:top w:val="nil"/>
              <w:left w:val="nil"/>
              <w:bottom w:val="single" w:sz="4" w:space="0" w:color="auto"/>
              <w:right w:val="single" w:sz="4" w:space="0" w:color="auto"/>
            </w:tcBorders>
            <w:shd w:val="clear" w:color="FFFFFF" w:fill="FFFFFF"/>
            <w:vAlign w:val="center"/>
            <w:hideMark/>
          </w:tcPr>
          <w:p w14:paraId="2659A155" w14:textId="3CDEA48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me qëllim çrrënjosjen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Ralstonia solanacearums, dhe parandalimin e përhapjes së tyre brenda territorit të Shqipërisë</w:t>
            </w:r>
          </w:p>
        </w:tc>
        <w:tc>
          <w:tcPr>
            <w:tcW w:w="126" w:type="pct"/>
            <w:tcBorders>
              <w:top w:val="nil"/>
              <w:left w:val="nil"/>
              <w:bottom w:val="single" w:sz="4" w:space="0" w:color="auto"/>
              <w:right w:val="single" w:sz="4" w:space="0" w:color="auto"/>
            </w:tcBorders>
            <w:shd w:val="clear" w:color="FFFFFF" w:fill="FFFFFF"/>
            <w:vAlign w:val="center"/>
            <w:hideMark/>
          </w:tcPr>
          <w:p w14:paraId="578F08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25565E2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D6650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591B40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5994A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4D6B3D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BBD5E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904</w:t>
            </w:r>
          </w:p>
        </w:tc>
        <w:tc>
          <w:tcPr>
            <w:tcW w:w="126" w:type="pct"/>
            <w:tcBorders>
              <w:top w:val="nil"/>
              <w:left w:val="nil"/>
              <w:bottom w:val="single" w:sz="4" w:space="0" w:color="auto"/>
              <w:right w:val="single" w:sz="4" w:space="0" w:color="auto"/>
            </w:tcBorders>
            <w:shd w:val="clear" w:color="FFFFFF" w:fill="FFFFFF"/>
            <w:vAlign w:val="center"/>
            <w:hideMark/>
          </w:tcPr>
          <w:p w14:paraId="4AF14E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66028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1F531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667F8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DB217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43318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18B2C3E"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B1AAE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19A1BE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6D244A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24585ED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Masat specifike të kontrollit </w:t>
            </w:r>
          </w:p>
        </w:tc>
        <w:tc>
          <w:tcPr>
            <w:tcW w:w="661" w:type="pct"/>
            <w:tcBorders>
              <w:top w:val="nil"/>
              <w:left w:val="nil"/>
              <w:bottom w:val="single" w:sz="4" w:space="0" w:color="auto"/>
              <w:right w:val="single" w:sz="4" w:space="0" w:color="auto"/>
            </w:tcBorders>
            <w:shd w:val="clear" w:color="FFFFFF" w:fill="FFFFFF"/>
            <w:vAlign w:val="center"/>
            <w:hideMark/>
          </w:tcPr>
          <w:p w14:paraId="6D3C442F" w14:textId="77777777" w:rsidR="00482167" w:rsidRPr="006D6BE5" w:rsidRDefault="00482167" w:rsidP="00A7241A">
            <w:pPr>
              <w:rPr>
                <w:rFonts w:ascii="Arial" w:hAnsi="Arial" w:cs="Arial"/>
                <w:color w:val="333333"/>
                <w:sz w:val="4"/>
                <w:szCs w:val="8"/>
                <w:lang w:val="sq-AL"/>
              </w:rPr>
            </w:pPr>
            <w:r w:rsidRPr="006D6BE5">
              <w:rPr>
                <w:rFonts w:ascii="Arial" w:hAnsi="Arial" w:cs="Arial"/>
                <w:color w:val="333333"/>
                <w:sz w:val="4"/>
                <w:szCs w:val="8"/>
                <w:lang w:val="sq-AL"/>
              </w:rPr>
              <w:t>Rregullorja Zbatuese e Komisionit (BE) 2022/1193 e datës 11 korrik 2022 që përcakton masat për të zhdukur dhe parandaluar përhapjen e Ralstonia solanacearum (Smith 1896) Yabuuchi et al. 1996 emend. Safni etj. 2014</w:t>
            </w:r>
          </w:p>
        </w:tc>
        <w:tc>
          <w:tcPr>
            <w:tcW w:w="668" w:type="pct"/>
            <w:tcBorders>
              <w:top w:val="nil"/>
              <w:left w:val="nil"/>
              <w:bottom w:val="single" w:sz="4" w:space="0" w:color="auto"/>
              <w:right w:val="single" w:sz="4" w:space="0" w:color="auto"/>
            </w:tcBorders>
            <w:shd w:val="clear" w:color="auto" w:fill="auto"/>
            <w:vAlign w:val="center"/>
            <w:hideMark/>
          </w:tcPr>
          <w:p w14:paraId="3C10C19A" w14:textId="77777777" w:rsidR="00482167" w:rsidRPr="006D6BE5" w:rsidRDefault="00E63D69" w:rsidP="00A7241A">
            <w:pPr>
              <w:rPr>
                <w:rFonts w:ascii="Arial" w:hAnsi="Arial" w:cs="Arial"/>
                <w:color w:val="0563C1"/>
                <w:sz w:val="4"/>
                <w:szCs w:val="8"/>
                <w:u w:val="single"/>
                <w:lang w:val="sq-AL"/>
              </w:rPr>
            </w:pPr>
            <w:hyperlink r:id="rId276" w:history="1">
              <w:r w:rsidR="00482167" w:rsidRPr="006D6BE5">
                <w:rPr>
                  <w:rFonts w:ascii="Arial" w:hAnsi="Arial" w:cs="Arial"/>
                  <w:color w:val="0563C1"/>
                  <w:sz w:val="4"/>
                  <w:szCs w:val="8"/>
                  <w:u w:val="single"/>
                  <w:lang w:val="sq-AL"/>
                </w:rPr>
                <w:t xml:space="preserve">https://eur-lex.europa.eu/eli/reg_impl/2022/1193/oj </w:t>
              </w:r>
            </w:hyperlink>
          </w:p>
        </w:tc>
        <w:tc>
          <w:tcPr>
            <w:tcW w:w="506" w:type="pct"/>
            <w:tcBorders>
              <w:top w:val="nil"/>
              <w:left w:val="nil"/>
              <w:bottom w:val="single" w:sz="4" w:space="0" w:color="auto"/>
              <w:right w:val="single" w:sz="4" w:space="0" w:color="auto"/>
            </w:tcBorders>
            <w:shd w:val="clear" w:color="FFFFFF" w:fill="FFFFFF"/>
            <w:vAlign w:val="center"/>
            <w:hideMark/>
          </w:tcPr>
          <w:p w14:paraId="69DFF4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FB7B8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Projektudhëzim i Ministrit të Bujqësisë dhe Zhvillimit Rural “Për rregullat për masat e veçanta të kontrollit për të çrrënjosur dhe parandaluar përhapjen e </w:t>
            </w:r>
            <w:r w:rsidRPr="006D6BE5">
              <w:rPr>
                <w:rFonts w:ascii="Arial" w:hAnsi="Arial" w:cs="Arial"/>
                <w:i/>
                <w:iCs/>
                <w:color w:val="000000"/>
                <w:sz w:val="4"/>
                <w:szCs w:val="8"/>
                <w:lang w:val="sq-AL"/>
              </w:rPr>
              <w:t>Clavibacter sepedonicu"</w:t>
            </w:r>
          </w:p>
        </w:tc>
        <w:tc>
          <w:tcPr>
            <w:tcW w:w="330" w:type="pct"/>
            <w:tcBorders>
              <w:top w:val="nil"/>
              <w:left w:val="nil"/>
              <w:bottom w:val="single" w:sz="4" w:space="0" w:color="auto"/>
              <w:right w:val="single" w:sz="4" w:space="0" w:color="auto"/>
            </w:tcBorders>
            <w:shd w:val="clear" w:color="FFFFFF" w:fill="FFFFFF"/>
            <w:vAlign w:val="center"/>
            <w:hideMark/>
          </w:tcPr>
          <w:p w14:paraId="563FFA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me qëllim çrrënjosjen Clavibacter sepedonicu, dhe parandalimin e përhapjes së tyre brenda territorit të Shqipërisë</w:t>
            </w:r>
          </w:p>
        </w:tc>
        <w:tc>
          <w:tcPr>
            <w:tcW w:w="126" w:type="pct"/>
            <w:tcBorders>
              <w:top w:val="nil"/>
              <w:left w:val="nil"/>
              <w:bottom w:val="single" w:sz="4" w:space="0" w:color="auto"/>
              <w:right w:val="single" w:sz="4" w:space="0" w:color="auto"/>
            </w:tcBorders>
            <w:shd w:val="clear" w:color="FFFFFF" w:fill="FFFFFF"/>
            <w:vAlign w:val="center"/>
            <w:hideMark/>
          </w:tcPr>
          <w:p w14:paraId="6F68BD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203AF6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11230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01E9180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64B8F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BCEC0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5CA72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904</w:t>
            </w:r>
          </w:p>
        </w:tc>
        <w:tc>
          <w:tcPr>
            <w:tcW w:w="126" w:type="pct"/>
            <w:tcBorders>
              <w:top w:val="nil"/>
              <w:left w:val="nil"/>
              <w:bottom w:val="single" w:sz="4" w:space="0" w:color="auto"/>
              <w:right w:val="single" w:sz="4" w:space="0" w:color="auto"/>
            </w:tcBorders>
            <w:shd w:val="clear" w:color="FFFFFF" w:fill="FFFFFF"/>
            <w:vAlign w:val="center"/>
            <w:hideMark/>
          </w:tcPr>
          <w:p w14:paraId="029653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C1A33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442D0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3D7E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3B0E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09725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A59F5B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32CF4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0E9C8D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26FC29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32D15D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Ligji i ri per Shëndetin e Bimëve</w:t>
            </w:r>
          </w:p>
        </w:tc>
        <w:tc>
          <w:tcPr>
            <w:tcW w:w="661" w:type="pct"/>
            <w:tcBorders>
              <w:top w:val="nil"/>
              <w:left w:val="nil"/>
              <w:bottom w:val="single" w:sz="4" w:space="0" w:color="auto"/>
              <w:right w:val="single" w:sz="4" w:space="0" w:color="auto"/>
            </w:tcBorders>
            <w:shd w:val="clear" w:color="FFFFFF" w:fill="FFFFFF"/>
            <w:vAlign w:val="center"/>
            <w:hideMark/>
          </w:tcPr>
          <w:p w14:paraId="24FFF2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2016/2031 e Parlamentit Evropian të Këshillit e datës 26 tetor 2016 mbi masat mbrojtëse kundër dëmtuesve të bimëve, duke ndryshuar Rregulloret (BE) Nr. 228/2013, (BE) Nr. 652/2014 dhe (BE) Nr. 2014 i Parlamentit Evropian dhe i Këshillit dhe shfuqizimi i Direktivave të Këshillit 69/464/EEC, 74/647/EEC, 93/85/EEC, 98/57/EC, 2000/29/EC, 2006/91/EC dhe 2007 /33/EC</w:t>
            </w:r>
          </w:p>
        </w:tc>
        <w:tc>
          <w:tcPr>
            <w:tcW w:w="668" w:type="pct"/>
            <w:tcBorders>
              <w:top w:val="nil"/>
              <w:left w:val="nil"/>
              <w:bottom w:val="single" w:sz="4" w:space="0" w:color="auto"/>
              <w:right w:val="single" w:sz="4" w:space="0" w:color="auto"/>
            </w:tcBorders>
            <w:shd w:val="clear" w:color="auto" w:fill="auto"/>
            <w:vAlign w:val="center"/>
            <w:hideMark/>
          </w:tcPr>
          <w:p w14:paraId="0A08C166" w14:textId="77777777" w:rsidR="00482167" w:rsidRPr="006D6BE5" w:rsidRDefault="00E63D69" w:rsidP="00A7241A">
            <w:pPr>
              <w:rPr>
                <w:rFonts w:ascii="Arial" w:hAnsi="Arial" w:cs="Arial"/>
                <w:color w:val="0563C1"/>
                <w:sz w:val="4"/>
                <w:szCs w:val="8"/>
                <w:u w:val="single"/>
                <w:lang w:val="sq-AL"/>
              </w:rPr>
            </w:pPr>
            <w:hyperlink r:id="rId277" w:history="1">
              <w:r w:rsidR="00482167" w:rsidRPr="006D6BE5">
                <w:rPr>
                  <w:rFonts w:ascii="Arial" w:hAnsi="Arial" w:cs="Arial"/>
                  <w:color w:val="0563C1"/>
                  <w:sz w:val="4"/>
                  <w:szCs w:val="8"/>
                  <w:u w:val="single"/>
                  <w:lang w:val="sq-AL"/>
                </w:rPr>
                <w:t xml:space="preserve">https://eur-lex.europa.eu/eli/reg/2016/2031/oj </w:t>
              </w:r>
            </w:hyperlink>
          </w:p>
        </w:tc>
        <w:tc>
          <w:tcPr>
            <w:tcW w:w="506" w:type="pct"/>
            <w:tcBorders>
              <w:top w:val="nil"/>
              <w:left w:val="nil"/>
              <w:bottom w:val="single" w:sz="4" w:space="0" w:color="auto"/>
              <w:right w:val="single" w:sz="4" w:space="0" w:color="auto"/>
            </w:tcBorders>
            <w:shd w:val="clear" w:color="FFFFFF" w:fill="FFFFFF"/>
            <w:vAlign w:val="center"/>
            <w:hideMark/>
          </w:tcPr>
          <w:p w14:paraId="0CF026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3F052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shëndetin e bimëve"</w:t>
            </w:r>
          </w:p>
        </w:tc>
        <w:tc>
          <w:tcPr>
            <w:tcW w:w="330" w:type="pct"/>
            <w:tcBorders>
              <w:top w:val="nil"/>
              <w:left w:val="nil"/>
              <w:bottom w:val="single" w:sz="4" w:space="0" w:color="auto"/>
              <w:right w:val="single" w:sz="4" w:space="0" w:color="auto"/>
            </w:tcBorders>
            <w:shd w:val="clear" w:color="FFFFFF" w:fill="FFFFFF"/>
            <w:vAlign w:val="center"/>
            <w:hideMark/>
          </w:tcPr>
          <w:p w14:paraId="659914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për përcaktimin e risqeve fitosanitare që vijnë nga çdo specie, shtamë ose biotip i agjentëve patogjenë, kafshë ose bimë parazitare që dëmtojnë bimët ose produktet bimore, referuar shkurtimisht si “dëmtuesit”, si dhe masat për reduktimin e këtyre risqeve në një nivel të pranueshëm</w:t>
            </w:r>
          </w:p>
        </w:tc>
        <w:tc>
          <w:tcPr>
            <w:tcW w:w="126" w:type="pct"/>
            <w:tcBorders>
              <w:top w:val="nil"/>
              <w:left w:val="nil"/>
              <w:bottom w:val="single" w:sz="4" w:space="0" w:color="auto"/>
              <w:right w:val="single" w:sz="4" w:space="0" w:color="auto"/>
            </w:tcBorders>
            <w:shd w:val="clear" w:color="FFFFFF" w:fill="FFFFFF"/>
            <w:vAlign w:val="center"/>
            <w:hideMark/>
          </w:tcPr>
          <w:p w14:paraId="3CB04D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528B5D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7891D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723560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4BD0B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3777B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9C0CF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74DF55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6E138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9387E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750D0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25496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220AB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C94D55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833F7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12</w:t>
            </w:r>
          </w:p>
        </w:tc>
        <w:tc>
          <w:tcPr>
            <w:tcW w:w="144" w:type="pct"/>
            <w:tcBorders>
              <w:top w:val="nil"/>
              <w:left w:val="nil"/>
              <w:bottom w:val="single" w:sz="4" w:space="0" w:color="auto"/>
              <w:right w:val="single" w:sz="4" w:space="0" w:color="auto"/>
            </w:tcBorders>
            <w:shd w:val="clear" w:color="FFFFFF" w:fill="FFFFFF"/>
            <w:vAlign w:val="center"/>
            <w:hideMark/>
          </w:tcPr>
          <w:p w14:paraId="2C9A50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372115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Kapitulli 6 Politikat Fitosanitare</w:t>
            </w:r>
          </w:p>
        </w:tc>
        <w:tc>
          <w:tcPr>
            <w:tcW w:w="171" w:type="pct"/>
            <w:tcBorders>
              <w:top w:val="nil"/>
              <w:left w:val="nil"/>
              <w:bottom w:val="single" w:sz="4" w:space="0" w:color="auto"/>
              <w:right w:val="single" w:sz="4" w:space="0" w:color="auto"/>
            </w:tcBorders>
            <w:shd w:val="clear" w:color="FFFFFF" w:fill="FFFFFF"/>
            <w:vAlign w:val="center"/>
            <w:hideMark/>
          </w:tcPr>
          <w:p w14:paraId="0B3D27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Treguesit e harmonizuar te rrezikut</w:t>
            </w:r>
          </w:p>
        </w:tc>
        <w:tc>
          <w:tcPr>
            <w:tcW w:w="661" w:type="pct"/>
            <w:tcBorders>
              <w:top w:val="nil"/>
              <w:left w:val="nil"/>
              <w:bottom w:val="single" w:sz="4" w:space="0" w:color="auto"/>
              <w:right w:val="single" w:sz="4" w:space="0" w:color="auto"/>
            </w:tcBorders>
            <w:shd w:val="clear" w:color="FFFFFF" w:fill="FFFFFF"/>
            <w:vAlign w:val="center"/>
            <w:hideMark/>
          </w:tcPr>
          <w:p w14:paraId="440F82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Direktiva e Komisionit (BE) 2019/782 e datës 15 maj 2019 që ndryshon Direktivën 2009/128/KE të Parlamentit Evropian dhe Këshillit në lidhje me vendosjen e treguesve të harmonizuar të rrezikut</w:t>
            </w:r>
          </w:p>
        </w:tc>
        <w:tc>
          <w:tcPr>
            <w:tcW w:w="668" w:type="pct"/>
            <w:tcBorders>
              <w:top w:val="nil"/>
              <w:left w:val="nil"/>
              <w:bottom w:val="single" w:sz="4" w:space="0" w:color="auto"/>
              <w:right w:val="single" w:sz="4" w:space="0" w:color="auto"/>
            </w:tcBorders>
            <w:shd w:val="clear" w:color="auto" w:fill="auto"/>
            <w:vAlign w:val="center"/>
            <w:hideMark/>
          </w:tcPr>
          <w:p w14:paraId="220C4B1F" w14:textId="77777777" w:rsidR="00482167" w:rsidRPr="006D6BE5" w:rsidRDefault="00E63D69" w:rsidP="00A7241A">
            <w:pPr>
              <w:rPr>
                <w:rFonts w:ascii="Arial" w:hAnsi="Arial" w:cs="Arial"/>
                <w:color w:val="0563C1"/>
                <w:sz w:val="4"/>
                <w:szCs w:val="8"/>
                <w:u w:val="single"/>
                <w:lang w:val="sq-AL"/>
              </w:rPr>
            </w:pPr>
            <w:hyperlink r:id="rId278" w:history="1">
              <w:r w:rsidR="00482167" w:rsidRPr="006D6BE5">
                <w:rPr>
                  <w:rFonts w:ascii="Arial" w:hAnsi="Arial" w:cs="Arial"/>
                  <w:color w:val="0563C1"/>
                  <w:sz w:val="4"/>
                  <w:szCs w:val="8"/>
                  <w:u w:val="single"/>
                  <w:lang w:val="sq-AL"/>
                </w:rPr>
                <w:t xml:space="preserve">https://eur-lex.europa.eu/eli/dir/2019/782/oj </w:t>
              </w:r>
            </w:hyperlink>
          </w:p>
        </w:tc>
        <w:tc>
          <w:tcPr>
            <w:tcW w:w="506" w:type="pct"/>
            <w:tcBorders>
              <w:top w:val="nil"/>
              <w:left w:val="nil"/>
              <w:bottom w:val="single" w:sz="4" w:space="0" w:color="auto"/>
              <w:right w:val="single" w:sz="4" w:space="0" w:color="auto"/>
            </w:tcBorders>
            <w:shd w:val="clear" w:color="FFFFFF" w:fill="FFFFFF"/>
            <w:vAlign w:val="center"/>
            <w:hideMark/>
          </w:tcPr>
          <w:p w14:paraId="4CAAB9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CA7E4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të Bujqësisë dhe Zhvillimit Rural "Për treguesit e harmonizuar të rrezikut"</w:t>
            </w:r>
          </w:p>
        </w:tc>
        <w:tc>
          <w:tcPr>
            <w:tcW w:w="330" w:type="pct"/>
            <w:tcBorders>
              <w:top w:val="nil"/>
              <w:left w:val="nil"/>
              <w:bottom w:val="single" w:sz="4" w:space="0" w:color="auto"/>
              <w:right w:val="single" w:sz="4" w:space="0" w:color="auto"/>
            </w:tcBorders>
            <w:shd w:val="clear" w:color="FFFFFF" w:fill="FFFFFF"/>
            <w:vAlign w:val="center"/>
            <w:hideMark/>
          </w:tcPr>
          <w:p w14:paraId="5FF56D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Treguesit të harmonizuar të rrezikut për produktet për mbrojtjen e bimëve</w:t>
            </w:r>
          </w:p>
        </w:tc>
        <w:tc>
          <w:tcPr>
            <w:tcW w:w="126" w:type="pct"/>
            <w:tcBorders>
              <w:top w:val="nil"/>
              <w:left w:val="nil"/>
              <w:bottom w:val="single" w:sz="4" w:space="0" w:color="auto"/>
              <w:right w:val="single" w:sz="4" w:space="0" w:color="auto"/>
            </w:tcBorders>
            <w:shd w:val="clear" w:color="FFFFFF" w:fill="FFFFFF"/>
            <w:vAlign w:val="center"/>
            <w:hideMark/>
          </w:tcPr>
          <w:p w14:paraId="657766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0A603E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BF025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76D7EF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51E4A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62D186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B0CF0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904</w:t>
            </w:r>
          </w:p>
        </w:tc>
        <w:tc>
          <w:tcPr>
            <w:tcW w:w="126" w:type="pct"/>
            <w:tcBorders>
              <w:top w:val="nil"/>
              <w:left w:val="nil"/>
              <w:bottom w:val="single" w:sz="4" w:space="0" w:color="auto"/>
              <w:right w:val="single" w:sz="4" w:space="0" w:color="auto"/>
            </w:tcBorders>
            <w:shd w:val="clear" w:color="FFFFFF" w:fill="FFFFFF"/>
            <w:vAlign w:val="center"/>
            <w:hideMark/>
          </w:tcPr>
          <w:p w14:paraId="0A658A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46D90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A42DE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26A67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717D5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533E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F42335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4C829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4DE203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72BDE9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ABA63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5B82FEF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Menaxhimi i flotes së peshkimit të jashtëm: Rregullore (BE) 2017/2403 e Parlamentit Evropian dhe të Këshillit, datë 12 dhjetor 2017, ka të bëjë me menaxhimin e qëndrueshëm të flotave të peshkimit të jashtëm dhe revokimin e Rregullores së Këshillit (CE) Nr. 1006/2008. Ky rregullore përcakton masat për menaxhimin përgjegjshëm të aktiviteteve të peshkimit të kryera nga flotat e jashtme jashtë territorit të Bashkimit Evropian.</w:t>
            </w:r>
            <w:r w:rsidRPr="006D6BE5">
              <w:rPr>
                <w:rFonts w:ascii="Arial" w:hAnsi="Arial" w:cs="Arial"/>
                <w:color w:val="000000"/>
                <w:sz w:val="4"/>
                <w:szCs w:val="8"/>
                <w:lang w:val="sq-AL"/>
              </w:rPr>
              <w:br/>
            </w:r>
            <w:r w:rsidRPr="006D6BE5">
              <w:rPr>
                <w:rFonts w:ascii="Arial" w:hAnsi="Arial" w:cs="Arial"/>
                <w:color w:val="000000"/>
                <w:sz w:val="4"/>
                <w:szCs w:val="8"/>
                <w:lang w:val="sq-AL"/>
              </w:rPr>
              <w:br/>
            </w:r>
          </w:p>
        </w:tc>
        <w:tc>
          <w:tcPr>
            <w:tcW w:w="668" w:type="pct"/>
            <w:tcBorders>
              <w:top w:val="nil"/>
              <w:left w:val="nil"/>
              <w:bottom w:val="single" w:sz="4" w:space="0" w:color="auto"/>
              <w:right w:val="single" w:sz="4" w:space="0" w:color="auto"/>
            </w:tcBorders>
            <w:shd w:val="clear" w:color="auto" w:fill="auto"/>
            <w:vAlign w:val="center"/>
            <w:hideMark/>
          </w:tcPr>
          <w:p w14:paraId="4B7C2046" w14:textId="77777777" w:rsidR="00482167" w:rsidRPr="006D6BE5" w:rsidRDefault="00E63D69" w:rsidP="00A7241A">
            <w:pPr>
              <w:rPr>
                <w:rFonts w:ascii="Arial" w:hAnsi="Arial" w:cs="Arial"/>
                <w:color w:val="0563C1"/>
                <w:sz w:val="4"/>
                <w:szCs w:val="8"/>
                <w:u w:val="single"/>
                <w:lang w:val="sq-AL"/>
              </w:rPr>
            </w:pPr>
            <w:hyperlink r:id="rId279" w:history="1">
              <w:r w:rsidR="00482167" w:rsidRPr="006D6BE5">
                <w:rPr>
                  <w:rFonts w:ascii="Arial" w:hAnsi="Arial" w:cs="Arial"/>
                  <w:color w:val="0563C1"/>
                  <w:sz w:val="4"/>
                  <w:szCs w:val="8"/>
                  <w:u w:val="single"/>
                  <w:lang w:val="sq-AL"/>
                </w:rPr>
                <w:t xml:space="preserve">https://eur-lex.europa.eu/legal-content/EN/TXT/?uri=CELEX%3A32017R2403 </w:t>
              </w:r>
            </w:hyperlink>
          </w:p>
        </w:tc>
        <w:tc>
          <w:tcPr>
            <w:tcW w:w="506" w:type="pct"/>
            <w:tcBorders>
              <w:top w:val="nil"/>
              <w:left w:val="nil"/>
              <w:bottom w:val="single" w:sz="4" w:space="0" w:color="auto"/>
              <w:right w:val="single" w:sz="4" w:space="0" w:color="auto"/>
            </w:tcBorders>
            <w:shd w:val="clear" w:color="FFFFFF" w:fill="FFFFFF"/>
            <w:vAlign w:val="center"/>
            <w:hideMark/>
          </w:tcPr>
          <w:p w14:paraId="73EEEF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06311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64/2012 “Për peshkimin”.</w:t>
            </w:r>
          </w:p>
        </w:tc>
        <w:tc>
          <w:tcPr>
            <w:tcW w:w="330" w:type="pct"/>
            <w:tcBorders>
              <w:top w:val="nil"/>
              <w:left w:val="nil"/>
              <w:bottom w:val="single" w:sz="4" w:space="0" w:color="auto"/>
              <w:right w:val="single" w:sz="4" w:space="0" w:color="auto"/>
            </w:tcBorders>
            <w:shd w:val="clear" w:color="FFFFFF" w:fill="FFFFFF"/>
            <w:vAlign w:val="center"/>
            <w:hideMark/>
          </w:tcPr>
          <w:p w14:paraId="639C34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 menaxhimi i flotës së jashtme të peshkimit</w:t>
            </w:r>
          </w:p>
        </w:tc>
        <w:tc>
          <w:tcPr>
            <w:tcW w:w="126" w:type="pct"/>
            <w:tcBorders>
              <w:top w:val="nil"/>
              <w:left w:val="nil"/>
              <w:bottom w:val="single" w:sz="4" w:space="0" w:color="auto"/>
              <w:right w:val="single" w:sz="4" w:space="0" w:color="auto"/>
            </w:tcBorders>
            <w:shd w:val="clear" w:color="FFFFFF" w:fill="FFFFFF"/>
            <w:vAlign w:val="center"/>
            <w:hideMark/>
          </w:tcPr>
          <w:p w14:paraId="7A9AF2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55705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166E6A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250B2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79780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A3A4E6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9DEAF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FFFFFF" w:fill="FFFFFF"/>
            <w:vAlign w:val="center"/>
            <w:hideMark/>
          </w:tcPr>
          <w:p w14:paraId="2F08DC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1F451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4ECD4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CA0F6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627738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287CF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956363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9B846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5D7D46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2A10FC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68B4EF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0045C8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e Këshillit (CE) Nr. 1185/2003 mbi heqjen e fletëvee të peshkaqenëve mbi bordin e anijeve, e ndryshuar nga Rregullorja (BE) Nr. 605/2013.</w:t>
            </w:r>
          </w:p>
        </w:tc>
        <w:tc>
          <w:tcPr>
            <w:tcW w:w="668" w:type="pct"/>
            <w:tcBorders>
              <w:top w:val="nil"/>
              <w:left w:val="nil"/>
              <w:bottom w:val="single" w:sz="4" w:space="0" w:color="auto"/>
              <w:right w:val="single" w:sz="4" w:space="0" w:color="auto"/>
            </w:tcBorders>
            <w:shd w:val="clear" w:color="auto" w:fill="auto"/>
            <w:vAlign w:val="center"/>
            <w:hideMark/>
          </w:tcPr>
          <w:p w14:paraId="10338E2D" w14:textId="77777777" w:rsidR="00482167" w:rsidRPr="006D6BE5" w:rsidRDefault="00E63D69" w:rsidP="00A7241A">
            <w:pPr>
              <w:rPr>
                <w:rFonts w:ascii="Arial" w:hAnsi="Arial" w:cs="Arial"/>
                <w:color w:val="0563C1"/>
                <w:sz w:val="4"/>
                <w:szCs w:val="8"/>
                <w:u w:val="single"/>
                <w:lang w:val="sq-AL"/>
              </w:rPr>
            </w:pPr>
            <w:hyperlink r:id="rId280" w:history="1">
              <w:r w:rsidR="00482167" w:rsidRPr="006D6BE5">
                <w:rPr>
                  <w:rFonts w:ascii="Arial" w:hAnsi="Arial" w:cs="Arial"/>
                  <w:color w:val="0563C1"/>
                  <w:sz w:val="4"/>
                  <w:szCs w:val="8"/>
                  <w:u w:val="single"/>
                  <w:lang w:val="sq-AL"/>
                </w:rPr>
                <w:t xml:space="preserve">https://eur-lex.europa.eu/legal-content/EN/TXT/?uri=CELEX:32003R1185 </w:t>
              </w:r>
            </w:hyperlink>
          </w:p>
        </w:tc>
        <w:tc>
          <w:tcPr>
            <w:tcW w:w="506" w:type="pct"/>
            <w:tcBorders>
              <w:top w:val="nil"/>
              <w:left w:val="nil"/>
              <w:bottom w:val="single" w:sz="4" w:space="0" w:color="auto"/>
              <w:right w:val="single" w:sz="4" w:space="0" w:color="auto"/>
            </w:tcBorders>
            <w:shd w:val="clear" w:color="FFFFFF" w:fill="FFFFFF"/>
            <w:vAlign w:val="center"/>
            <w:hideMark/>
          </w:tcPr>
          <w:p w14:paraId="24E203B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DB4F0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Projektligj“Për disa shtesa dhe ndryshime në ligjin 64/2012 “Për peshkimin”</w:t>
            </w:r>
          </w:p>
        </w:tc>
        <w:tc>
          <w:tcPr>
            <w:tcW w:w="330" w:type="pct"/>
            <w:tcBorders>
              <w:top w:val="nil"/>
              <w:left w:val="nil"/>
              <w:bottom w:val="single" w:sz="4" w:space="0" w:color="auto"/>
              <w:right w:val="single" w:sz="4" w:space="0" w:color="auto"/>
            </w:tcBorders>
            <w:shd w:val="clear" w:color="FFFFFF" w:fill="FFFFFF"/>
            <w:vAlign w:val="center"/>
            <w:hideMark/>
          </w:tcPr>
          <w:p w14:paraId="7186E7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 menaxhimi i aktiviteteve të peshkimit në bordin e anijeve të peshkimit</w:t>
            </w:r>
          </w:p>
        </w:tc>
        <w:tc>
          <w:tcPr>
            <w:tcW w:w="126" w:type="pct"/>
            <w:tcBorders>
              <w:top w:val="nil"/>
              <w:left w:val="nil"/>
              <w:bottom w:val="single" w:sz="4" w:space="0" w:color="auto"/>
              <w:right w:val="single" w:sz="4" w:space="0" w:color="auto"/>
            </w:tcBorders>
            <w:shd w:val="clear" w:color="FFFFFF" w:fill="FFFFFF"/>
            <w:vAlign w:val="center"/>
            <w:hideMark/>
          </w:tcPr>
          <w:p w14:paraId="5F7688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614EFF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Fillestare (e përputhjes)</w:t>
            </w:r>
          </w:p>
        </w:tc>
        <w:tc>
          <w:tcPr>
            <w:tcW w:w="165" w:type="pct"/>
            <w:tcBorders>
              <w:top w:val="nil"/>
              <w:left w:val="nil"/>
              <w:bottom w:val="single" w:sz="4" w:space="0" w:color="auto"/>
              <w:right w:val="single" w:sz="4" w:space="0" w:color="auto"/>
            </w:tcBorders>
            <w:shd w:val="clear" w:color="FFFFFF" w:fill="FFFFFF"/>
            <w:vAlign w:val="center"/>
            <w:hideMark/>
          </w:tcPr>
          <w:p w14:paraId="2E9FEC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8389A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E83E6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535FE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35F115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FFFFFF" w:fill="FFFFFF"/>
            <w:vAlign w:val="center"/>
            <w:hideMark/>
          </w:tcPr>
          <w:p w14:paraId="5128CB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5256D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7DE90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05344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77AA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AD506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7534D7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B6A51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28B3D8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69501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6D7377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w:t>
            </w:r>
          </w:p>
        </w:tc>
        <w:tc>
          <w:tcPr>
            <w:tcW w:w="661" w:type="pct"/>
            <w:tcBorders>
              <w:top w:val="nil"/>
              <w:left w:val="nil"/>
              <w:bottom w:val="single" w:sz="4" w:space="0" w:color="auto"/>
              <w:right w:val="single" w:sz="4" w:space="0" w:color="auto"/>
            </w:tcBorders>
            <w:shd w:val="clear" w:color="FFFFFF" w:fill="FFFFFF"/>
            <w:vAlign w:val="center"/>
            <w:hideMark/>
          </w:tcPr>
          <w:p w14:paraId="01CEB5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 Nr. 1379/2013 e Parlamentit Evropian dhe të Këshillit, datë 11 dhjetor 2013, për organizatën e përbashkët të tregjeve në produkte peshkimi dhe akvakulturë, duke ndryshuar Rregulloret e Këshillit (CE) Nr. 1184/2006 dhe (CE) Nr. 1224/2009 dhe duke anuluar Rregullore (CE) Nr. 104/2000.</w:t>
            </w:r>
          </w:p>
        </w:tc>
        <w:tc>
          <w:tcPr>
            <w:tcW w:w="668" w:type="pct"/>
            <w:tcBorders>
              <w:top w:val="nil"/>
              <w:left w:val="nil"/>
              <w:bottom w:val="single" w:sz="4" w:space="0" w:color="auto"/>
              <w:right w:val="single" w:sz="4" w:space="0" w:color="auto"/>
            </w:tcBorders>
            <w:shd w:val="clear" w:color="auto" w:fill="auto"/>
            <w:vAlign w:val="center"/>
            <w:hideMark/>
          </w:tcPr>
          <w:p w14:paraId="7222FB67" w14:textId="77777777" w:rsidR="00482167" w:rsidRPr="006D6BE5" w:rsidRDefault="00E63D69" w:rsidP="00A7241A">
            <w:pPr>
              <w:rPr>
                <w:rFonts w:ascii="Arial" w:hAnsi="Arial" w:cs="Arial"/>
                <w:color w:val="0563C1"/>
                <w:sz w:val="4"/>
                <w:szCs w:val="8"/>
                <w:u w:val="single"/>
                <w:lang w:val="sq-AL"/>
              </w:rPr>
            </w:pPr>
            <w:hyperlink r:id="rId281" w:history="1">
              <w:r w:rsidR="00482167" w:rsidRPr="006D6BE5">
                <w:rPr>
                  <w:rFonts w:ascii="Arial" w:hAnsi="Arial" w:cs="Arial"/>
                  <w:color w:val="0563C1"/>
                  <w:sz w:val="4"/>
                  <w:szCs w:val="8"/>
                  <w:u w:val="single"/>
                  <w:lang w:val="sq-AL"/>
                </w:rPr>
                <w:t xml:space="preserve">https://eur-lex.europa.eu/legal-content/EN/TXT/?uri=CELEX:32013R1379 </w:t>
              </w:r>
            </w:hyperlink>
          </w:p>
        </w:tc>
        <w:tc>
          <w:tcPr>
            <w:tcW w:w="506" w:type="pct"/>
            <w:tcBorders>
              <w:top w:val="nil"/>
              <w:left w:val="nil"/>
              <w:bottom w:val="single" w:sz="4" w:space="0" w:color="auto"/>
              <w:right w:val="single" w:sz="4" w:space="0" w:color="auto"/>
            </w:tcBorders>
            <w:shd w:val="clear" w:color="FFFFFF" w:fill="FFFFFF"/>
            <w:vAlign w:val="center"/>
            <w:hideMark/>
          </w:tcPr>
          <w:p w14:paraId="431399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1FE4AE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organizimin e tregjeve të produkteve të peshkimit dhe akuakulturës”</w:t>
            </w:r>
          </w:p>
        </w:tc>
        <w:tc>
          <w:tcPr>
            <w:tcW w:w="330" w:type="pct"/>
            <w:tcBorders>
              <w:top w:val="nil"/>
              <w:left w:val="nil"/>
              <w:bottom w:val="single" w:sz="4" w:space="0" w:color="auto"/>
              <w:right w:val="single" w:sz="4" w:space="0" w:color="auto"/>
            </w:tcBorders>
            <w:shd w:val="clear" w:color="FFFFFF" w:fill="FFFFFF"/>
            <w:vAlign w:val="center"/>
            <w:hideMark/>
          </w:tcPr>
          <w:p w14:paraId="738CEF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 dhe Akuakultura: organizimi i tregjeve të peshkimit dhe produkteve të akuakulturës</w:t>
            </w:r>
          </w:p>
        </w:tc>
        <w:tc>
          <w:tcPr>
            <w:tcW w:w="126" w:type="pct"/>
            <w:tcBorders>
              <w:top w:val="nil"/>
              <w:left w:val="nil"/>
              <w:bottom w:val="single" w:sz="4" w:space="0" w:color="auto"/>
              <w:right w:val="single" w:sz="4" w:space="0" w:color="auto"/>
            </w:tcBorders>
            <w:shd w:val="clear" w:color="FFFFFF" w:fill="FFFFFF"/>
            <w:vAlign w:val="center"/>
            <w:hideMark/>
          </w:tcPr>
          <w:p w14:paraId="00DF95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C8497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25A392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0F43E0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A0115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69DB77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B9419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7B98034E" w14:textId="43668AA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3,600 </w:t>
            </w:r>
          </w:p>
        </w:tc>
        <w:tc>
          <w:tcPr>
            <w:tcW w:w="117" w:type="pct"/>
            <w:tcBorders>
              <w:top w:val="nil"/>
              <w:left w:val="nil"/>
              <w:bottom w:val="single" w:sz="4" w:space="0" w:color="auto"/>
              <w:right w:val="single" w:sz="4" w:space="0" w:color="auto"/>
            </w:tcBorders>
            <w:shd w:val="clear" w:color="FFFFFF" w:fill="FFFFFF"/>
            <w:vAlign w:val="center"/>
            <w:hideMark/>
          </w:tcPr>
          <w:p w14:paraId="11C3CD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B680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763E5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5A0B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F8408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8297D3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1CF74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1EAD459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7852FA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26317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w:t>
            </w:r>
          </w:p>
        </w:tc>
        <w:tc>
          <w:tcPr>
            <w:tcW w:w="661" w:type="pct"/>
            <w:tcBorders>
              <w:top w:val="nil"/>
              <w:left w:val="nil"/>
              <w:bottom w:val="single" w:sz="4" w:space="0" w:color="auto"/>
              <w:right w:val="single" w:sz="4" w:space="0" w:color="auto"/>
            </w:tcBorders>
            <w:shd w:val="clear" w:color="FFFFFF" w:fill="FFFFFF"/>
            <w:vAlign w:val="center"/>
            <w:hideMark/>
          </w:tcPr>
          <w:p w14:paraId="4E966F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2014/117/EU: Rekomandimi i Komisionit (BE) 2014/117, datë 3 mars 2014, lidhur me themelimin dhe zbatimin e Planeve të Prodhimit dhe Marketingut në përputhje me Rregulloren (BE) Nr. 1379/2013 të Parlamentit Evropian dhe të Këshillit për organizatën e përbashkët të tregjeve në produkte peshkimi dhe akvakulturë.</w:t>
            </w:r>
          </w:p>
        </w:tc>
        <w:tc>
          <w:tcPr>
            <w:tcW w:w="668" w:type="pct"/>
            <w:tcBorders>
              <w:top w:val="nil"/>
              <w:left w:val="nil"/>
              <w:bottom w:val="single" w:sz="4" w:space="0" w:color="auto"/>
              <w:right w:val="single" w:sz="4" w:space="0" w:color="auto"/>
            </w:tcBorders>
            <w:shd w:val="clear" w:color="auto" w:fill="auto"/>
            <w:vAlign w:val="center"/>
            <w:hideMark/>
          </w:tcPr>
          <w:p w14:paraId="7C400D2F" w14:textId="77777777" w:rsidR="00482167" w:rsidRPr="006D6BE5" w:rsidRDefault="00E63D69" w:rsidP="00A7241A">
            <w:pPr>
              <w:rPr>
                <w:rFonts w:ascii="Arial" w:hAnsi="Arial" w:cs="Arial"/>
                <w:color w:val="0563C1"/>
                <w:sz w:val="4"/>
                <w:szCs w:val="8"/>
                <w:u w:val="single"/>
                <w:lang w:val="sq-AL"/>
              </w:rPr>
            </w:pPr>
            <w:hyperlink r:id="rId282" w:history="1">
              <w:r w:rsidR="00482167" w:rsidRPr="006D6BE5">
                <w:rPr>
                  <w:rFonts w:ascii="Arial" w:hAnsi="Arial" w:cs="Arial"/>
                  <w:color w:val="0563C1"/>
                  <w:sz w:val="4"/>
                  <w:szCs w:val="8"/>
                  <w:u w:val="single"/>
                  <w:lang w:val="sq-AL"/>
                </w:rPr>
                <w:t xml:space="preserve">https://eur-lex.europa.eu/legal-content/EN/TXT/?uri=CELEX:32014H0117 </w:t>
              </w:r>
            </w:hyperlink>
          </w:p>
        </w:tc>
        <w:tc>
          <w:tcPr>
            <w:tcW w:w="506" w:type="pct"/>
            <w:tcBorders>
              <w:top w:val="nil"/>
              <w:left w:val="nil"/>
              <w:bottom w:val="single" w:sz="4" w:space="0" w:color="auto"/>
              <w:right w:val="single" w:sz="4" w:space="0" w:color="auto"/>
            </w:tcBorders>
            <w:shd w:val="clear" w:color="FFFFFF" w:fill="FFFFFF"/>
            <w:vAlign w:val="center"/>
            <w:hideMark/>
          </w:tcPr>
          <w:p w14:paraId="4046D1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7D313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krijimin dhe zbatimin e planeve të prodhimit dhe marketingut”</w:t>
            </w:r>
          </w:p>
        </w:tc>
        <w:tc>
          <w:tcPr>
            <w:tcW w:w="330" w:type="pct"/>
            <w:tcBorders>
              <w:top w:val="nil"/>
              <w:left w:val="nil"/>
              <w:bottom w:val="single" w:sz="4" w:space="0" w:color="auto"/>
              <w:right w:val="single" w:sz="4" w:space="0" w:color="auto"/>
            </w:tcBorders>
            <w:shd w:val="clear" w:color="FFFFFF" w:fill="FFFFFF"/>
            <w:vAlign w:val="center"/>
            <w:hideMark/>
          </w:tcPr>
          <w:p w14:paraId="779818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 dhe Akuakultura: për krijimi dhe zbatimi e planeve të prodhimit dhe marketingut të peshkimit dhe akuakulturës</w:t>
            </w:r>
          </w:p>
        </w:tc>
        <w:tc>
          <w:tcPr>
            <w:tcW w:w="126" w:type="pct"/>
            <w:tcBorders>
              <w:top w:val="nil"/>
              <w:left w:val="nil"/>
              <w:bottom w:val="single" w:sz="4" w:space="0" w:color="auto"/>
              <w:right w:val="single" w:sz="4" w:space="0" w:color="auto"/>
            </w:tcBorders>
            <w:shd w:val="clear" w:color="FFFFFF" w:fill="FFFFFF"/>
            <w:vAlign w:val="center"/>
            <w:hideMark/>
          </w:tcPr>
          <w:p w14:paraId="20F7D5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ED5E1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4E2B4D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6E4F4A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72FB1E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26BE8C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71D5E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CB3C45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780E4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5,000 </w:t>
            </w:r>
          </w:p>
        </w:tc>
        <w:tc>
          <w:tcPr>
            <w:tcW w:w="129" w:type="pct"/>
            <w:tcBorders>
              <w:top w:val="nil"/>
              <w:left w:val="nil"/>
              <w:bottom w:val="single" w:sz="4" w:space="0" w:color="auto"/>
              <w:right w:val="single" w:sz="4" w:space="0" w:color="auto"/>
            </w:tcBorders>
            <w:shd w:val="clear" w:color="FFFFFF" w:fill="FFFFFF"/>
            <w:vAlign w:val="center"/>
            <w:hideMark/>
          </w:tcPr>
          <w:p w14:paraId="06D45FB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C697BC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5BF2C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2176F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399E13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2AB499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6D7519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404F41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3B83FE0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Organizimi i tregut</w:t>
            </w:r>
          </w:p>
        </w:tc>
        <w:tc>
          <w:tcPr>
            <w:tcW w:w="661" w:type="pct"/>
            <w:tcBorders>
              <w:top w:val="nil"/>
              <w:left w:val="nil"/>
              <w:bottom w:val="single" w:sz="4" w:space="0" w:color="auto"/>
              <w:right w:val="single" w:sz="4" w:space="0" w:color="auto"/>
            </w:tcBorders>
            <w:shd w:val="clear" w:color="FFFFFF" w:fill="FFFFFF"/>
            <w:vAlign w:val="center"/>
            <w:hideMark/>
          </w:tcPr>
          <w:p w14:paraId="51B5A3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Zbatuese (BE) Nr. 1418/2013 e Komisionit, datë 17 dhjetor 2013, lidhur me planet e prodhimit dhe marketingut në përputhje me Rregulloren (BE) Nr. 1379/2013 të Parlamentit Evropian dhe të Këshillit për organizatën e përbashkët të tregjeve në produkte peshkimi dhe akuakulturë.</w:t>
            </w:r>
          </w:p>
        </w:tc>
        <w:tc>
          <w:tcPr>
            <w:tcW w:w="668" w:type="pct"/>
            <w:tcBorders>
              <w:top w:val="nil"/>
              <w:left w:val="nil"/>
              <w:bottom w:val="single" w:sz="4" w:space="0" w:color="auto"/>
              <w:right w:val="single" w:sz="4" w:space="0" w:color="auto"/>
            </w:tcBorders>
            <w:shd w:val="clear" w:color="auto" w:fill="auto"/>
            <w:vAlign w:val="center"/>
            <w:hideMark/>
          </w:tcPr>
          <w:p w14:paraId="40465009" w14:textId="77777777" w:rsidR="00482167" w:rsidRPr="006D6BE5" w:rsidRDefault="00E63D69" w:rsidP="00A7241A">
            <w:pPr>
              <w:rPr>
                <w:rFonts w:ascii="Arial" w:hAnsi="Arial" w:cs="Arial"/>
                <w:color w:val="0563C1"/>
                <w:sz w:val="4"/>
                <w:szCs w:val="8"/>
                <w:u w:val="single"/>
                <w:lang w:val="sq-AL"/>
              </w:rPr>
            </w:pPr>
            <w:hyperlink r:id="rId283" w:history="1">
              <w:r w:rsidR="00482167" w:rsidRPr="006D6BE5">
                <w:rPr>
                  <w:rFonts w:ascii="Arial" w:hAnsi="Arial" w:cs="Arial"/>
                  <w:color w:val="0563C1"/>
                  <w:sz w:val="4"/>
                  <w:szCs w:val="8"/>
                  <w:u w:val="single"/>
                  <w:lang w:val="sq-AL"/>
                </w:rPr>
                <w:t xml:space="preserve">https://op.europa.eu/en/publication-detail/-/publication/4eae36a1-6f9f-11e3-b589-01aa75ed71a1/language-en </w:t>
              </w:r>
            </w:hyperlink>
          </w:p>
        </w:tc>
        <w:tc>
          <w:tcPr>
            <w:tcW w:w="506" w:type="pct"/>
            <w:tcBorders>
              <w:top w:val="nil"/>
              <w:left w:val="nil"/>
              <w:bottom w:val="single" w:sz="4" w:space="0" w:color="auto"/>
              <w:right w:val="single" w:sz="4" w:space="0" w:color="auto"/>
            </w:tcBorders>
            <w:shd w:val="clear" w:color="FFFFFF" w:fill="FFFFFF"/>
            <w:vAlign w:val="center"/>
            <w:hideMark/>
          </w:tcPr>
          <w:p w14:paraId="647930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83EDB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të Bujqësisë dhe Zhvillimit Rural “Për krijimin e planeve të prodhimit dhe marketingut”.</w:t>
            </w:r>
          </w:p>
        </w:tc>
        <w:tc>
          <w:tcPr>
            <w:tcW w:w="330" w:type="pct"/>
            <w:tcBorders>
              <w:top w:val="nil"/>
              <w:left w:val="nil"/>
              <w:bottom w:val="single" w:sz="4" w:space="0" w:color="auto"/>
              <w:right w:val="single" w:sz="4" w:space="0" w:color="auto"/>
            </w:tcBorders>
            <w:shd w:val="clear" w:color="FFFFFF" w:fill="FFFFFF"/>
            <w:vAlign w:val="center"/>
            <w:hideMark/>
          </w:tcPr>
          <w:p w14:paraId="3E7017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Planet e prodhimit dhe marketingut të peshkimit dhe akuakulturës</w:t>
            </w:r>
          </w:p>
        </w:tc>
        <w:tc>
          <w:tcPr>
            <w:tcW w:w="126" w:type="pct"/>
            <w:tcBorders>
              <w:top w:val="nil"/>
              <w:left w:val="nil"/>
              <w:bottom w:val="single" w:sz="4" w:space="0" w:color="auto"/>
              <w:right w:val="single" w:sz="4" w:space="0" w:color="auto"/>
            </w:tcBorders>
            <w:shd w:val="clear" w:color="FFFFFF" w:fill="FFFFFF"/>
            <w:vAlign w:val="center"/>
            <w:hideMark/>
          </w:tcPr>
          <w:p w14:paraId="6D3AC8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32132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2BAC0C6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0264EF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7539DE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806C2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65051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251C75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658A2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1,693 </w:t>
            </w:r>
          </w:p>
        </w:tc>
        <w:tc>
          <w:tcPr>
            <w:tcW w:w="129" w:type="pct"/>
            <w:tcBorders>
              <w:top w:val="nil"/>
              <w:left w:val="nil"/>
              <w:bottom w:val="single" w:sz="4" w:space="0" w:color="auto"/>
              <w:right w:val="single" w:sz="4" w:space="0" w:color="auto"/>
            </w:tcBorders>
            <w:shd w:val="clear" w:color="FFFFFF" w:fill="FFFFFF"/>
            <w:vAlign w:val="center"/>
            <w:hideMark/>
          </w:tcPr>
          <w:p w14:paraId="715E0E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06582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150F9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A7272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285854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161610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0FD535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017C9E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4E075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5218FF32" w14:textId="2429874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Deleguar (BE) Nr. 2021/2064 i Komisionit, datë 25 gusht 2021, që plotëson Rregulloren (BE) Nr. 1380/2013 të Parlamentit Evropian dhe të Këshillit në lidhje me vendosjen e saive minimale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disa specie fundore në detin Adriatik dhe Detin Mesdheun Juglindor, siç është ndryshuar nga Rregullorja E Deleguar (BE) Nr. 2022/2564 e Komisionit, datë 16 gusht 2022.</w:t>
            </w:r>
          </w:p>
        </w:tc>
        <w:tc>
          <w:tcPr>
            <w:tcW w:w="668" w:type="pct"/>
            <w:tcBorders>
              <w:top w:val="nil"/>
              <w:left w:val="nil"/>
              <w:bottom w:val="single" w:sz="4" w:space="0" w:color="auto"/>
              <w:right w:val="single" w:sz="4" w:space="0" w:color="auto"/>
            </w:tcBorders>
            <w:shd w:val="clear" w:color="auto" w:fill="auto"/>
            <w:vAlign w:val="center"/>
            <w:hideMark/>
          </w:tcPr>
          <w:p w14:paraId="2402F2B0" w14:textId="77777777" w:rsidR="00482167" w:rsidRPr="006D6BE5" w:rsidRDefault="00E63D69" w:rsidP="00A7241A">
            <w:pPr>
              <w:rPr>
                <w:rFonts w:ascii="Arial" w:hAnsi="Arial" w:cs="Arial"/>
                <w:color w:val="0563C1"/>
                <w:sz w:val="4"/>
                <w:szCs w:val="8"/>
                <w:u w:val="single"/>
                <w:lang w:val="sq-AL"/>
              </w:rPr>
            </w:pPr>
            <w:hyperlink r:id="rId284" w:history="1">
              <w:r w:rsidR="00482167" w:rsidRPr="006D6BE5">
                <w:rPr>
                  <w:rFonts w:ascii="Arial" w:hAnsi="Arial" w:cs="Arial"/>
                  <w:color w:val="0563C1"/>
                  <w:sz w:val="4"/>
                  <w:szCs w:val="8"/>
                  <w:u w:val="single"/>
                  <w:lang w:val="sq-AL"/>
                </w:rPr>
                <w:t xml:space="preserve">https://eur-lex.europa.eu/legal-content/EN/TXT/?uri=CELEX%3A02021R2064-20230101 </w:t>
              </w:r>
            </w:hyperlink>
          </w:p>
        </w:tc>
        <w:tc>
          <w:tcPr>
            <w:tcW w:w="506" w:type="pct"/>
            <w:tcBorders>
              <w:top w:val="nil"/>
              <w:left w:val="nil"/>
              <w:bottom w:val="single" w:sz="4" w:space="0" w:color="auto"/>
              <w:right w:val="single" w:sz="4" w:space="0" w:color="auto"/>
            </w:tcBorders>
            <w:shd w:val="clear" w:color="FFFFFF" w:fill="FFFFFF"/>
            <w:vAlign w:val="center"/>
            <w:hideMark/>
          </w:tcPr>
          <w:p w14:paraId="202515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9B273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Projekturdhër i Ministrit të Bujqësisë dhe Zhvillimit Rural "Për vendosjen e saive minimale të lejueshme për tu hedhur për disa specie fundore në detin Adriatik"</w:t>
            </w:r>
          </w:p>
        </w:tc>
        <w:tc>
          <w:tcPr>
            <w:tcW w:w="330" w:type="pct"/>
            <w:tcBorders>
              <w:top w:val="nil"/>
              <w:left w:val="nil"/>
              <w:bottom w:val="single" w:sz="4" w:space="0" w:color="auto"/>
              <w:right w:val="single" w:sz="4" w:space="0" w:color="auto"/>
            </w:tcBorders>
            <w:shd w:val="clear" w:color="FFFFFF" w:fill="FFFFFF"/>
            <w:vAlign w:val="center"/>
            <w:hideMark/>
          </w:tcPr>
          <w:p w14:paraId="5E1124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e menaxhimit të peshkimit, vendosja e një sasive minimale të lejueshme për të hedhur për disa specie fundore në det</w:t>
            </w:r>
          </w:p>
        </w:tc>
        <w:tc>
          <w:tcPr>
            <w:tcW w:w="126" w:type="pct"/>
            <w:tcBorders>
              <w:top w:val="nil"/>
              <w:left w:val="nil"/>
              <w:bottom w:val="single" w:sz="4" w:space="0" w:color="auto"/>
              <w:right w:val="single" w:sz="4" w:space="0" w:color="auto"/>
            </w:tcBorders>
            <w:shd w:val="clear" w:color="FFFFFF" w:fill="FFFFFF"/>
            <w:vAlign w:val="center"/>
            <w:hideMark/>
          </w:tcPr>
          <w:p w14:paraId="52A33F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BCA0E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moderuar (e përputhjes)</w:t>
            </w:r>
          </w:p>
        </w:tc>
        <w:tc>
          <w:tcPr>
            <w:tcW w:w="165" w:type="pct"/>
            <w:tcBorders>
              <w:top w:val="nil"/>
              <w:left w:val="nil"/>
              <w:bottom w:val="single" w:sz="4" w:space="0" w:color="auto"/>
              <w:right w:val="single" w:sz="4" w:space="0" w:color="auto"/>
            </w:tcBorders>
            <w:shd w:val="clear" w:color="FFFFFF" w:fill="FFFFFF"/>
            <w:vAlign w:val="center"/>
            <w:hideMark/>
          </w:tcPr>
          <w:p w14:paraId="71940A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575819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69C4D4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F1BB34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4B903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8C66B7B" w14:textId="16E8FB1E"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1,693 </w:t>
            </w:r>
          </w:p>
        </w:tc>
        <w:tc>
          <w:tcPr>
            <w:tcW w:w="117" w:type="pct"/>
            <w:tcBorders>
              <w:top w:val="nil"/>
              <w:left w:val="nil"/>
              <w:bottom w:val="single" w:sz="4" w:space="0" w:color="auto"/>
              <w:right w:val="single" w:sz="4" w:space="0" w:color="auto"/>
            </w:tcBorders>
            <w:shd w:val="clear" w:color="FFFFFF" w:fill="FFFFFF"/>
            <w:vAlign w:val="center"/>
            <w:hideMark/>
          </w:tcPr>
          <w:p w14:paraId="1F162E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10545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23C64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1F424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E2091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B4FCCBF"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75652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05B544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60510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5B5E45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4AA861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Këshillit (CE) Nr. 1005/2008, datë 29 shtator 2008, që vendos një sistem komunitar për parandalimin, reduktimin dhe eliminimin e peshkimit të paligjshëm, pa raportuar dhe të parregulluar (IUU Regulation).</w:t>
            </w:r>
          </w:p>
        </w:tc>
        <w:tc>
          <w:tcPr>
            <w:tcW w:w="668" w:type="pct"/>
            <w:tcBorders>
              <w:top w:val="nil"/>
              <w:left w:val="nil"/>
              <w:bottom w:val="single" w:sz="4" w:space="0" w:color="auto"/>
              <w:right w:val="single" w:sz="4" w:space="0" w:color="auto"/>
            </w:tcBorders>
            <w:shd w:val="clear" w:color="auto" w:fill="auto"/>
            <w:vAlign w:val="center"/>
            <w:hideMark/>
          </w:tcPr>
          <w:p w14:paraId="38AC778B" w14:textId="77777777" w:rsidR="00482167" w:rsidRPr="006D6BE5" w:rsidRDefault="00E63D69" w:rsidP="00A7241A">
            <w:pPr>
              <w:rPr>
                <w:rFonts w:ascii="Arial" w:hAnsi="Arial" w:cs="Arial"/>
                <w:color w:val="0563C1"/>
                <w:sz w:val="4"/>
                <w:szCs w:val="8"/>
                <w:u w:val="single"/>
                <w:lang w:val="sq-AL"/>
              </w:rPr>
            </w:pPr>
            <w:hyperlink r:id="rId285" w:history="1">
              <w:r w:rsidR="00482167" w:rsidRPr="006D6BE5">
                <w:rPr>
                  <w:rFonts w:ascii="Arial" w:hAnsi="Arial" w:cs="Arial"/>
                  <w:color w:val="0563C1"/>
                  <w:sz w:val="4"/>
                  <w:szCs w:val="8"/>
                  <w:u w:val="single"/>
                  <w:lang w:val="sq-AL"/>
                </w:rPr>
                <w:t xml:space="preserve">https://eur-lex.europa.eu/legal-content/EN/TXT/?qid=1408984470270&amp;uri=CELEX:02008R1005-20110309 </w:t>
              </w:r>
            </w:hyperlink>
          </w:p>
        </w:tc>
        <w:tc>
          <w:tcPr>
            <w:tcW w:w="506" w:type="pct"/>
            <w:tcBorders>
              <w:top w:val="nil"/>
              <w:left w:val="nil"/>
              <w:bottom w:val="single" w:sz="4" w:space="0" w:color="auto"/>
              <w:right w:val="single" w:sz="4" w:space="0" w:color="auto"/>
            </w:tcBorders>
            <w:shd w:val="clear" w:color="FFFFFF" w:fill="FFFFFF"/>
            <w:vAlign w:val="center"/>
            <w:hideMark/>
          </w:tcPr>
          <w:p w14:paraId="4B72D6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FAB39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ngritjen e sistemit të inspektimit për parandalimin, reduktimin dhe eliminimin e peshkimit të paligjshëm, të paraportuar dhe të parregulluar (PPP) dhe të skemës së certifikimit të peshkimit”.</w:t>
            </w:r>
          </w:p>
        </w:tc>
        <w:tc>
          <w:tcPr>
            <w:tcW w:w="330" w:type="pct"/>
            <w:tcBorders>
              <w:top w:val="nil"/>
              <w:left w:val="nil"/>
              <w:bottom w:val="single" w:sz="4" w:space="0" w:color="auto"/>
              <w:right w:val="single" w:sz="4" w:space="0" w:color="auto"/>
            </w:tcBorders>
            <w:shd w:val="clear" w:color="FFFFFF" w:fill="FFFFFF"/>
            <w:vAlign w:val="center"/>
            <w:hideMark/>
          </w:tcPr>
          <w:p w14:paraId="36D27E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e menaxhimit të peshkimit për të parandaluar, penguar dhe eliminuar peshkimin e paligjshëm, të pa raportuar dhe të pa rregulluar</w:t>
            </w:r>
          </w:p>
        </w:tc>
        <w:tc>
          <w:tcPr>
            <w:tcW w:w="126" w:type="pct"/>
            <w:tcBorders>
              <w:top w:val="nil"/>
              <w:left w:val="nil"/>
              <w:bottom w:val="single" w:sz="4" w:space="0" w:color="auto"/>
              <w:right w:val="single" w:sz="4" w:space="0" w:color="auto"/>
            </w:tcBorders>
            <w:shd w:val="clear" w:color="FFFFFF" w:fill="FFFFFF"/>
            <w:vAlign w:val="center"/>
            <w:hideMark/>
          </w:tcPr>
          <w:p w14:paraId="4443E8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C3773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648D6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635F0B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04EB0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5D421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60740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3,600 </w:t>
            </w:r>
          </w:p>
        </w:tc>
        <w:tc>
          <w:tcPr>
            <w:tcW w:w="126" w:type="pct"/>
            <w:tcBorders>
              <w:top w:val="nil"/>
              <w:left w:val="nil"/>
              <w:bottom w:val="single" w:sz="4" w:space="0" w:color="auto"/>
              <w:right w:val="single" w:sz="4" w:space="0" w:color="auto"/>
            </w:tcBorders>
            <w:shd w:val="clear" w:color="FFFFFF" w:fill="FFFFFF"/>
            <w:vAlign w:val="center"/>
            <w:hideMark/>
          </w:tcPr>
          <w:p w14:paraId="3F4669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B58A1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24AA10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0F6B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E8E44B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2EF8F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87EA37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F6EB2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04BAF1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2D4E6F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CAC4E2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493F9E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i Këshillit (CE) Nr. 1224/2009, datë 20 nëntor 2009, që vendos një sistem kontrolli të Bashkimit për sigurimin e zbatimit të rregullave të politikës së përbashkët të peshkimit, duke ndryshuar Rregulloret (CE) Nr. 847/96, (CE) Nr. 2371/2002, (CE) Nr. 811/2004, (CE) Nr. 768/2005, (CE) Nr. 2115/2005, (CE) Nr. 2166/2005, (CE) Nr. 388/2006, (CE) Nr. 509/2007, (CE) Nr. 676/2007, (CE) Nr. 1098/2007, (CE) Nr. 1300/2008, (CE) Nr. 1342/2008 dhe duke anuluar Rregulloret (EEC) Nr. 2847/93, (CE) Nr. 1627/94 dhe (CE) Nr. 1966/2006.</w:t>
            </w:r>
          </w:p>
        </w:tc>
        <w:tc>
          <w:tcPr>
            <w:tcW w:w="668" w:type="pct"/>
            <w:tcBorders>
              <w:top w:val="nil"/>
              <w:left w:val="nil"/>
              <w:bottom w:val="single" w:sz="4" w:space="0" w:color="auto"/>
              <w:right w:val="single" w:sz="4" w:space="0" w:color="auto"/>
            </w:tcBorders>
            <w:shd w:val="clear" w:color="auto" w:fill="auto"/>
            <w:vAlign w:val="center"/>
            <w:hideMark/>
          </w:tcPr>
          <w:p w14:paraId="28A942F9" w14:textId="77777777" w:rsidR="00482167" w:rsidRPr="006D6BE5" w:rsidRDefault="00E63D69" w:rsidP="00A7241A">
            <w:pPr>
              <w:rPr>
                <w:rFonts w:ascii="Arial" w:hAnsi="Arial" w:cs="Arial"/>
                <w:color w:val="0563C1"/>
                <w:sz w:val="4"/>
                <w:szCs w:val="8"/>
                <w:u w:val="single"/>
                <w:lang w:val="sq-AL"/>
              </w:rPr>
            </w:pPr>
            <w:hyperlink r:id="rId286" w:history="1">
              <w:r w:rsidR="00482167" w:rsidRPr="006D6BE5">
                <w:rPr>
                  <w:rFonts w:ascii="Arial" w:hAnsi="Arial" w:cs="Arial"/>
                  <w:color w:val="0563C1"/>
                  <w:sz w:val="4"/>
                  <w:szCs w:val="8"/>
                  <w:u w:val="single"/>
                  <w:lang w:val="sq-AL"/>
                </w:rPr>
                <w:t xml:space="preserve">https://eur-lex.europa.eu/legal-content/EN/ALL/?uri=CELEX%3A32009R1224 </w:t>
              </w:r>
            </w:hyperlink>
          </w:p>
        </w:tc>
        <w:tc>
          <w:tcPr>
            <w:tcW w:w="506" w:type="pct"/>
            <w:tcBorders>
              <w:top w:val="nil"/>
              <w:left w:val="nil"/>
              <w:bottom w:val="single" w:sz="4" w:space="0" w:color="auto"/>
              <w:right w:val="single" w:sz="4" w:space="0" w:color="auto"/>
            </w:tcBorders>
            <w:shd w:val="clear" w:color="FFFFFF" w:fill="FFFFFF"/>
            <w:vAlign w:val="center"/>
            <w:hideMark/>
          </w:tcPr>
          <w:p w14:paraId="007B11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C4C6A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Projektligj “Për disa shtesa dhe ndryshime në ligjin 64/2012 “Për peshkimin”</w:t>
            </w:r>
          </w:p>
        </w:tc>
        <w:tc>
          <w:tcPr>
            <w:tcW w:w="330" w:type="pct"/>
            <w:tcBorders>
              <w:top w:val="nil"/>
              <w:left w:val="nil"/>
              <w:bottom w:val="single" w:sz="4" w:space="0" w:color="auto"/>
              <w:right w:val="single" w:sz="4" w:space="0" w:color="auto"/>
            </w:tcBorders>
            <w:shd w:val="clear" w:color="FFFFFF" w:fill="FFFFFF"/>
            <w:vAlign w:val="center"/>
            <w:hideMark/>
          </w:tcPr>
          <w:p w14:paraId="6A9A44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Sistemi i kontrollit të peshkimit për të siguruar respektimin e rregullave</w:t>
            </w:r>
          </w:p>
        </w:tc>
        <w:tc>
          <w:tcPr>
            <w:tcW w:w="126" w:type="pct"/>
            <w:tcBorders>
              <w:top w:val="nil"/>
              <w:left w:val="nil"/>
              <w:bottom w:val="single" w:sz="4" w:space="0" w:color="auto"/>
              <w:right w:val="single" w:sz="4" w:space="0" w:color="auto"/>
            </w:tcBorders>
            <w:shd w:val="clear" w:color="FFFFFF" w:fill="FFFFFF"/>
            <w:vAlign w:val="center"/>
            <w:hideMark/>
          </w:tcPr>
          <w:p w14:paraId="3B4428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40D962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6EA085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1F320E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E5BAA5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7DA39E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901CA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5,000 </w:t>
            </w:r>
          </w:p>
        </w:tc>
        <w:tc>
          <w:tcPr>
            <w:tcW w:w="126" w:type="pct"/>
            <w:tcBorders>
              <w:top w:val="nil"/>
              <w:left w:val="nil"/>
              <w:bottom w:val="single" w:sz="4" w:space="0" w:color="auto"/>
              <w:right w:val="single" w:sz="4" w:space="0" w:color="auto"/>
            </w:tcBorders>
            <w:shd w:val="clear" w:color="FFFFFF" w:fill="FFFFFF"/>
            <w:vAlign w:val="center"/>
            <w:hideMark/>
          </w:tcPr>
          <w:p w14:paraId="24BC2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02978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2003F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E9DA1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056E9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135D02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6EA6785"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D51AA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70F879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076092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EE5E7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Peshkimi</w:t>
            </w:r>
          </w:p>
        </w:tc>
        <w:tc>
          <w:tcPr>
            <w:tcW w:w="661" w:type="pct"/>
            <w:tcBorders>
              <w:top w:val="nil"/>
              <w:left w:val="nil"/>
              <w:bottom w:val="single" w:sz="4" w:space="0" w:color="auto"/>
              <w:right w:val="single" w:sz="4" w:space="0" w:color="auto"/>
            </w:tcBorders>
            <w:shd w:val="clear" w:color="FFFFFF" w:fill="FFFFFF"/>
            <w:vAlign w:val="center"/>
            <w:hideMark/>
          </w:tcPr>
          <w:p w14:paraId="74F10D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Vendim Zbatues i Komisionit (BE) Nr. 2018/1986, datë 13 dhjetor 2018, që vendos programet specifike të kontrollit dhe inspektimit për disa forma peshkimi dhe anulon Vendimet Zbatuese (BE) Nr. 2012/807, Nr. 2013/328, Nr. 2013/305 dhe Nr. 2014/156.</w:t>
            </w:r>
          </w:p>
        </w:tc>
        <w:tc>
          <w:tcPr>
            <w:tcW w:w="668" w:type="pct"/>
            <w:tcBorders>
              <w:top w:val="nil"/>
              <w:left w:val="nil"/>
              <w:bottom w:val="single" w:sz="4" w:space="0" w:color="auto"/>
              <w:right w:val="single" w:sz="4" w:space="0" w:color="auto"/>
            </w:tcBorders>
            <w:shd w:val="clear" w:color="auto" w:fill="auto"/>
            <w:vAlign w:val="center"/>
            <w:hideMark/>
          </w:tcPr>
          <w:p w14:paraId="5EAD20D0" w14:textId="77777777" w:rsidR="00482167" w:rsidRPr="006D6BE5" w:rsidRDefault="00E63D69" w:rsidP="00A7241A">
            <w:pPr>
              <w:rPr>
                <w:rFonts w:ascii="Arial" w:hAnsi="Arial" w:cs="Arial"/>
                <w:color w:val="0563C1"/>
                <w:sz w:val="4"/>
                <w:szCs w:val="8"/>
                <w:u w:val="single"/>
                <w:lang w:val="sq-AL"/>
              </w:rPr>
            </w:pPr>
            <w:hyperlink r:id="rId287" w:history="1">
              <w:r w:rsidR="00482167" w:rsidRPr="006D6BE5">
                <w:rPr>
                  <w:rFonts w:ascii="Arial" w:hAnsi="Arial" w:cs="Arial"/>
                  <w:color w:val="0563C1"/>
                  <w:sz w:val="4"/>
                  <w:szCs w:val="8"/>
                  <w:u w:val="single"/>
                  <w:lang w:val="sq-AL"/>
                </w:rPr>
                <w:t xml:space="preserve">https://eur-lex.europa.eu/legal-content/EN/TXT/?uri=CELEX%3A32018D1986 </w:t>
              </w:r>
            </w:hyperlink>
          </w:p>
        </w:tc>
        <w:tc>
          <w:tcPr>
            <w:tcW w:w="506" w:type="pct"/>
            <w:tcBorders>
              <w:top w:val="nil"/>
              <w:left w:val="nil"/>
              <w:bottom w:val="single" w:sz="4" w:space="0" w:color="auto"/>
              <w:right w:val="single" w:sz="4" w:space="0" w:color="auto"/>
            </w:tcBorders>
            <w:shd w:val="clear" w:color="FFFFFF" w:fill="FFFFFF"/>
            <w:vAlign w:val="center"/>
            <w:hideMark/>
          </w:tcPr>
          <w:p w14:paraId="32D0A3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91B75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Ministrit të Bujqësisë dhe Zhvillimit Rural “Përcaktimi i programeve specifike të kontrollit dhe inspektimit për disa forma peshkimi".</w:t>
            </w:r>
          </w:p>
        </w:tc>
        <w:tc>
          <w:tcPr>
            <w:tcW w:w="330" w:type="pct"/>
            <w:tcBorders>
              <w:top w:val="nil"/>
              <w:left w:val="nil"/>
              <w:bottom w:val="single" w:sz="4" w:space="0" w:color="auto"/>
              <w:right w:val="single" w:sz="4" w:space="0" w:color="auto"/>
            </w:tcBorders>
            <w:shd w:val="clear" w:color="auto" w:fill="auto"/>
            <w:vAlign w:val="center"/>
            <w:hideMark/>
          </w:tcPr>
          <w:p w14:paraId="7D75B49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Përafrimi i programeve specifike të kontrollit dhe inspektimit me ato të politikës së përbashkët të peshkimit, për peshkime të caktuara.</w:t>
            </w:r>
          </w:p>
        </w:tc>
        <w:tc>
          <w:tcPr>
            <w:tcW w:w="126" w:type="pct"/>
            <w:tcBorders>
              <w:top w:val="nil"/>
              <w:left w:val="nil"/>
              <w:bottom w:val="single" w:sz="4" w:space="0" w:color="auto"/>
              <w:right w:val="single" w:sz="4" w:space="0" w:color="auto"/>
            </w:tcBorders>
            <w:shd w:val="clear" w:color="FFFFFF" w:fill="FFFFFF"/>
            <w:vAlign w:val="center"/>
            <w:hideMark/>
          </w:tcPr>
          <w:p w14:paraId="279DC9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B41E9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AA1AD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078B2F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19F580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8FFDD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AF3A1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1,693 </w:t>
            </w:r>
          </w:p>
        </w:tc>
        <w:tc>
          <w:tcPr>
            <w:tcW w:w="126" w:type="pct"/>
            <w:tcBorders>
              <w:top w:val="nil"/>
              <w:left w:val="nil"/>
              <w:bottom w:val="single" w:sz="4" w:space="0" w:color="auto"/>
              <w:right w:val="single" w:sz="4" w:space="0" w:color="auto"/>
            </w:tcBorders>
            <w:shd w:val="clear" w:color="FFFFFF" w:fill="FFFFFF"/>
            <w:vAlign w:val="center"/>
            <w:hideMark/>
          </w:tcPr>
          <w:p w14:paraId="1F9417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F53D9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ED9B3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0BF62E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4286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83727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95A6E6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99230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13</w:t>
            </w:r>
          </w:p>
        </w:tc>
        <w:tc>
          <w:tcPr>
            <w:tcW w:w="144" w:type="pct"/>
            <w:tcBorders>
              <w:top w:val="nil"/>
              <w:left w:val="nil"/>
              <w:bottom w:val="single" w:sz="4" w:space="0" w:color="auto"/>
              <w:right w:val="single" w:sz="4" w:space="0" w:color="auto"/>
            </w:tcBorders>
            <w:shd w:val="clear" w:color="FFFFFF" w:fill="FFFFFF"/>
            <w:vAlign w:val="center"/>
            <w:hideMark/>
          </w:tcPr>
          <w:p w14:paraId="586B1B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65" w:type="pct"/>
            <w:tcBorders>
              <w:top w:val="nil"/>
              <w:left w:val="nil"/>
              <w:bottom w:val="single" w:sz="4" w:space="0" w:color="auto"/>
              <w:right w:val="single" w:sz="4" w:space="0" w:color="auto"/>
            </w:tcBorders>
            <w:shd w:val="clear" w:color="FFFFFF" w:fill="FFFFFF"/>
            <w:vAlign w:val="center"/>
            <w:hideMark/>
          </w:tcPr>
          <w:p w14:paraId="1FFAD6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50615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Akuakultura</w:t>
            </w:r>
          </w:p>
        </w:tc>
        <w:tc>
          <w:tcPr>
            <w:tcW w:w="661" w:type="pct"/>
            <w:tcBorders>
              <w:top w:val="nil"/>
              <w:left w:val="nil"/>
              <w:bottom w:val="single" w:sz="4" w:space="0" w:color="auto"/>
              <w:right w:val="single" w:sz="4" w:space="0" w:color="auto"/>
            </w:tcBorders>
            <w:shd w:val="clear" w:color="FFFFFF" w:fill="FFFFFF"/>
            <w:vAlign w:val="center"/>
            <w:hideMark/>
          </w:tcPr>
          <w:p w14:paraId="056BED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e Këshillit (CE) Nr. 708/2007 në lidhje me përdorimin e specieve të huaja dhe që mungojnë ne vend në akuakulturë.</w:t>
            </w:r>
          </w:p>
        </w:tc>
        <w:tc>
          <w:tcPr>
            <w:tcW w:w="668" w:type="pct"/>
            <w:tcBorders>
              <w:top w:val="nil"/>
              <w:left w:val="nil"/>
              <w:bottom w:val="single" w:sz="4" w:space="0" w:color="auto"/>
              <w:right w:val="single" w:sz="4" w:space="0" w:color="auto"/>
            </w:tcBorders>
            <w:shd w:val="clear" w:color="auto" w:fill="auto"/>
            <w:vAlign w:val="center"/>
            <w:hideMark/>
          </w:tcPr>
          <w:p w14:paraId="187AD9EC" w14:textId="77777777" w:rsidR="00482167" w:rsidRPr="006D6BE5" w:rsidRDefault="00E63D69" w:rsidP="00A7241A">
            <w:pPr>
              <w:rPr>
                <w:rFonts w:ascii="Arial" w:hAnsi="Arial" w:cs="Arial"/>
                <w:color w:val="0563C1"/>
                <w:sz w:val="4"/>
                <w:szCs w:val="8"/>
                <w:u w:val="single"/>
                <w:lang w:val="sq-AL"/>
              </w:rPr>
            </w:pPr>
            <w:hyperlink r:id="rId288" w:history="1">
              <w:r w:rsidR="00482167" w:rsidRPr="006D6BE5">
                <w:rPr>
                  <w:rFonts w:ascii="Arial" w:hAnsi="Arial" w:cs="Arial"/>
                  <w:color w:val="0563C1"/>
                  <w:sz w:val="4"/>
                  <w:szCs w:val="8"/>
                  <w:u w:val="single"/>
                  <w:lang w:val="sq-AL"/>
                </w:rPr>
                <w:t xml:space="preserve">https://eur-lex.europa.eu/legal-content/EN/TXT/?uri=CELEX%3A32007R0708 </w:t>
              </w:r>
            </w:hyperlink>
          </w:p>
        </w:tc>
        <w:tc>
          <w:tcPr>
            <w:tcW w:w="506" w:type="pct"/>
            <w:tcBorders>
              <w:top w:val="nil"/>
              <w:left w:val="nil"/>
              <w:bottom w:val="single" w:sz="4" w:space="0" w:color="auto"/>
              <w:right w:val="single" w:sz="4" w:space="0" w:color="auto"/>
            </w:tcBorders>
            <w:shd w:val="clear" w:color="FFFFFF" w:fill="FFFFFF"/>
            <w:vAlign w:val="center"/>
            <w:hideMark/>
          </w:tcPr>
          <w:p w14:paraId="3C06E2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6F27DD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përdorimin e specieve të huaja dhe atyre që mungojnë në vend në akuakulturë”.</w:t>
            </w:r>
          </w:p>
        </w:tc>
        <w:tc>
          <w:tcPr>
            <w:tcW w:w="330" w:type="pct"/>
            <w:tcBorders>
              <w:top w:val="nil"/>
              <w:left w:val="nil"/>
              <w:bottom w:val="single" w:sz="4" w:space="0" w:color="auto"/>
              <w:right w:val="single" w:sz="4" w:space="0" w:color="auto"/>
            </w:tcBorders>
            <w:shd w:val="clear" w:color="FFFFFF" w:fill="FFFFFF"/>
            <w:vAlign w:val="center"/>
            <w:hideMark/>
          </w:tcPr>
          <w:p w14:paraId="677812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Aktivitetet e akuakulturës duke përdorur specie peshqish të huaj dhe që mungojnë në vend</w:t>
            </w:r>
          </w:p>
        </w:tc>
        <w:tc>
          <w:tcPr>
            <w:tcW w:w="126" w:type="pct"/>
            <w:tcBorders>
              <w:top w:val="nil"/>
              <w:left w:val="nil"/>
              <w:bottom w:val="single" w:sz="4" w:space="0" w:color="auto"/>
              <w:right w:val="single" w:sz="4" w:space="0" w:color="auto"/>
            </w:tcBorders>
            <w:shd w:val="clear" w:color="FFFFFF" w:fill="FFFFFF"/>
            <w:vAlign w:val="center"/>
            <w:hideMark/>
          </w:tcPr>
          <w:p w14:paraId="0477F0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850D2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mirë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FB03C8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MBZHR</w:t>
            </w:r>
          </w:p>
        </w:tc>
        <w:tc>
          <w:tcPr>
            <w:tcW w:w="113" w:type="pct"/>
            <w:tcBorders>
              <w:top w:val="nil"/>
              <w:left w:val="nil"/>
              <w:bottom w:val="single" w:sz="4" w:space="0" w:color="auto"/>
              <w:right w:val="single" w:sz="4" w:space="0" w:color="auto"/>
            </w:tcBorders>
            <w:shd w:val="clear" w:color="FFFFFF" w:fill="FFFFFF"/>
            <w:vAlign w:val="center"/>
            <w:hideMark/>
          </w:tcPr>
          <w:p w14:paraId="470FBC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1ADF5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9AFDA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A5E91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8F197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74E93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3,600 </w:t>
            </w:r>
          </w:p>
        </w:tc>
        <w:tc>
          <w:tcPr>
            <w:tcW w:w="129" w:type="pct"/>
            <w:tcBorders>
              <w:top w:val="nil"/>
              <w:left w:val="nil"/>
              <w:bottom w:val="single" w:sz="4" w:space="0" w:color="auto"/>
              <w:right w:val="single" w:sz="4" w:space="0" w:color="auto"/>
            </w:tcBorders>
            <w:shd w:val="clear" w:color="FFFFFF" w:fill="FFFFFF"/>
            <w:vAlign w:val="center"/>
            <w:hideMark/>
          </w:tcPr>
          <w:p w14:paraId="6C8022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A926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62481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11807D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FA433E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D49A73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3DA13F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DFCAD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119D3C5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Plani i Veprimit</w:t>
            </w:r>
          </w:p>
        </w:tc>
        <w:tc>
          <w:tcPr>
            <w:tcW w:w="661" w:type="pct"/>
            <w:tcBorders>
              <w:top w:val="nil"/>
              <w:left w:val="nil"/>
              <w:bottom w:val="single" w:sz="4" w:space="0" w:color="auto"/>
              <w:right w:val="single" w:sz="4" w:space="0" w:color="auto"/>
            </w:tcBorders>
            <w:shd w:val="clear" w:color="FFFFFF" w:fill="FFFFFF"/>
            <w:vAlign w:val="center"/>
            <w:hideMark/>
          </w:tcPr>
          <w:p w14:paraId="5820F3C7" w14:textId="42FC5AC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Peshkimit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03350425"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23ECB3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AB571C0" w14:textId="67A75D2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 "Për përgatitjen e Planit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Kombëtar të veprimit në zbatim të Politikës së Kohezionit 2021-2027 në Shqipëri"</w:t>
            </w:r>
          </w:p>
        </w:tc>
        <w:tc>
          <w:tcPr>
            <w:tcW w:w="330" w:type="pct"/>
            <w:tcBorders>
              <w:top w:val="nil"/>
              <w:left w:val="nil"/>
              <w:bottom w:val="single" w:sz="4" w:space="0" w:color="auto"/>
              <w:right w:val="single" w:sz="4" w:space="0" w:color="auto"/>
            </w:tcBorders>
            <w:shd w:val="clear" w:color="FFFFFF" w:fill="FFFFFF"/>
            <w:vAlign w:val="center"/>
            <w:hideMark/>
          </w:tcPr>
          <w:p w14:paraId="2DD9C0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Plani i veprimi i detajuar me afate kohore, duke përcaktuar objektivat dhe afatet e qarta për të adresuar mangësitë e identifikuara në përmbushjen e kërkesave që rrjedhin nga politika e kohezionit të BE-së</w:t>
            </w:r>
          </w:p>
        </w:tc>
        <w:tc>
          <w:tcPr>
            <w:tcW w:w="126" w:type="pct"/>
            <w:tcBorders>
              <w:top w:val="nil"/>
              <w:left w:val="nil"/>
              <w:bottom w:val="single" w:sz="4" w:space="0" w:color="auto"/>
              <w:right w:val="single" w:sz="4" w:space="0" w:color="auto"/>
            </w:tcBorders>
            <w:shd w:val="clear" w:color="FFFFFF" w:fill="FFFFFF"/>
            <w:vAlign w:val="center"/>
            <w:hideMark/>
          </w:tcPr>
          <w:p w14:paraId="15B2EC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C2853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021EF7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7918390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1505D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731412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41B0DDD" w14:textId="3DDBF307"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380 </w:t>
            </w:r>
          </w:p>
        </w:tc>
        <w:tc>
          <w:tcPr>
            <w:tcW w:w="126" w:type="pct"/>
            <w:tcBorders>
              <w:top w:val="nil"/>
              <w:left w:val="nil"/>
              <w:bottom w:val="single" w:sz="4" w:space="0" w:color="auto"/>
              <w:right w:val="single" w:sz="4" w:space="0" w:color="auto"/>
            </w:tcBorders>
            <w:shd w:val="clear" w:color="FFFFFF" w:fill="FFFFFF"/>
            <w:vAlign w:val="center"/>
            <w:hideMark/>
          </w:tcPr>
          <w:p w14:paraId="7CEFC8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5F741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995F4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D571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F5E76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5E9A6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12EA2EA"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9688E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3B3431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5C68FB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2820A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Ngritja e Komitetit Kombëtar</w:t>
            </w:r>
          </w:p>
        </w:tc>
        <w:tc>
          <w:tcPr>
            <w:tcW w:w="661" w:type="pct"/>
            <w:tcBorders>
              <w:top w:val="nil"/>
              <w:left w:val="nil"/>
              <w:bottom w:val="single" w:sz="4" w:space="0" w:color="auto"/>
              <w:right w:val="single" w:sz="4" w:space="0" w:color="auto"/>
            </w:tcBorders>
            <w:shd w:val="clear" w:color="FFFFFF" w:fill="FFFFFF"/>
            <w:vAlign w:val="center"/>
            <w:hideMark/>
          </w:tcPr>
          <w:p w14:paraId="11D77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2021/1059 e Parlamentit Evropian dhe e Këshillit e datës 24 qershor 2021 mbi dispozita specifike për qëllimin e bashkëpunimit territorial evropian (Interreg) të mbështetur nga Fondi Evropian i Zhvillimit Rajonal dhe instrumentet e financimit të jashtëm</w:t>
            </w:r>
          </w:p>
        </w:tc>
        <w:tc>
          <w:tcPr>
            <w:tcW w:w="668" w:type="pct"/>
            <w:tcBorders>
              <w:top w:val="nil"/>
              <w:left w:val="nil"/>
              <w:bottom w:val="single" w:sz="4" w:space="0" w:color="auto"/>
              <w:right w:val="single" w:sz="4" w:space="0" w:color="auto"/>
            </w:tcBorders>
            <w:shd w:val="clear" w:color="FFFFFF" w:fill="FFFFFF"/>
            <w:vAlign w:val="center"/>
            <w:hideMark/>
          </w:tcPr>
          <w:p w14:paraId="1123B362"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http://data.europa.eu/eli/reg/2021/1059/oj</w:t>
            </w:r>
          </w:p>
        </w:tc>
        <w:tc>
          <w:tcPr>
            <w:tcW w:w="506" w:type="pct"/>
            <w:tcBorders>
              <w:top w:val="nil"/>
              <w:left w:val="nil"/>
              <w:bottom w:val="single" w:sz="4" w:space="0" w:color="auto"/>
              <w:right w:val="single" w:sz="4" w:space="0" w:color="auto"/>
            </w:tcBorders>
            <w:shd w:val="clear" w:color="FFFFFF" w:fill="FFFFFF"/>
            <w:vAlign w:val="center"/>
            <w:hideMark/>
          </w:tcPr>
          <w:p w14:paraId="21A560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607363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 "Për ngritjen e Komitetit Kombëtar për Bashkëpunimin Territorial Evropian"</w:t>
            </w:r>
          </w:p>
        </w:tc>
        <w:tc>
          <w:tcPr>
            <w:tcW w:w="330" w:type="pct"/>
            <w:tcBorders>
              <w:top w:val="nil"/>
              <w:left w:val="nil"/>
              <w:bottom w:val="single" w:sz="4" w:space="0" w:color="auto"/>
              <w:right w:val="single" w:sz="4" w:space="0" w:color="auto"/>
            </w:tcBorders>
            <w:shd w:val="clear" w:color="FFFFFF" w:fill="FFFFFF"/>
            <w:vAlign w:val="center"/>
            <w:hideMark/>
          </w:tcPr>
          <w:p w14:paraId="45BCA8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Krijimi i Komitetit Kombëtar për Bashkëpunimin Territorial Evropian</w:t>
            </w:r>
          </w:p>
        </w:tc>
        <w:tc>
          <w:tcPr>
            <w:tcW w:w="126" w:type="pct"/>
            <w:tcBorders>
              <w:top w:val="nil"/>
              <w:left w:val="nil"/>
              <w:bottom w:val="single" w:sz="4" w:space="0" w:color="auto"/>
              <w:right w:val="single" w:sz="4" w:space="0" w:color="auto"/>
            </w:tcBorders>
            <w:shd w:val="clear" w:color="FFFFFF" w:fill="FFFFFF"/>
            <w:vAlign w:val="center"/>
            <w:hideMark/>
          </w:tcPr>
          <w:p w14:paraId="719BD4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022245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7DC65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5D31704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CAE17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4DD61D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A2D014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380</w:t>
            </w:r>
          </w:p>
        </w:tc>
        <w:tc>
          <w:tcPr>
            <w:tcW w:w="126" w:type="pct"/>
            <w:tcBorders>
              <w:top w:val="nil"/>
              <w:left w:val="nil"/>
              <w:bottom w:val="single" w:sz="4" w:space="0" w:color="auto"/>
              <w:right w:val="single" w:sz="4" w:space="0" w:color="auto"/>
            </w:tcBorders>
            <w:shd w:val="clear" w:color="FFFFFF" w:fill="FFFFFF"/>
            <w:vAlign w:val="center"/>
            <w:hideMark/>
          </w:tcPr>
          <w:p w14:paraId="1B9709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0C5899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E0329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A5C7F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A377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F2533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983E40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52CA1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5C3BC78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7C6313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FFDBC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Metodologjia për ngrtjen e kapaciteteve</w:t>
            </w:r>
          </w:p>
        </w:tc>
        <w:tc>
          <w:tcPr>
            <w:tcW w:w="661" w:type="pct"/>
            <w:tcBorders>
              <w:top w:val="nil"/>
              <w:left w:val="nil"/>
              <w:bottom w:val="single" w:sz="4" w:space="0" w:color="auto"/>
              <w:right w:val="single" w:sz="4" w:space="0" w:color="auto"/>
            </w:tcBorders>
            <w:shd w:val="clear" w:color="FFFFFF" w:fill="FFFFFF"/>
            <w:vAlign w:val="center"/>
            <w:hideMark/>
          </w:tcPr>
          <w:p w14:paraId="44273CB1" w14:textId="425BE3A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30503223"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0FA028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0E3AE0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 "Për miratimin e Metodologjisë për ngritjen e kapaciteteve në institucionet qendrore dhe vendore për të mbuluar Objektivat e Politikave të Kohezionit"</w:t>
            </w:r>
          </w:p>
        </w:tc>
        <w:tc>
          <w:tcPr>
            <w:tcW w:w="330" w:type="pct"/>
            <w:tcBorders>
              <w:top w:val="nil"/>
              <w:left w:val="nil"/>
              <w:bottom w:val="single" w:sz="4" w:space="0" w:color="auto"/>
              <w:right w:val="single" w:sz="4" w:space="0" w:color="auto"/>
            </w:tcBorders>
            <w:shd w:val="clear" w:color="FFFFFF" w:fill="FFFFFF"/>
            <w:vAlign w:val="center"/>
            <w:hideMark/>
          </w:tcPr>
          <w:p w14:paraId="03BF4887" w14:textId="54B681FF"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Metodologjia për ngritjen e kapaciteteve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 xml:space="preserve">në nivel qendror dhe lokal sipas objektivave specifike të politikës së kohezionit, bazuar në kategorizimin e detyrave/përvojës si: </w:t>
            </w:r>
            <w:r w:rsidRPr="006D6BE5">
              <w:rPr>
                <w:rFonts w:ascii="Arial" w:hAnsi="Arial" w:cs="Arial"/>
                <w:color w:val="000000"/>
                <w:sz w:val="4"/>
                <w:szCs w:val="8"/>
                <w:lang w:val="sq-AL"/>
              </w:rPr>
              <w:br/>
              <w:t>- Përgatitja e dokumenteve strategjike dhe planifikuese (strategjive dhe planeve të veprimit) dhe dokumenteve programuese;</w:t>
            </w:r>
            <w:r w:rsidRPr="006D6BE5">
              <w:rPr>
                <w:rFonts w:ascii="Arial" w:hAnsi="Arial" w:cs="Arial"/>
                <w:color w:val="000000"/>
                <w:sz w:val="4"/>
                <w:szCs w:val="8"/>
                <w:lang w:val="sq-AL"/>
              </w:rPr>
              <w:br/>
              <w:t xml:space="preserve">- Përvojë në zbatimin e masave dhe ndërhyrjeve të përcaktuara në dokumentet strategjike, planifikuese dhe programuese; </w:t>
            </w:r>
            <w:r w:rsidRPr="006D6BE5">
              <w:rPr>
                <w:rFonts w:ascii="Arial" w:hAnsi="Arial" w:cs="Arial"/>
                <w:color w:val="000000"/>
                <w:sz w:val="4"/>
                <w:szCs w:val="8"/>
                <w:lang w:val="sq-AL"/>
              </w:rPr>
              <w:br/>
              <w:t>- Përvojë në monitorimin dhe vlerësimin e zbatimit, kontrollit dhe vlerësimit të dokumenteve strategjike, planifikuese dhe programuese;</w:t>
            </w:r>
            <w:r w:rsidRPr="006D6BE5">
              <w:rPr>
                <w:rFonts w:ascii="Arial" w:hAnsi="Arial" w:cs="Arial"/>
                <w:color w:val="000000"/>
                <w:sz w:val="4"/>
                <w:szCs w:val="8"/>
                <w:lang w:val="sq-AL"/>
              </w:rPr>
              <w:br/>
              <w:t>- Eksperiencë në përgatitjen e dokumenteve për miratimit e Skemës së Ndihmës Shtetërore apo investimeve</w:t>
            </w:r>
          </w:p>
        </w:tc>
        <w:tc>
          <w:tcPr>
            <w:tcW w:w="126" w:type="pct"/>
            <w:tcBorders>
              <w:top w:val="nil"/>
              <w:left w:val="nil"/>
              <w:bottom w:val="single" w:sz="4" w:space="0" w:color="auto"/>
              <w:right w:val="single" w:sz="4" w:space="0" w:color="auto"/>
            </w:tcBorders>
            <w:shd w:val="clear" w:color="FFFFFF" w:fill="FFFFFF"/>
            <w:vAlign w:val="center"/>
            <w:hideMark/>
          </w:tcPr>
          <w:p w14:paraId="5C4E21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C6C2AD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1CB4A4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5908F23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740B6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18B528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8D762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2,280 </w:t>
            </w:r>
          </w:p>
        </w:tc>
        <w:tc>
          <w:tcPr>
            <w:tcW w:w="126" w:type="pct"/>
            <w:tcBorders>
              <w:top w:val="nil"/>
              <w:left w:val="nil"/>
              <w:bottom w:val="single" w:sz="4" w:space="0" w:color="auto"/>
              <w:right w:val="single" w:sz="4" w:space="0" w:color="auto"/>
            </w:tcBorders>
            <w:shd w:val="clear" w:color="FFFFFF" w:fill="FFFFFF"/>
            <w:vAlign w:val="center"/>
            <w:hideMark/>
          </w:tcPr>
          <w:p w14:paraId="79DB09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631900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12782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3B51B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5E0106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FE2C3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8A3D1B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3D05E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3BCAF7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7490EE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70D2B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Metodologjia për zbatimin e Parimit të Partneritetit </w:t>
            </w:r>
          </w:p>
        </w:tc>
        <w:tc>
          <w:tcPr>
            <w:tcW w:w="661" w:type="pct"/>
            <w:tcBorders>
              <w:top w:val="nil"/>
              <w:left w:val="nil"/>
              <w:bottom w:val="single" w:sz="4" w:space="0" w:color="auto"/>
              <w:right w:val="single" w:sz="4" w:space="0" w:color="auto"/>
            </w:tcBorders>
            <w:shd w:val="clear" w:color="FFFFFF" w:fill="FFFFFF"/>
            <w:vAlign w:val="center"/>
            <w:hideMark/>
          </w:tcPr>
          <w:p w14:paraId="4F5CFF8B" w14:textId="13D8AD5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3DC45CBA"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31260E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1BFDC6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Kyreministrit "Për miratimin e Metodologjisë për zbatimin e Parimit të Partneritetit në përputhje me Kodin Evropian të Sjelljes për Partneritetin"</w:t>
            </w:r>
          </w:p>
        </w:tc>
        <w:tc>
          <w:tcPr>
            <w:tcW w:w="330" w:type="pct"/>
            <w:tcBorders>
              <w:top w:val="nil"/>
              <w:left w:val="nil"/>
              <w:bottom w:val="single" w:sz="4" w:space="0" w:color="auto"/>
              <w:right w:val="single" w:sz="4" w:space="0" w:color="auto"/>
            </w:tcBorders>
            <w:shd w:val="clear" w:color="FFFFFF" w:fill="FFFFFF"/>
            <w:vAlign w:val="center"/>
            <w:hideMark/>
          </w:tcPr>
          <w:p w14:paraId="71BFA1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Metodologjia për zbatimin e Parimit të Partneritetit, në përputhje me Kodin Evropian të Sjelljes për Partneritetin</w:t>
            </w:r>
          </w:p>
        </w:tc>
        <w:tc>
          <w:tcPr>
            <w:tcW w:w="126" w:type="pct"/>
            <w:tcBorders>
              <w:top w:val="nil"/>
              <w:left w:val="nil"/>
              <w:bottom w:val="single" w:sz="4" w:space="0" w:color="auto"/>
              <w:right w:val="single" w:sz="4" w:space="0" w:color="auto"/>
            </w:tcBorders>
            <w:shd w:val="clear" w:color="FFFFFF" w:fill="FFFFFF"/>
            <w:vAlign w:val="center"/>
            <w:hideMark/>
          </w:tcPr>
          <w:p w14:paraId="5F942F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302237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1417D0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70B979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167D3C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5D995B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F5064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1,040 </w:t>
            </w:r>
          </w:p>
        </w:tc>
        <w:tc>
          <w:tcPr>
            <w:tcW w:w="126" w:type="pct"/>
            <w:tcBorders>
              <w:top w:val="nil"/>
              <w:left w:val="nil"/>
              <w:bottom w:val="single" w:sz="4" w:space="0" w:color="auto"/>
              <w:right w:val="single" w:sz="4" w:space="0" w:color="auto"/>
            </w:tcBorders>
            <w:shd w:val="clear" w:color="FFFFFF" w:fill="FFFFFF"/>
            <w:vAlign w:val="center"/>
            <w:hideMark/>
          </w:tcPr>
          <w:p w14:paraId="2A3D9F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90FBC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BBC04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6F817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6A0A5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C0861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12BC93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FB068A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6DAB20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59083F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2C82ABA7" w14:textId="064239DD"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Zbatimi</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i mekanizmave për zhvillimin territorial</w:t>
            </w:r>
          </w:p>
        </w:tc>
        <w:tc>
          <w:tcPr>
            <w:tcW w:w="661" w:type="pct"/>
            <w:tcBorders>
              <w:top w:val="nil"/>
              <w:left w:val="nil"/>
              <w:bottom w:val="single" w:sz="4" w:space="0" w:color="auto"/>
              <w:right w:val="single" w:sz="4" w:space="0" w:color="auto"/>
            </w:tcBorders>
            <w:shd w:val="clear" w:color="FFFFFF" w:fill="FFFFFF"/>
            <w:vAlign w:val="center"/>
            <w:hideMark/>
          </w:tcPr>
          <w:p w14:paraId="2BFFE5A9" w14:textId="1BD4C4EE"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131A3C85" w14:textId="77777777" w:rsidR="00482167" w:rsidRPr="006D6BE5" w:rsidRDefault="00E63D69" w:rsidP="00A7241A">
            <w:pPr>
              <w:rPr>
                <w:rFonts w:ascii="Arial" w:hAnsi="Arial" w:cs="Arial"/>
                <w:color w:val="0563C1"/>
                <w:sz w:val="4"/>
                <w:szCs w:val="8"/>
                <w:u w:val="single"/>
                <w:lang w:val="sq-AL"/>
              </w:rPr>
            </w:pPr>
            <w:hyperlink r:id="rId289" w:history="1">
              <w:r w:rsidR="00482167" w:rsidRPr="006D6BE5">
                <w:rPr>
                  <w:rFonts w:ascii="Arial" w:hAnsi="Arial" w:cs="Arial"/>
                  <w:color w:val="0563C1"/>
                  <w:sz w:val="4"/>
                  <w:szCs w:val="8"/>
                  <w:u w:val="single"/>
                  <w:lang w:val="sq-AL"/>
                </w:rPr>
                <w:t>http://data.europa.eu/eli/reg/2021/1060/oj</w:t>
              </w:r>
            </w:hyperlink>
          </w:p>
        </w:tc>
        <w:tc>
          <w:tcPr>
            <w:tcW w:w="506" w:type="pct"/>
            <w:tcBorders>
              <w:top w:val="nil"/>
              <w:left w:val="nil"/>
              <w:bottom w:val="single" w:sz="4" w:space="0" w:color="auto"/>
              <w:right w:val="single" w:sz="4" w:space="0" w:color="auto"/>
            </w:tcBorders>
            <w:shd w:val="clear" w:color="FFFFFF" w:fill="FFFFFF"/>
            <w:vAlign w:val="center"/>
            <w:hideMark/>
          </w:tcPr>
          <w:p w14:paraId="70906FA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018B32F" w14:textId="560D21F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"Udhërrëfyesi për zbatimin</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e mekanizmave të nevojshëm për zhvillimin territorial"</w:t>
            </w:r>
          </w:p>
        </w:tc>
        <w:tc>
          <w:tcPr>
            <w:tcW w:w="330" w:type="pct"/>
            <w:tcBorders>
              <w:top w:val="nil"/>
              <w:left w:val="nil"/>
              <w:bottom w:val="single" w:sz="4" w:space="0" w:color="auto"/>
              <w:right w:val="single" w:sz="4" w:space="0" w:color="auto"/>
            </w:tcBorders>
            <w:shd w:val="clear" w:color="auto" w:fill="auto"/>
            <w:vAlign w:val="center"/>
            <w:hideMark/>
          </w:tcPr>
          <w:p w14:paraId="7E9EF7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Ngritja e strukturave dhe kapaciteve për përfitimin e fondeve strukturore.</w:t>
            </w:r>
          </w:p>
        </w:tc>
        <w:tc>
          <w:tcPr>
            <w:tcW w:w="126" w:type="pct"/>
            <w:tcBorders>
              <w:top w:val="nil"/>
              <w:left w:val="nil"/>
              <w:bottom w:val="single" w:sz="4" w:space="0" w:color="auto"/>
              <w:right w:val="single" w:sz="4" w:space="0" w:color="auto"/>
            </w:tcBorders>
            <w:shd w:val="clear" w:color="FFFFFF" w:fill="FFFFFF"/>
            <w:vAlign w:val="center"/>
            <w:hideMark/>
          </w:tcPr>
          <w:p w14:paraId="338DAD9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D48F0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523ED0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4ED406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706219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14464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37CF20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02508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780</w:t>
            </w:r>
          </w:p>
        </w:tc>
        <w:tc>
          <w:tcPr>
            <w:tcW w:w="117" w:type="pct"/>
            <w:tcBorders>
              <w:top w:val="nil"/>
              <w:left w:val="nil"/>
              <w:bottom w:val="single" w:sz="4" w:space="0" w:color="auto"/>
              <w:right w:val="single" w:sz="4" w:space="0" w:color="auto"/>
            </w:tcBorders>
            <w:shd w:val="clear" w:color="FFFFFF" w:fill="FFFFFF"/>
            <w:vAlign w:val="center"/>
            <w:hideMark/>
          </w:tcPr>
          <w:p w14:paraId="47B5AE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FEBE7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13A6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4E42F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108297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6BE8EB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7D24C8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79CE5D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7CE54F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42FE8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Bordet monitoruese</w:t>
            </w:r>
          </w:p>
        </w:tc>
        <w:tc>
          <w:tcPr>
            <w:tcW w:w="661" w:type="pct"/>
            <w:tcBorders>
              <w:top w:val="nil"/>
              <w:left w:val="nil"/>
              <w:bottom w:val="single" w:sz="4" w:space="0" w:color="auto"/>
              <w:right w:val="single" w:sz="4" w:space="0" w:color="auto"/>
            </w:tcBorders>
            <w:shd w:val="clear" w:color="FFFFFF" w:fill="FFFFFF"/>
            <w:vAlign w:val="center"/>
            <w:hideMark/>
          </w:tcPr>
          <w:p w14:paraId="3CE76E48" w14:textId="23CAD48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157E9547" w14:textId="77777777" w:rsidR="00482167" w:rsidRPr="006D6BE5" w:rsidRDefault="00E63D69" w:rsidP="00A7241A">
            <w:pPr>
              <w:rPr>
                <w:rFonts w:ascii="Arial" w:hAnsi="Arial" w:cs="Arial"/>
                <w:color w:val="0563C1"/>
                <w:sz w:val="4"/>
                <w:szCs w:val="8"/>
                <w:u w:val="single"/>
                <w:lang w:val="sq-AL"/>
              </w:rPr>
            </w:pPr>
            <w:hyperlink r:id="rId290" w:history="1">
              <w:r w:rsidR="00482167" w:rsidRPr="006D6BE5">
                <w:rPr>
                  <w:rFonts w:ascii="Arial" w:hAnsi="Arial" w:cs="Arial"/>
                  <w:color w:val="0563C1"/>
                  <w:sz w:val="4"/>
                  <w:szCs w:val="8"/>
                  <w:u w:val="single"/>
                  <w:lang w:val="sq-AL"/>
                </w:rPr>
                <w:t>http://data.europa.eu/eli/reg/2021/1060/oj</w:t>
              </w:r>
            </w:hyperlink>
          </w:p>
        </w:tc>
        <w:tc>
          <w:tcPr>
            <w:tcW w:w="506" w:type="pct"/>
            <w:tcBorders>
              <w:top w:val="nil"/>
              <w:left w:val="nil"/>
              <w:bottom w:val="single" w:sz="4" w:space="0" w:color="auto"/>
              <w:right w:val="single" w:sz="4" w:space="0" w:color="auto"/>
            </w:tcBorders>
            <w:shd w:val="clear" w:color="FFFFFF" w:fill="FFFFFF"/>
            <w:vAlign w:val="center"/>
            <w:hideMark/>
          </w:tcPr>
          <w:p w14:paraId="343185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6AD9A9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 "Për Krijimin e Bordit të Monitorimit për Zhvillimin Rajonal"</w:t>
            </w:r>
          </w:p>
        </w:tc>
        <w:tc>
          <w:tcPr>
            <w:tcW w:w="330" w:type="pct"/>
            <w:tcBorders>
              <w:top w:val="nil"/>
              <w:left w:val="nil"/>
              <w:bottom w:val="single" w:sz="4" w:space="0" w:color="auto"/>
              <w:right w:val="single" w:sz="4" w:space="0" w:color="auto"/>
            </w:tcBorders>
            <w:shd w:val="clear" w:color="FFFFFF" w:fill="FFFFFF"/>
            <w:vAlign w:val="center"/>
            <w:hideMark/>
          </w:tcPr>
          <w:p w14:paraId="3B5AB8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Krijimi i Bordeve Monitoruese Rajonale për Zhvillimin Rajonal</w:t>
            </w:r>
          </w:p>
        </w:tc>
        <w:tc>
          <w:tcPr>
            <w:tcW w:w="126" w:type="pct"/>
            <w:tcBorders>
              <w:top w:val="nil"/>
              <w:left w:val="nil"/>
              <w:bottom w:val="single" w:sz="4" w:space="0" w:color="auto"/>
              <w:right w:val="single" w:sz="4" w:space="0" w:color="auto"/>
            </w:tcBorders>
            <w:shd w:val="clear" w:color="FFFFFF" w:fill="FFFFFF"/>
            <w:vAlign w:val="center"/>
            <w:hideMark/>
          </w:tcPr>
          <w:p w14:paraId="2270A0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55D232D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7BF562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MSHPV</w:t>
            </w:r>
          </w:p>
        </w:tc>
        <w:tc>
          <w:tcPr>
            <w:tcW w:w="113" w:type="pct"/>
            <w:tcBorders>
              <w:top w:val="nil"/>
              <w:left w:val="nil"/>
              <w:bottom w:val="single" w:sz="4" w:space="0" w:color="auto"/>
              <w:right w:val="single" w:sz="4" w:space="0" w:color="auto"/>
            </w:tcBorders>
            <w:shd w:val="clear" w:color="FFFFFF" w:fill="FFFFFF"/>
            <w:vAlign w:val="center"/>
            <w:hideMark/>
          </w:tcPr>
          <w:p w14:paraId="0FC9426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704100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31E89E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4242D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B049C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780</w:t>
            </w:r>
          </w:p>
        </w:tc>
        <w:tc>
          <w:tcPr>
            <w:tcW w:w="117" w:type="pct"/>
            <w:tcBorders>
              <w:top w:val="nil"/>
              <w:left w:val="nil"/>
              <w:bottom w:val="single" w:sz="4" w:space="0" w:color="auto"/>
              <w:right w:val="single" w:sz="4" w:space="0" w:color="auto"/>
            </w:tcBorders>
            <w:shd w:val="clear" w:color="FFFFFF" w:fill="FFFFFF"/>
            <w:vAlign w:val="center"/>
            <w:hideMark/>
          </w:tcPr>
          <w:p w14:paraId="3AF680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DB424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2F0C0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91297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93B65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781BE01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77609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465FF9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AE3BC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3DD6741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Metodologjia për korrigjimet financiare</w:t>
            </w:r>
          </w:p>
        </w:tc>
        <w:tc>
          <w:tcPr>
            <w:tcW w:w="661" w:type="pct"/>
            <w:tcBorders>
              <w:top w:val="nil"/>
              <w:left w:val="nil"/>
              <w:bottom w:val="single" w:sz="4" w:space="0" w:color="auto"/>
              <w:right w:val="single" w:sz="4" w:space="0" w:color="auto"/>
            </w:tcBorders>
            <w:shd w:val="clear" w:color="FFFFFF" w:fill="FFFFFF"/>
            <w:vAlign w:val="center"/>
            <w:hideMark/>
          </w:tcPr>
          <w:p w14:paraId="672FFD67" w14:textId="4FCA8FC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371945F7"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5F9DDDA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464C85F0" w14:textId="3B823C4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Projekturdhër i Ministrit të Financave dhe të Ekonomisë "Mbi metodologjinë për korrigjimet financiare në rastet kur</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shpenzimet e deklaruara në Komisionin Evropian gjenden të parregullta"</w:t>
            </w:r>
          </w:p>
        </w:tc>
        <w:tc>
          <w:tcPr>
            <w:tcW w:w="330" w:type="pct"/>
            <w:tcBorders>
              <w:top w:val="nil"/>
              <w:left w:val="nil"/>
              <w:bottom w:val="single" w:sz="4" w:space="0" w:color="auto"/>
              <w:right w:val="single" w:sz="4" w:space="0" w:color="auto"/>
            </w:tcBorders>
            <w:shd w:val="clear" w:color="FFFFFF" w:fill="FFFFFF"/>
            <w:vAlign w:val="center"/>
            <w:hideMark/>
          </w:tcPr>
          <w:p w14:paraId="00BB2C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Metodologjia për korrigjimet financiare kur shpenzimet e deklaruara në Komisionin Evropian janë gjetur të parregullta</w:t>
            </w:r>
          </w:p>
        </w:tc>
        <w:tc>
          <w:tcPr>
            <w:tcW w:w="126" w:type="pct"/>
            <w:tcBorders>
              <w:top w:val="nil"/>
              <w:left w:val="nil"/>
              <w:bottom w:val="single" w:sz="4" w:space="0" w:color="auto"/>
              <w:right w:val="single" w:sz="4" w:space="0" w:color="auto"/>
            </w:tcBorders>
            <w:shd w:val="clear" w:color="FFFFFF" w:fill="FFFFFF"/>
            <w:vAlign w:val="center"/>
            <w:hideMark/>
          </w:tcPr>
          <w:p w14:paraId="279C26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C82B0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2CBA04D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77578D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4E5A2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28AA371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51091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7B15A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780</w:t>
            </w:r>
          </w:p>
        </w:tc>
        <w:tc>
          <w:tcPr>
            <w:tcW w:w="117" w:type="pct"/>
            <w:tcBorders>
              <w:top w:val="nil"/>
              <w:left w:val="nil"/>
              <w:bottom w:val="single" w:sz="4" w:space="0" w:color="auto"/>
              <w:right w:val="single" w:sz="4" w:space="0" w:color="auto"/>
            </w:tcBorders>
            <w:shd w:val="clear" w:color="FFFFFF" w:fill="FFFFFF"/>
            <w:vAlign w:val="center"/>
            <w:hideMark/>
          </w:tcPr>
          <w:p w14:paraId="39E184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1BA319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B07C94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4C25F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FCEB5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C1F209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06FFD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436CB8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3CF76C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B035AD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Trupi Koordinues</w:t>
            </w:r>
          </w:p>
        </w:tc>
        <w:tc>
          <w:tcPr>
            <w:tcW w:w="661" w:type="pct"/>
            <w:tcBorders>
              <w:top w:val="nil"/>
              <w:left w:val="nil"/>
              <w:bottom w:val="single" w:sz="4" w:space="0" w:color="auto"/>
              <w:right w:val="single" w:sz="4" w:space="0" w:color="auto"/>
            </w:tcBorders>
            <w:shd w:val="clear" w:color="FFFFFF" w:fill="FFFFFF"/>
            <w:vAlign w:val="center"/>
            <w:hideMark/>
          </w:tcPr>
          <w:p w14:paraId="4AC07D70" w14:textId="6C5C181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5599066E"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6A9894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7A86244D" w14:textId="6C418E3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krijimin e një strukture koordinuese me Komisionin, raportuese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koordinuese për aktivitetet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aktivitetet e autoriteteve programuese"</w:t>
            </w:r>
          </w:p>
        </w:tc>
        <w:tc>
          <w:tcPr>
            <w:tcW w:w="330" w:type="pct"/>
            <w:tcBorders>
              <w:top w:val="nil"/>
              <w:left w:val="nil"/>
              <w:bottom w:val="single" w:sz="4" w:space="0" w:color="auto"/>
              <w:right w:val="single" w:sz="4" w:space="0" w:color="auto"/>
            </w:tcBorders>
            <w:shd w:val="clear" w:color="FFFFFF" w:fill="FFFFFF"/>
            <w:vAlign w:val="center"/>
            <w:hideMark/>
          </w:tcPr>
          <w:p w14:paraId="072B9F7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Krijimi i një Trupi Koordinues me Komisionin, për t'i ofruar atij informacion dhe për të koordinuar aktivitetet e Autoriteteve Programuese </w:t>
            </w:r>
          </w:p>
        </w:tc>
        <w:tc>
          <w:tcPr>
            <w:tcW w:w="126" w:type="pct"/>
            <w:tcBorders>
              <w:top w:val="nil"/>
              <w:left w:val="nil"/>
              <w:bottom w:val="single" w:sz="4" w:space="0" w:color="auto"/>
              <w:right w:val="single" w:sz="4" w:space="0" w:color="auto"/>
            </w:tcBorders>
            <w:shd w:val="clear" w:color="FFFFFF" w:fill="FFFFFF"/>
            <w:vAlign w:val="center"/>
            <w:hideMark/>
          </w:tcPr>
          <w:p w14:paraId="2F90D3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621AFF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40C2CD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0C62D9B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4746E2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55BCD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DDE85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4CBF79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380</w:t>
            </w:r>
          </w:p>
        </w:tc>
        <w:tc>
          <w:tcPr>
            <w:tcW w:w="117" w:type="pct"/>
            <w:tcBorders>
              <w:top w:val="nil"/>
              <w:left w:val="nil"/>
              <w:bottom w:val="single" w:sz="4" w:space="0" w:color="auto"/>
              <w:right w:val="single" w:sz="4" w:space="0" w:color="auto"/>
            </w:tcBorders>
            <w:shd w:val="clear" w:color="FFFFFF" w:fill="FFFFFF"/>
            <w:vAlign w:val="center"/>
            <w:hideMark/>
          </w:tcPr>
          <w:p w14:paraId="689CDC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4CCCB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FA3DD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C6BA7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91455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58993F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13194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162357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4E358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0BE66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Planet Rajonale</w:t>
            </w:r>
          </w:p>
        </w:tc>
        <w:tc>
          <w:tcPr>
            <w:tcW w:w="661" w:type="pct"/>
            <w:tcBorders>
              <w:top w:val="nil"/>
              <w:left w:val="nil"/>
              <w:bottom w:val="single" w:sz="4" w:space="0" w:color="auto"/>
              <w:right w:val="single" w:sz="4" w:space="0" w:color="auto"/>
            </w:tcBorders>
            <w:shd w:val="clear" w:color="FFFFFF" w:fill="FFFFFF"/>
            <w:vAlign w:val="center"/>
            <w:hideMark/>
          </w:tcPr>
          <w:p w14:paraId="2366540A" w14:textId="5B00F63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27B2B77C"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0E35E9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5534B76" w14:textId="589E9BA6"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"Planet</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Rajonale të Zhvillimit të Kohezionit"</w:t>
            </w:r>
          </w:p>
        </w:tc>
        <w:tc>
          <w:tcPr>
            <w:tcW w:w="330" w:type="pct"/>
            <w:tcBorders>
              <w:top w:val="nil"/>
              <w:left w:val="nil"/>
              <w:bottom w:val="single" w:sz="4" w:space="0" w:color="auto"/>
              <w:right w:val="single" w:sz="4" w:space="0" w:color="auto"/>
            </w:tcBorders>
            <w:shd w:val="clear" w:color="auto" w:fill="auto"/>
            <w:vAlign w:val="center"/>
            <w:hideMark/>
          </w:tcPr>
          <w:p w14:paraId="2782BE61" w14:textId="67E5CDBC"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nevojave për investime me qëllim uljen e pabarazisë në këto rajone në përputhje me parimet Evropiane dhe kombëtare të zhvillimit rajonal</w:t>
            </w:r>
            <w:r w:rsidR="006D6BE5">
              <w:rPr>
                <w:rFonts w:ascii="Arial" w:hAnsi="Arial" w:cs="Arial"/>
                <w:color w:val="000000"/>
                <w:sz w:val="4"/>
                <w:szCs w:val="8"/>
                <w:lang w:val="sq-AL"/>
              </w:rPr>
              <w:t xml:space="preserve"> </w:t>
            </w:r>
          </w:p>
        </w:tc>
        <w:tc>
          <w:tcPr>
            <w:tcW w:w="126" w:type="pct"/>
            <w:tcBorders>
              <w:top w:val="nil"/>
              <w:left w:val="nil"/>
              <w:bottom w:val="single" w:sz="4" w:space="0" w:color="auto"/>
              <w:right w:val="single" w:sz="4" w:space="0" w:color="auto"/>
            </w:tcBorders>
            <w:shd w:val="clear" w:color="FFFFFF" w:fill="FFFFFF"/>
            <w:vAlign w:val="center"/>
            <w:hideMark/>
          </w:tcPr>
          <w:p w14:paraId="5DCE5C9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0C1EB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auto" w:fill="auto"/>
            <w:vAlign w:val="center"/>
            <w:hideMark/>
          </w:tcPr>
          <w:p w14:paraId="3A75BDD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MSHPV</w:t>
            </w:r>
          </w:p>
        </w:tc>
        <w:tc>
          <w:tcPr>
            <w:tcW w:w="113" w:type="pct"/>
            <w:tcBorders>
              <w:top w:val="nil"/>
              <w:left w:val="nil"/>
              <w:bottom w:val="single" w:sz="4" w:space="0" w:color="auto"/>
              <w:right w:val="single" w:sz="4" w:space="0" w:color="auto"/>
            </w:tcBorders>
            <w:shd w:val="clear" w:color="FFFFFF" w:fill="FFFFFF"/>
            <w:vAlign w:val="center"/>
            <w:hideMark/>
          </w:tcPr>
          <w:p w14:paraId="5200972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7BB2A56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F80472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73631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51509C3" w14:textId="1E67B8F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2,280 </w:t>
            </w:r>
          </w:p>
        </w:tc>
        <w:tc>
          <w:tcPr>
            <w:tcW w:w="117" w:type="pct"/>
            <w:tcBorders>
              <w:top w:val="nil"/>
              <w:left w:val="nil"/>
              <w:bottom w:val="single" w:sz="4" w:space="0" w:color="auto"/>
              <w:right w:val="single" w:sz="4" w:space="0" w:color="auto"/>
            </w:tcBorders>
            <w:shd w:val="clear" w:color="FFFFFF" w:fill="FFFFFF"/>
            <w:vAlign w:val="center"/>
            <w:hideMark/>
          </w:tcPr>
          <w:p w14:paraId="13243BA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01170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80C27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4FB6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E0F21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12696B8C"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9FE8E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35B446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00D43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7E15A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Udhërrëfyesi</w:t>
            </w:r>
          </w:p>
        </w:tc>
        <w:tc>
          <w:tcPr>
            <w:tcW w:w="661" w:type="pct"/>
            <w:tcBorders>
              <w:top w:val="nil"/>
              <w:left w:val="nil"/>
              <w:bottom w:val="single" w:sz="4" w:space="0" w:color="auto"/>
              <w:right w:val="single" w:sz="4" w:space="0" w:color="auto"/>
            </w:tcBorders>
            <w:shd w:val="clear" w:color="FFFFFF" w:fill="FFFFFF"/>
            <w:vAlign w:val="center"/>
            <w:hideMark/>
          </w:tcPr>
          <w:p w14:paraId="1B6779B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2021/1059 e Parlamentit Evropian dhe e Këshillit e datës 24 qershor 2021 mbi dispozita specifike për qëllimin e bashkëpunimit territorial evropian (Interreg) të mbështetur nga Fondi Evropian i Zhvillimit Rajonal dhe instrumentet e financimit të jashtëm</w:t>
            </w:r>
          </w:p>
        </w:tc>
        <w:tc>
          <w:tcPr>
            <w:tcW w:w="668" w:type="pct"/>
            <w:tcBorders>
              <w:top w:val="nil"/>
              <w:left w:val="nil"/>
              <w:bottom w:val="single" w:sz="4" w:space="0" w:color="auto"/>
              <w:right w:val="single" w:sz="4" w:space="0" w:color="auto"/>
            </w:tcBorders>
            <w:shd w:val="clear" w:color="FFFFFF" w:fill="FFFFFF"/>
            <w:vAlign w:val="center"/>
            <w:hideMark/>
          </w:tcPr>
          <w:p w14:paraId="6BB572EA"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http://data.europa.eu/eli/reg/2021/1059/oj</w:t>
            </w:r>
          </w:p>
        </w:tc>
        <w:tc>
          <w:tcPr>
            <w:tcW w:w="506" w:type="pct"/>
            <w:tcBorders>
              <w:top w:val="nil"/>
              <w:left w:val="nil"/>
              <w:bottom w:val="single" w:sz="4" w:space="0" w:color="auto"/>
              <w:right w:val="single" w:sz="4" w:space="0" w:color="auto"/>
            </w:tcBorders>
            <w:shd w:val="clear" w:color="FFFFFF" w:fill="FFFFFF"/>
            <w:vAlign w:val="center"/>
            <w:hideMark/>
          </w:tcPr>
          <w:p w14:paraId="2B066A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30309521" w14:textId="734D6436"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Projekturdhër i Drejtorit të Përgjithshëm</w:t>
            </w: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të SASPAC "Udhërrëfyesi mbi procedurën e përzgjedhjes së Autoritetit Menaxhues të</w:t>
            </w: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programeve të bashkëpunimit ndërkufituar "</w:t>
            </w:r>
          </w:p>
        </w:tc>
        <w:tc>
          <w:tcPr>
            <w:tcW w:w="330" w:type="pct"/>
            <w:tcBorders>
              <w:top w:val="nil"/>
              <w:left w:val="nil"/>
              <w:bottom w:val="single" w:sz="4" w:space="0" w:color="auto"/>
              <w:right w:val="single" w:sz="4" w:space="0" w:color="auto"/>
            </w:tcBorders>
            <w:shd w:val="clear" w:color="auto" w:fill="auto"/>
            <w:vAlign w:val="center"/>
            <w:hideMark/>
          </w:tcPr>
          <w:p w14:paraId="52D5EAA7" w14:textId="5AB19F35"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Procedura e përzgjedhjes</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si Autoriteti Menaxhues i një programi bashkëpunimi ndërkufitar që do të shërbejë si një ushtrim për të fituar kompetencat e nevojshme të Autoritetit Menaxhues në kaudër të politikës së kohezionit të parashikaura në Rregulloren 2021/1060 (Rregullore CPR)</w:t>
            </w:r>
          </w:p>
        </w:tc>
        <w:tc>
          <w:tcPr>
            <w:tcW w:w="126" w:type="pct"/>
            <w:tcBorders>
              <w:top w:val="nil"/>
              <w:left w:val="nil"/>
              <w:bottom w:val="single" w:sz="4" w:space="0" w:color="auto"/>
              <w:right w:val="single" w:sz="4" w:space="0" w:color="auto"/>
            </w:tcBorders>
            <w:shd w:val="clear" w:color="FFFFFF" w:fill="FFFFFF"/>
            <w:vAlign w:val="center"/>
            <w:hideMark/>
          </w:tcPr>
          <w:p w14:paraId="7397F6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27D604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587765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778B8E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3FD650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BEDA48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6CE4F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3DBF7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380</w:t>
            </w:r>
          </w:p>
        </w:tc>
        <w:tc>
          <w:tcPr>
            <w:tcW w:w="117" w:type="pct"/>
            <w:tcBorders>
              <w:top w:val="nil"/>
              <w:left w:val="nil"/>
              <w:bottom w:val="single" w:sz="4" w:space="0" w:color="auto"/>
              <w:right w:val="single" w:sz="4" w:space="0" w:color="auto"/>
            </w:tcBorders>
            <w:shd w:val="clear" w:color="FFFFFF" w:fill="FFFFFF"/>
            <w:vAlign w:val="center"/>
            <w:hideMark/>
          </w:tcPr>
          <w:p w14:paraId="18B2FE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5DE6B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0E156B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FC7D4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373E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3F90713"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14F85F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12D43A9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72D87A1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5D17A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e Kohezionit</w:t>
            </w:r>
          </w:p>
        </w:tc>
        <w:tc>
          <w:tcPr>
            <w:tcW w:w="661" w:type="pct"/>
            <w:tcBorders>
              <w:top w:val="nil"/>
              <w:left w:val="nil"/>
              <w:bottom w:val="single" w:sz="4" w:space="0" w:color="auto"/>
              <w:right w:val="single" w:sz="4" w:space="0" w:color="auto"/>
            </w:tcBorders>
            <w:shd w:val="clear" w:color="FFFFFF" w:fill="FFFFFF"/>
            <w:vAlign w:val="center"/>
            <w:hideMark/>
          </w:tcPr>
          <w:p w14:paraId="0051D9E7" w14:textId="00A47FE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5F21189B"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13B9DA2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BF335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Ministrave"Udhërrëfyesi për Ngritjen e Kapaciteteve Administrative për Politikën e Kohezionit"</w:t>
            </w:r>
          </w:p>
        </w:tc>
        <w:tc>
          <w:tcPr>
            <w:tcW w:w="330" w:type="pct"/>
            <w:tcBorders>
              <w:top w:val="nil"/>
              <w:left w:val="nil"/>
              <w:bottom w:val="single" w:sz="4" w:space="0" w:color="auto"/>
              <w:right w:val="single" w:sz="4" w:space="0" w:color="auto"/>
            </w:tcBorders>
            <w:shd w:val="clear" w:color="auto" w:fill="auto"/>
            <w:vAlign w:val="center"/>
            <w:hideMark/>
          </w:tcPr>
          <w:p w14:paraId="1C5F25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Miratimi i Udhërrëfyesit për Ngritjen e Kapaciteteve Administrative që do u shërbejë të gjitha institucioneve shqitpare që do të përfshihen në procesin e përgatitjes dhe zbatimit të Politikës së Kohezionit në përputhje me Rregulloren 2021/1060 (Rregullore CPR)</w:t>
            </w:r>
          </w:p>
        </w:tc>
        <w:tc>
          <w:tcPr>
            <w:tcW w:w="126" w:type="pct"/>
            <w:tcBorders>
              <w:top w:val="nil"/>
              <w:left w:val="nil"/>
              <w:bottom w:val="single" w:sz="4" w:space="0" w:color="auto"/>
              <w:right w:val="single" w:sz="4" w:space="0" w:color="auto"/>
            </w:tcBorders>
            <w:shd w:val="clear" w:color="FFFFFF" w:fill="FFFFFF"/>
            <w:vAlign w:val="center"/>
            <w:hideMark/>
          </w:tcPr>
          <w:p w14:paraId="092BE9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74A0BCA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557242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1B6F62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1B33F4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333E2FA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3B699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3F2C4F3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380</w:t>
            </w:r>
          </w:p>
        </w:tc>
        <w:tc>
          <w:tcPr>
            <w:tcW w:w="117" w:type="pct"/>
            <w:tcBorders>
              <w:top w:val="nil"/>
              <w:left w:val="nil"/>
              <w:bottom w:val="single" w:sz="4" w:space="0" w:color="auto"/>
              <w:right w:val="single" w:sz="4" w:space="0" w:color="auto"/>
            </w:tcBorders>
            <w:shd w:val="clear" w:color="FFFFFF" w:fill="FFFFFF"/>
            <w:vAlign w:val="center"/>
            <w:hideMark/>
          </w:tcPr>
          <w:p w14:paraId="21E7F1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5A2229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B9E71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87749E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35BCD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4FD4B1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39119E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709C71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3CBB95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35C1F7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Ngritja e kuadrit të performancës</w:t>
            </w:r>
          </w:p>
        </w:tc>
        <w:tc>
          <w:tcPr>
            <w:tcW w:w="661" w:type="pct"/>
            <w:tcBorders>
              <w:top w:val="nil"/>
              <w:left w:val="nil"/>
              <w:bottom w:val="single" w:sz="4" w:space="0" w:color="auto"/>
              <w:right w:val="single" w:sz="4" w:space="0" w:color="auto"/>
            </w:tcBorders>
            <w:shd w:val="clear" w:color="FFFFFF" w:fill="FFFFFF"/>
            <w:vAlign w:val="center"/>
            <w:hideMark/>
          </w:tcPr>
          <w:p w14:paraId="002FE64F" w14:textId="103AC2A0"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48A32284"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356FF62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343E4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Projekturdhër i Kryeministrit "Miratimi i Udhërrëfyesit për ngritjen e kuadrit të performancës" </w:t>
            </w:r>
          </w:p>
        </w:tc>
        <w:tc>
          <w:tcPr>
            <w:tcW w:w="330" w:type="pct"/>
            <w:tcBorders>
              <w:top w:val="nil"/>
              <w:left w:val="nil"/>
              <w:bottom w:val="single" w:sz="4" w:space="0" w:color="auto"/>
              <w:right w:val="single" w:sz="4" w:space="0" w:color="auto"/>
            </w:tcBorders>
            <w:shd w:val="clear" w:color="auto" w:fill="auto"/>
            <w:vAlign w:val="center"/>
            <w:hideMark/>
          </w:tcPr>
          <w:p w14:paraId="7EA1FF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Krijimi i kornizës së performancës e cila do të lejoje monitorimin, raportimin dhe vlerësimin e performancës gjatë implementimit të programeve strukturore në përputhje me Rregulloren 2021/1060 (Rregullore CPR)</w:t>
            </w:r>
          </w:p>
        </w:tc>
        <w:tc>
          <w:tcPr>
            <w:tcW w:w="126" w:type="pct"/>
            <w:tcBorders>
              <w:top w:val="nil"/>
              <w:left w:val="nil"/>
              <w:bottom w:val="single" w:sz="4" w:space="0" w:color="auto"/>
              <w:right w:val="single" w:sz="4" w:space="0" w:color="auto"/>
            </w:tcBorders>
            <w:shd w:val="clear" w:color="FFFFFF" w:fill="FFFFFF"/>
            <w:vAlign w:val="center"/>
            <w:hideMark/>
          </w:tcPr>
          <w:p w14:paraId="27D8AA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3E0C9A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0499F0A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20B2DB6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08983EB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53A99C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CF3833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14FE4A1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A6C73F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2,280 </w:t>
            </w:r>
          </w:p>
        </w:tc>
        <w:tc>
          <w:tcPr>
            <w:tcW w:w="129" w:type="pct"/>
            <w:tcBorders>
              <w:top w:val="nil"/>
              <w:left w:val="nil"/>
              <w:bottom w:val="single" w:sz="4" w:space="0" w:color="auto"/>
              <w:right w:val="single" w:sz="4" w:space="0" w:color="auto"/>
            </w:tcBorders>
            <w:shd w:val="clear" w:color="FFFFFF" w:fill="FFFFFF"/>
            <w:vAlign w:val="center"/>
            <w:hideMark/>
          </w:tcPr>
          <w:p w14:paraId="2DAAE7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074D9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DD88A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748F5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C8526B0"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435A28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48A980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29AF6AB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99D1D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Plani i Veprimt Kombëtar</w:t>
            </w:r>
          </w:p>
        </w:tc>
        <w:tc>
          <w:tcPr>
            <w:tcW w:w="661" w:type="pct"/>
            <w:tcBorders>
              <w:top w:val="nil"/>
              <w:left w:val="nil"/>
              <w:bottom w:val="single" w:sz="4" w:space="0" w:color="auto"/>
              <w:right w:val="single" w:sz="4" w:space="0" w:color="auto"/>
            </w:tcBorders>
            <w:shd w:val="clear" w:color="FFFFFF" w:fill="FFFFFF"/>
            <w:vAlign w:val="center"/>
            <w:hideMark/>
          </w:tcPr>
          <w:p w14:paraId="2B8F49AE" w14:textId="48839978"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330A5A00"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2F2B77E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31A3EB2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Projektvendim i Këshillit të Ministrave"Miratimi i Planit Kombëtar për Zhvillimin dhe Kohezionin Rajonal" </w:t>
            </w:r>
          </w:p>
        </w:tc>
        <w:tc>
          <w:tcPr>
            <w:tcW w:w="330" w:type="pct"/>
            <w:tcBorders>
              <w:top w:val="nil"/>
              <w:left w:val="nil"/>
              <w:bottom w:val="single" w:sz="4" w:space="0" w:color="auto"/>
              <w:right w:val="single" w:sz="4" w:space="0" w:color="auto"/>
            </w:tcBorders>
            <w:shd w:val="clear" w:color="auto" w:fill="auto"/>
            <w:vAlign w:val="center"/>
            <w:hideMark/>
          </w:tcPr>
          <w:p w14:paraId="78820CC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Në zbatim dhe përputhje me politikat rajonale aktuale dhe të ardhshme të BE-së dhe kuadrin ligjor përkatës të BE-së</w:t>
            </w:r>
          </w:p>
        </w:tc>
        <w:tc>
          <w:tcPr>
            <w:tcW w:w="126" w:type="pct"/>
            <w:tcBorders>
              <w:top w:val="nil"/>
              <w:left w:val="nil"/>
              <w:bottom w:val="single" w:sz="4" w:space="0" w:color="auto"/>
              <w:right w:val="single" w:sz="4" w:space="0" w:color="auto"/>
            </w:tcBorders>
            <w:shd w:val="clear" w:color="FFFFFF" w:fill="FFFFFF"/>
            <w:vAlign w:val="center"/>
            <w:hideMark/>
          </w:tcPr>
          <w:p w14:paraId="303098D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5365323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6C4489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FSHZH</w:t>
            </w:r>
          </w:p>
        </w:tc>
        <w:tc>
          <w:tcPr>
            <w:tcW w:w="113" w:type="pct"/>
            <w:tcBorders>
              <w:top w:val="nil"/>
              <w:left w:val="nil"/>
              <w:bottom w:val="single" w:sz="4" w:space="0" w:color="auto"/>
              <w:right w:val="single" w:sz="4" w:space="0" w:color="auto"/>
            </w:tcBorders>
            <w:shd w:val="clear" w:color="FFFFFF" w:fill="FFFFFF"/>
            <w:vAlign w:val="center"/>
            <w:hideMark/>
          </w:tcPr>
          <w:p w14:paraId="1C628A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0B78F1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39E7E7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096BD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16,800</w:t>
            </w:r>
          </w:p>
        </w:tc>
        <w:tc>
          <w:tcPr>
            <w:tcW w:w="126" w:type="pct"/>
            <w:tcBorders>
              <w:top w:val="nil"/>
              <w:left w:val="nil"/>
              <w:bottom w:val="single" w:sz="4" w:space="0" w:color="auto"/>
              <w:right w:val="single" w:sz="4" w:space="0" w:color="auto"/>
            </w:tcBorders>
            <w:shd w:val="clear" w:color="FFFFFF" w:fill="FFFFFF"/>
            <w:vAlign w:val="center"/>
            <w:hideMark/>
          </w:tcPr>
          <w:p w14:paraId="02000F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576EC1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4EF86DC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B9908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8F2495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1F4EF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E12DD11"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7B2A05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163432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B71A5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1F615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br/>
              <w:t>Kuadri institucional</w:t>
            </w:r>
          </w:p>
        </w:tc>
        <w:tc>
          <w:tcPr>
            <w:tcW w:w="661" w:type="pct"/>
            <w:tcBorders>
              <w:top w:val="nil"/>
              <w:left w:val="nil"/>
              <w:bottom w:val="single" w:sz="4" w:space="0" w:color="auto"/>
              <w:right w:val="single" w:sz="4" w:space="0" w:color="auto"/>
            </w:tcBorders>
            <w:shd w:val="clear" w:color="FFFFFF" w:fill="FFFFFF"/>
            <w:vAlign w:val="center"/>
            <w:hideMark/>
          </w:tcPr>
          <w:p w14:paraId="589E5C3D" w14:textId="45D565E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4E4566A1"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577F107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0A8A21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"Miratimi i Kornizës Institucionale për zbatimin e Politikës së Kohezionit 2021-2027"</w:t>
            </w:r>
          </w:p>
        </w:tc>
        <w:tc>
          <w:tcPr>
            <w:tcW w:w="330" w:type="pct"/>
            <w:tcBorders>
              <w:top w:val="nil"/>
              <w:left w:val="nil"/>
              <w:bottom w:val="single" w:sz="4" w:space="0" w:color="auto"/>
              <w:right w:val="single" w:sz="4" w:space="0" w:color="auto"/>
            </w:tcBorders>
            <w:shd w:val="clear" w:color="auto" w:fill="auto"/>
            <w:vAlign w:val="center"/>
            <w:hideMark/>
          </w:tcPr>
          <w:p w14:paraId="205F30E9" w14:textId="166B2C7B"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Përgatitja 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kornizës Institucionale për zbatimin e Politikës së Kohezionit, duke përfshirë propozimin për ngritjen e sistemit (autoriteti koordinues, programi ose programet operacionale, autoritetet menaxhuese,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implementuese, certifikuese, audituese, si dhe autoritetet zbatuese sektoriale), duke mbajtur në konsideratë sistemet e ngjashme në vendet e anëtarësuara rishtazi ose edhe në vendet e tjera kanditate, dhe në përputhje me Rregulloren 2021/1060 (Rregullore CPR)</w:t>
            </w:r>
          </w:p>
        </w:tc>
        <w:tc>
          <w:tcPr>
            <w:tcW w:w="126" w:type="pct"/>
            <w:tcBorders>
              <w:top w:val="nil"/>
              <w:left w:val="nil"/>
              <w:bottom w:val="single" w:sz="4" w:space="0" w:color="auto"/>
              <w:right w:val="single" w:sz="4" w:space="0" w:color="auto"/>
            </w:tcBorders>
            <w:shd w:val="clear" w:color="FFFFFF" w:fill="FFFFFF"/>
            <w:vAlign w:val="center"/>
            <w:hideMark/>
          </w:tcPr>
          <w:p w14:paraId="7EE42B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25F9A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8B6D7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13" w:type="pct"/>
            <w:tcBorders>
              <w:top w:val="nil"/>
              <w:left w:val="nil"/>
              <w:bottom w:val="single" w:sz="4" w:space="0" w:color="auto"/>
              <w:right w:val="single" w:sz="4" w:space="0" w:color="auto"/>
            </w:tcBorders>
            <w:shd w:val="clear" w:color="FFFFFF" w:fill="FFFFFF"/>
            <w:vAlign w:val="center"/>
            <w:hideMark/>
          </w:tcPr>
          <w:p w14:paraId="1978E9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4E9A69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4BD78F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3D6294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09FAF75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BF091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2,280 </w:t>
            </w:r>
          </w:p>
        </w:tc>
        <w:tc>
          <w:tcPr>
            <w:tcW w:w="129" w:type="pct"/>
            <w:tcBorders>
              <w:top w:val="nil"/>
              <w:left w:val="nil"/>
              <w:bottom w:val="single" w:sz="4" w:space="0" w:color="auto"/>
              <w:right w:val="single" w:sz="4" w:space="0" w:color="auto"/>
            </w:tcBorders>
            <w:shd w:val="clear" w:color="FFFFFF" w:fill="FFFFFF"/>
            <w:vAlign w:val="center"/>
            <w:hideMark/>
          </w:tcPr>
          <w:p w14:paraId="5716A9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B5F9B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DD9B62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642DDA0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3CB5F6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4B7C5C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592BD6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01DCA9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96A04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Indikatorë performues të thjeshtëzuar</w:t>
            </w:r>
          </w:p>
        </w:tc>
        <w:tc>
          <w:tcPr>
            <w:tcW w:w="661" w:type="pct"/>
            <w:tcBorders>
              <w:top w:val="nil"/>
              <w:left w:val="nil"/>
              <w:bottom w:val="single" w:sz="4" w:space="0" w:color="auto"/>
              <w:right w:val="single" w:sz="4" w:space="0" w:color="auto"/>
            </w:tcBorders>
            <w:shd w:val="clear" w:color="FFFFFF" w:fill="FFFFFF"/>
            <w:vAlign w:val="center"/>
            <w:hideMark/>
          </w:tcPr>
          <w:p w14:paraId="43348D24" w14:textId="228E56E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52177642" w14:textId="77777777" w:rsidR="00482167" w:rsidRPr="006D6BE5" w:rsidRDefault="00E63D69" w:rsidP="00A7241A">
            <w:pPr>
              <w:rPr>
                <w:rFonts w:ascii="Arial" w:hAnsi="Arial" w:cs="Arial"/>
                <w:color w:val="0563C1"/>
                <w:sz w:val="4"/>
                <w:szCs w:val="8"/>
                <w:u w:val="single"/>
                <w:lang w:val="sq-AL"/>
              </w:rPr>
            </w:pPr>
            <w:hyperlink r:id="rId291" w:history="1">
              <w:r w:rsidR="00482167" w:rsidRPr="006D6BE5">
                <w:rPr>
                  <w:rFonts w:ascii="Arial" w:hAnsi="Arial" w:cs="Arial"/>
                  <w:color w:val="0563C1"/>
                  <w:sz w:val="4"/>
                  <w:szCs w:val="8"/>
                  <w:u w:val="single"/>
                  <w:lang w:val="sq-AL"/>
                </w:rPr>
                <w:t>http://data.europa.eu/eli/reg/2021/1060/oj</w:t>
              </w:r>
            </w:hyperlink>
          </w:p>
        </w:tc>
        <w:tc>
          <w:tcPr>
            <w:tcW w:w="506" w:type="pct"/>
            <w:tcBorders>
              <w:top w:val="nil"/>
              <w:left w:val="nil"/>
              <w:bottom w:val="single" w:sz="4" w:space="0" w:color="auto"/>
              <w:right w:val="single" w:sz="4" w:space="0" w:color="auto"/>
            </w:tcBorders>
            <w:shd w:val="clear" w:color="FFFFFF" w:fill="FFFFFF"/>
            <w:vAlign w:val="center"/>
            <w:hideMark/>
          </w:tcPr>
          <w:p w14:paraId="6920AAE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548389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Projekturdhër i Kryeministrit "Miratimi i masave të thjeshëzuara për zbatimin e politikës së kohezionit"</w:t>
            </w:r>
          </w:p>
        </w:tc>
        <w:tc>
          <w:tcPr>
            <w:tcW w:w="330" w:type="pct"/>
            <w:tcBorders>
              <w:top w:val="nil"/>
              <w:left w:val="nil"/>
              <w:bottom w:val="single" w:sz="4" w:space="0" w:color="auto"/>
              <w:right w:val="single" w:sz="4" w:space="0" w:color="auto"/>
            </w:tcBorders>
            <w:shd w:val="clear" w:color="FFFFFF" w:fill="FFFFFF"/>
            <w:vAlign w:val="center"/>
            <w:hideMark/>
          </w:tcPr>
          <w:p w14:paraId="5EB054FE" w14:textId="4194A353"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Masat e thjeshtëzuara</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zbatimin e politikës së kohezionit, duke përfshirë metodologjitë kombëtare për opsionet e kostove të thjeshtuara</w:t>
            </w:r>
          </w:p>
        </w:tc>
        <w:tc>
          <w:tcPr>
            <w:tcW w:w="126" w:type="pct"/>
            <w:tcBorders>
              <w:top w:val="nil"/>
              <w:left w:val="nil"/>
              <w:bottom w:val="single" w:sz="4" w:space="0" w:color="auto"/>
              <w:right w:val="single" w:sz="4" w:space="0" w:color="auto"/>
            </w:tcBorders>
            <w:shd w:val="clear" w:color="FFFFFF" w:fill="FFFFFF"/>
            <w:vAlign w:val="center"/>
            <w:hideMark/>
          </w:tcPr>
          <w:p w14:paraId="2DB987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Urdhër</w:t>
            </w:r>
          </w:p>
        </w:tc>
        <w:tc>
          <w:tcPr>
            <w:tcW w:w="146" w:type="pct"/>
            <w:tcBorders>
              <w:top w:val="nil"/>
              <w:left w:val="nil"/>
              <w:bottom w:val="single" w:sz="4" w:space="0" w:color="auto"/>
              <w:right w:val="single" w:sz="4" w:space="0" w:color="auto"/>
            </w:tcBorders>
            <w:shd w:val="clear" w:color="FFFFFF" w:fill="FFFFFF"/>
            <w:vAlign w:val="center"/>
            <w:hideMark/>
          </w:tcPr>
          <w:p w14:paraId="418DB47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745239A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13" w:type="pct"/>
            <w:tcBorders>
              <w:top w:val="nil"/>
              <w:left w:val="nil"/>
              <w:bottom w:val="single" w:sz="4" w:space="0" w:color="auto"/>
              <w:right w:val="single" w:sz="4" w:space="0" w:color="auto"/>
            </w:tcBorders>
            <w:shd w:val="clear" w:color="FFFFFF" w:fill="FFFFFF"/>
            <w:vAlign w:val="center"/>
            <w:hideMark/>
          </w:tcPr>
          <w:p w14:paraId="117BEE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5A813A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AA447F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7B69E11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27EC19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278F931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760</w:t>
            </w:r>
          </w:p>
        </w:tc>
        <w:tc>
          <w:tcPr>
            <w:tcW w:w="129" w:type="pct"/>
            <w:tcBorders>
              <w:top w:val="nil"/>
              <w:left w:val="nil"/>
              <w:bottom w:val="single" w:sz="4" w:space="0" w:color="auto"/>
              <w:right w:val="single" w:sz="4" w:space="0" w:color="auto"/>
            </w:tcBorders>
            <w:shd w:val="clear" w:color="FFFFFF" w:fill="FFFFFF"/>
            <w:vAlign w:val="center"/>
            <w:hideMark/>
          </w:tcPr>
          <w:p w14:paraId="4A09CF5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564001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8654B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11312F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145F6E7"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C17CBC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77F29D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319FF79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60E930F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Programi Operacional</w:t>
            </w:r>
          </w:p>
        </w:tc>
        <w:tc>
          <w:tcPr>
            <w:tcW w:w="661" w:type="pct"/>
            <w:tcBorders>
              <w:top w:val="nil"/>
              <w:left w:val="nil"/>
              <w:bottom w:val="single" w:sz="4" w:space="0" w:color="auto"/>
              <w:right w:val="single" w:sz="4" w:space="0" w:color="auto"/>
            </w:tcBorders>
            <w:shd w:val="clear" w:color="FFFFFF" w:fill="FFFFFF"/>
            <w:vAlign w:val="center"/>
            <w:hideMark/>
          </w:tcPr>
          <w:p w14:paraId="6D078163" w14:textId="08ED7CD9"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53FBAC1F"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7907168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FF7F6C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"Programi Operacional i Zhvillimit Rajonal dhe Kohezionit"</w:t>
            </w:r>
          </w:p>
        </w:tc>
        <w:tc>
          <w:tcPr>
            <w:tcW w:w="330" w:type="pct"/>
            <w:tcBorders>
              <w:top w:val="nil"/>
              <w:left w:val="nil"/>
              <w:bottom w:val="single" w:sz="4" w:space="0" w:color="auto"/>
              <w:right w:val="single" w:sz="4" w:space="0" w:color="auto"/>
            </w:tcBorders>
            <w:shd w:val="clear" w:color="FFFFFF" w:fill="FFFFFF"/>
            <w:vAlign w:val="center"/>
            <w:hideMark/>
          </w:tcPr>
          <w:p w14:paraId="06C34A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Programi Operacional i Zhvillimit Rajonal dhe Kohezionit</w:t>
            </w:r>
          </w:p>
        </w:tc>
        <w:tc>
          <w:tcPr>
            <w:tcW w:w="126" w:type="pct"/>
            <w:tcBorders>
              <w:top w:val="nil"/>
              <w:left w:val="nil"/>
              <w:bottom w:val="single" w:sz="4" w:space="0" w:color="auto"/>
              <w:right w:val="single" w:sz="4" w:space="0" w:color="auto"/>
            </w:tcBorders>
            <w:shd w:val="clear" w:color="FFFFFF" w:fill="FFFFFF"/>
            <w:vAlign w:val="center"/>
            <w:hideMark/>
          </w:tcPr>
          <w:p w14:paraId="0D051D5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1842AD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51192BD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FSHZH</w:t>
            </w:r>
          </w:p>
        </w:tc>
        <w:tc>
          <w:tcPr>
            <w:tcW w:w="113" w:type="pct"/>
            <w:tcBorders>
              <w:top w:val="nil"/>
              <w:left w:val="nil"/>
              <w:bottom w:val="single" w:sz="4" w:space="0" w:color="auto"/>
              <w:right w:val="single" w:sz="4" w:space="0" w:color="auto"/>
            </w:tcBorders>
            <w:shd w:val="clear" w:color="FFFFFF" w:fill="FFFFFF"/>
            <w:vAlign w:val="center"/>
            <w:hideMark/>
          </w:tcPr>
          <w:p w14:paraId="4DB366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669066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362729C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77AB67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16,800</w:t>
            </w:r>
          </w:p>
        </w:tc>
        <w:tc>
          <w:tcPr>
            <w:tcW w:w="126" w:type="pct"/>
            <w:tcBorders>
              <w:top w:val="nil"/>
              <w:left w:val="nil"/>
              <w:bottom w:val="single" w:sz="4" w:space="0" w:color="auto"/>
              <w:right w:val="single" w:sz="4" w:space="0" w:color="auto"/>
            </w:tcBorders>
            <w:shd w:val="clear" w:color="FFFFFF" w:fill="FFFFFF"/>
            <w:vAlign w:val="center"/>
            <w:hideMark/>
          </w:tcPr>
          <w:p w14:paraId="59B6169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98E981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E6EA63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5EC6F3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A7370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9BEA17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355636F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41DC24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22</w:t>
            </w:r>
          </w:p>
        </w:tc>
        <w:tc>
          <w:tcPr>
            <w:tcW w:w="144" w:type="pct"/>
            <w:tcBorders>
              <w:top w:val="nil"/>
              <w:left w:val="nil"/>
              <w:bottom w:val="single" w:sz="4" w:space="0" w:color="auto"/>
              <w:right w:val="single" w:sz="4" w:space="0" w:color="auto"/>
            </w:tcBorders>
            <w:shd w:val="clear" w:color="FFFFFF" w:fill="FFFFFF"/>
            <w:vAlign w:val="center"/>
            <w:hideMark/>
          </w:tcPr>
          <w:p w14:paraId="54B2E6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SASPAC</w:t>
            </w:r>
          </w:p>
        </w:tc>
        <w:tc>
          <w:tcPr>
            <w:tcW w:w="165" w:type="pct"/>
            <w:tcBorders>
              <w:top w:val="nil"/>
              <w:left w:val="nil"/>
              <w:bottom w:val="single" w:sz="4" w:space="0" w:color="auto"/>
              <w:right w:val="single" w:sz="4" w:space="0" w:color="auto"/>
            </w:tcBorders>
            <w:shd w:val="clear" w:color="FFFFFF" w:fill="FFFFFF"/>
            <w:vAlign w:val="center"/>
            <w:hideMark/>
          </w:tcPr>
          <w:p w14:paraId="6E4C109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772683A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Autoriteti menaxhues </w:t>
            </w:r>
          </w:p>
        </w:tc>
        <w:tc>
          <w:tcPr>
            <w:tcW w:w="661" w:type="pct"/>
            <w:tcBorders>
              <w:top w:val="nil"/>
              <w:left w:val="nil"/>
              <w:bottom w:val="single" w:sz="4" w:space="0" w:color="auto"/>
              <w:right w:val="single" w:sz="4" w:space="0" w:color="auto"/>
            </w:tcBorders>
            <w:shd w:val="clear" w:color="FFFFFF" w:fill="FFFFFF"/>
            <w:vAlign w:val="center"/>
            <w:hideMark/>
          </w:tcPr>
          <w:p w14:paraId="1B962425" w14:textId="0DC6C621"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2021/1060 e Parlamentit Evropian dhe e Këshillit të datës 24 qershor 2021 që përcakton dispozitat e përbashkëta për Fondin Evropian të Zhvillimit Rajonal, Fondin Social Evropian Plus, Fondin e Kohezionit, Fondin e Tranzicionit, Fondin Detar të Peshkimin dhe të</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Akuakulturës dhe rregullat financiare për këto fonde dhe për Fondin për Azilin, Migracionin dhe Integrimin, Fondin e Sigurisë së Brendshme dhe Instrumentin për Mbështetjen Financiare për Menaxhimin e Kufirit dhe Politikën e Vizave.</w:t>
            </w:r>
          </w:p>
        </w:tc>
        <w:tc>
          <w:tcPr>
            <w:tcW w:w="668" w:type="pct"/>
            <w:tcBorders>
              <w:top w:val="nil"/>
              <w:left w:val="nil"/>
              <w:bottom w:val="single" w:sz="4" w:space="0" w:color="auto"/>
              <w:right w:val="single" w:sz="4" w:space="0" w:color="auto"/>
            </w:tcBorders>
            <w:shd w:val="clear" w:color="FFFFFF" w:fill="FFFFFF"/>
            <w:vAlign w:val="center"/>
            <w:hideMark/>
          </w:tcPr>
          <w:p w14:paraId="69F55E01"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http://data.europa.eu/eli/reg/2021/1060/oj</w:t>
            </w:r>
          </w:p>
        </w:tc>
        <w:tc>
          <w:tcPr>
            <w:tcW w:w="506" w:type="pct"/>
            <w:tcBorders>
              <w:top w:val="nil"/>
              <w:left w:val="nil"/>
              <w:bottom w:val="single" w:sz="4" w:space="0" w:color="auto"/>
              <w:right w:val="single" w:sz="4" w:space="0" w:color="auto"/>
            </w:tcBorders>
            <w:shd w:val="clear" w:color="FFFFFF" w:fill="FFFFFF"/>
            <w:vAlign w:val="center"/>
            <w:hideMark/>
          </w:tcPr>
          <w:p w14:paraId="05243FE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Institucionale dhe Administrative</w:t>
            </w:r>
          </w:p>
        </w:tc>
        <w:tc>
          <w:tcPr>
            <w:tcW w:w="557" w:type="pct"/>
            <w:tcBorders>
              <w:top w:val="nil"/>
              <w:left w:val="nil"/>
              <w:bottom w:val="single" w:sz="4" w:space="0" w:color="auto"/>
              <w:right w:val="single" w:sz="4" w:space="0" w:color="auto"/>
            </w:tcBorders>
            <w:shd w:val="clear" w:color="FFFFFF" w:fill="FFFFFF"/>
            <w:vAlign w:val="center"/>
            <w:hideMark/>
          </w:tcPr>
          <w:p w14:paraId="5AB45E34" w14:textId="5D362C04"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“Për përcaktimin e rregullave të organizimit dhe funksionimit të Autoritetit Menaxhues si dhe të organeve të ndërmjetme, kriteret që duhet të plotësojnë këto organe të ndërmjetme, mënyrës së përzgjedhjes së tyre nga Autoriteti Menaxhues si dhe rregullat e përgjithshme të sistemit përkatës të menaxhimit dhe kontrollit të programit operacional dhe të kontrollit për zbatimin e funksioneve të deleguara të programit operacional”</w:t>
            </w:r>
          </w:p>
        </w:tc>
        <w:tc>
          <w:tcPr>
            <w:tcW w:w="330" w:type="pct"/>
            <w:tcBorders>
              <w:top w:val="nil"/>
              <w:left w:val="nil"/>
              <w:bottom w:val="single" w:sz="4" w:space="0" w:color="auto"/>
              <w:right w:val="single" w:sz="4" w:space="0" w:color="auto"/>
            </w:tcBorders>
            <w:shd w:val="clear" w:color="FFFFFF" w:fill="FFFFFF"/>
            <w:vAlign w:val="center"/>
            <w:hideMark/>
          </w:tcPr>
          <w:p w14:paraId="548ED03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Përcaktimi i rregullave të detajuara për funksionimin e autoritetit menaxhues, përfshirë funksionet zbatuese dhe mbikqyrëse si dhe rregullat e përgjithshme për sistemin e menaxhimit e të kontrollit të programit operacional të zhvillimit rajonal </w:t>
            </w:r>
          </w:p>
        </w:tc>
        <w:tc>
          <w:tcPr>
            <w:tcW w:w="126" w:type="pct"/>
            <w:tcBorders>
              <w:top w:val="nil"/>
              <w:left w:val="nil"/>
              <w:bottom w:val="single" w:sz="4" w:space="0" w:color="auto"/>
              <w:right w:val="single" w:sz="4" w:space="0" w:color="auto"/>
            </w:tcBorders>
            <w:shd w:val="clear" w:color="FFFFFF" w:fill="FFFFFF"/>
            <w:vAlign w:val="center"/>
            <w:hideMark/>
          </w:tcPr>
          <w:p w14:paraId="05D610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036FA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583D280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FSHZH</w:t>
            </w:r>
          </w:p>
        </w:tc>
        <w:tc>
          <w:tcPr>
            <w:tcW w:w="113" w:type="pct"/>
            <w:tcBorders>
              <w:top w:val="nil"/>
              <w:left w:val="nil"/>
              <w:bottom w:val="single" w:sz="4" w:space="0" w:color="auto"/>
              <w:right w:val="single" w:sz="4" w:space="0" w:color="auto"/>
            </w:tcBorders>
            <w:shd w:val="clear" w:color="FFFFFF" w:fill="FFFFFF"/>
            <w:vAlign w:val="center"/>
            <w:hideMark/>
          </w:tcPr>
          <w:p w14:paraId="3D36784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6DB21A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Q2</w:t>
            </w:r>
          </w:p>
        </w:tc>
        <w:tc>
          <w:tcPr>
            <w:tcW w:w="129" w:type="pct"/>
            <w:tcBorders>
              <w:top w:val="nil"/>
              <w:left w:val="nil"/>
              <w:bottom w:val="single" w:sz="4" w:space="0" w:color="auto"/>
              <w:right w:val="single" w:sz="4" w:space="0" w:color="auto"/>
            </w:tcBorders>
            <w:shd w:val="clear" w:color="FFFFFF" w:fill="FFFFFF"/>
            <w:vAlign w:val="center"/>
            <w:hideMark/>
          </w:tcPr>
          <w:p w14:paraId="64B676F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6FE3E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3,300</w:t>
            </w:r>
          </w:p>
        </w:tc>
        <w:tc>
          <w:tcPr>
            <w:tcW w:w="126" w:type="pct"/>
            <w:tcBorders>
              <w:top w:val="nil"/>
              <w:left w:val="nil"/>
              <w:bottom w:val="single" w:sz="4" w:space="0" w:color="auto"/>
              <w:right w:val="single" w:sz="4" w:space="0" w:color="auto"/>
            </w:tcBorders>
            <w:shd w:val="clear" w:color="FFFFFF" w:fill="FFFFFF"/>
            <w:vAlign w:val="center"/>
            <w:hideMark/>
          </w:tcPr>
          <w:p w14:paraId="22A879F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45B03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29B226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848DE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5C45D7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E6CF73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61EA8B2"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47870D4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30</w:t>
            </w:r>
          </w:p>
        </w:tc>
        <w:tc>
          <w:tcPr>
            <w:tcW w:w="144" w:type="pct"/>
            <w:tcBorders>
              <w:top w:val="nil"/>
              <w:left w:val="nil"/>
              <w:bottom w:val="single" w:sz="4" w:space="0" w:color="auto"/>
              <w:right w:val="single" w:sz="4" w:space="0" w:color="auto"/>
            </w:tcBorders>
            <w:shd w:val="clear" w:color="FFFFFF" w:fill="FFFFFF"/>
            <w:vAlign w:val="center"/>
            <w:hideMark/>
          </w:tcPr>
          <w:p w14:paraId="2315201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7C7C7D7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e Perbashket Tregtare</w:t>
            </w:r>
          </w:p>
        </w:tc>
        <w:tc>
          <w:tcPr>
            <w:tcW w:w="171" w:type="pct"/>
            <w:tcBorders>
              <w:top w:val="nil"/>
              <w:left w:val="nil"/>
              <w:bottom w:val="single" w:sz="4" w:space="0" w:color="auto"/>
              <w:right w:val="single" w:sz="4" w:space="0" w:color="auto"/>
            </w:tcBorders>
            <w:shd w:val="clear" w:color="FFFFFF" w:fill="FFFFFF"/>
            <w:vAlign w:val="center"/>
            <w:hideMark/>
          </w:tcPr>
          <w:p w14:paraId="4EE58A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Kontrolli i eksporteve</w:t>
            </w:r>
          </w:p>
        </w:tc>
        <w:tc>
          <w:tcPr>
            <w:tcW w:w="661" w:type="pct"/>
            <w:tcBorders>
              <w:top w:val="nil"/>
              <w:left w:val="nil"/>
              <w:bottom w:val="single" w:sz="4" w:space="0" w:color="auto"/>
              <w:right w:val="single" w:sz="4" w:space="0" w:color="auto"/>
            </w:tcBorders>
            <w:shd w:val="clear" w:color="FFFFFF" w:fill="FFFFFF"/>
            <w:vAlign w:val="center"/>
            <w:hideMark/>
          </w:tcPr>
          <w:p w14:paraId="57118FB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02021R0821-20230112: Rregullorja (BE) 2021/821 e Parlamentit Evropian dhe e Këshillit e datës 20 maj 2021 që vendos një regjim të Bashkimit për kontrollin e eksporteve, ndërmjetësimit, asistencës teknike, tranzitit dhe transferimit të artikujve me përdorim të dyfishtë.</w:t>
            </w:r>
          </w:p>
        </w:tc>
        <w:tc>
          <w:tcPr>
            <w:tcW w:w="668" w:type="pct"/>
            <w:tcBorders>
              <w:top w:val="nil"/>
              <w:left w:val="nil"/>
              <w:bottom w:val="single" w:sz="4" w:space="0" w:color="auto"/>
              <w:right w:val="single" w:sz="4" w:space="0" w:color="auto"/>
            </w:tcBorders>
            <w:shd w:val="clear" w:color="FFFFFF" w:fill="FFFFFF"/>
            <w:vAlign w:val="center"/>
            <w:hideMark/>
          </w:tcPr>
          <w:p w14:paraId="57C3DCE3" w14:textId="77777777" w:rsidR="00482167" w:rsidRPr="006D6BE5" w:rsidRDefault="00E63D69" w:rsidP="00A7241A">
            <w:pPr>
              <w:rPr>
                <w:rFonts w:ascii="Arial" w:hAnsi="Arial" w:cs="Arial"/>
                <w:color w:val="0563C1"/>
                <w:sz w:val="4"/>
                <w:szCs w:val="8"/>
                <w:u w:val="single"/>
                <w:lang w:val="sq-AL"/>
              </w:rPr>
            </w:pPr>
            <w:hyperlink r:id="rId292" w:history="1">
              <w:r w:rsidR="00482167" w:rsidRPr="006D6BE5">
                <w:rPr>
                  <w:rFonts w:ascii="Arial" w:hAnsi="Arial" w:cs="Arial"/>
                  <w:color w:val="0563C1"/>
                  <w:sz w:val="4"/>
                  <w:szCs w:val="8"/>
                  <w:u w:val="single"/>
                  <w:lang w:val="sq-AL"/>
                </w:rPr>
                <w:t>https://eur-lex.europa.eu/legal-content/EN/TXT/?uri=CELEX%3A02021R0821-20230526</w:t>
              </w:r>
            </w:hyperlink>
          </w:p>
        </w:tc>
        <w:tc>
          <w:tcPr>
            <w:tcW w:w="506" w:type="pct"/>
            <w:tcBorders>
              <w:top w:val="nil"/>
              <w:left w:val="nil"/>
              <w:bottom w:val="single" w:sz="4" w:space="0" w:color="auto"/>
              <w:right w:val="single" w:sz="4" w:space="0" w:color="auto"/>
            </w:tcBorders>
            <w:shd w:val="clear" w:color="FFFFFF" w:fill="FFFFFF"/>
            <w:vAlign w:val="center"/>
            <w:hideMark/>
          </w:tcPr>
          <w:p w14:paraId="0FFDD625"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180D0F9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Projektligj për ndryshimin e ligjit nr. 46/2018 “Për transferimin ndërkombëtar të mallrave ushtarake dhe mallrave dhe teknologjive me përdorim të dyfishtë”</w:t>
            </w:r>
          </w:p>
        </w:tc>
        <w:tc>
          <w:tcPr>
            <w:tcW w:w="330" w:type="pct"/>
            <w:tcBorders>
              <w:top w:val="nil"/>
              <w:left w:val="nil"/>
              <w:bottom w:val="single" w:sz="4" w:space="0" w:color="auto"/>
              <w:right w:val="single" w:sz="4" w:space="0" w:color="auto"/>
            </w:tcBorders>
            <w:shd w:val="clear" w:color="auto" w:fill="auto"/>
            <w:vAlign w:val="center"/>
            <w:hideMark/>
          </w:tcPr>
          <w:p w14:paraId="481B54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Rregullat në lidhje me kontrollin e eksporteve, ndërmjetësimin, asistencë teknike, tranzitin dhe transferimin e mallrave dhe teknologjive me përdorim të dyfishtë</w:t>
            </w:r>
          </w:p>
        </w:tc>
        <w:tc>
          <w:tcPr>
            <w:tcW w:w="126" w:type="pct"/>
            <w:tcBorders>
              <w:top w:val="nil"/>
              <w:left w:val="nil"/>
              <w:bottom w:val="single" w:sz="4" w:space="0" w:color="auto"/>
              <w:right w:val="single" w:sz="4" w:space="0" w:color="auto"/>
            </w:tcBorders>
            <w:shd w:val="clear" w:color="FFFFFF" w:fill="FFFFFF"/>
            <w:vAlign w:val="center"/>
            <w:hideMark/>
          </w:tcPr>
          <w:p w14:paraId="5B929F2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Ligj</w:t>
            </w:r>
          </w:p>
        </w:tc>
        <w:tc>
          <w:tcPr>
            <w:tcW w:w="146" w:type="pct"/>
            <w:tcBorders>
              <w:top w:val="nil"/>
              <w:left w:val="nil"/>
              <w:bottom w:val="single" w:sz="4" w:space="0" w:color="auto"/>
              <w:right w:val="single" w:sz="4" w:space="0" w:color="auto"/>
            </w:tcBorders>
            <w:shd w:val="clear" w:color="FFFFFF" w:fill="FFFFFF"/>
            <w:vAlign w:val="center"/>
            <w:hideMark/>
          </w:tcPr>
          <w:p w14:paraId="22F0C6A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0A02D27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MM</w:t>
            </w:r>
          </w:p>
        </w:tc>
        <w:tc>
          <w:tcPr>
            <w:tcW w:w="113" w:type="pct"/>
            <w:tcBorders>
              <w:top w:val="nil"/>
              <w:left w:val="nil"/>
              <w:bottom w:val="single" w:sz="4" w:space="0" w:color="auto"/>
              <w:right w:val="single" w:sz="4" w:space="0" w:color="auto"/>
            </w:tcBorders>
            <w:shd w:val="clear" w:color="FFFFFF" w:fill="FFFFFF"/>
            <w:vAlign w:val="center"/>
            <w:hideMark/>
          </w:tcPr>
          <w:p w14:paraId="294FC2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73DC91A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6FCCA38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8AA9F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4C71DB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45CCF484" w14:textId="3D564E09"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150,000 </w:t>
            </w:r>
          </w:p>
        </w:tc>
        <w:tc>
          <w:tcPr>
            <w:tcW w:w="129" w:type="pct"/>
            <w:tcBorders>
              <w:top w:val="nil"/>
              <w:left w:val="nil"/>
              <w:bottom w:val="single" w:sz="4" w:space="0" w:color="auto"/>
              <w:right w:val="single" w:sz="4" w:space="0" w:color="auto"/>
            </w:tcBorders>
            <w:shd w:val="clear" w:color="FFFFFF" w:fill="FFFFFF"/>
            <w:vAlign w:val="center"/>
            <w:hideMark/>
          </w:tcPr>
          <w:p w14:paraId="62CD346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5606C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F2C41A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2FDE81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52BE63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13A6D8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30</w:t>
            </w:r>
          </w:p>
        </w:tc>
        <w:tc>
          <w:tcPr>
            <w:tcW w:w="144" w:type="pct"/>
            <w:tcBorders>
              <w:top w:val="nil"/>
              <w:left w:val="nil"/>
              <w:bottom w:val="single" w:sz="4" w:space="0" w:color="auto"/>
              <w:right w:val="single" w:sz="4" w:space="0" w:color="auto"/>
            </w:tcBorders>
            <w:shd w:val="clear" w:color="FFFFFF" w:fill="FFFFFF"/>
            <w:vAlign w:val="center"/>
            <w:hideMark/>
          </w:tcPr>
          <w:p w14:paraId="1988F57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363CAD4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e Perbashket Tregtare</w:t>
            </w:r>
          </w:p>
        </w:tc>
        <w:tc>
          <w:tcPr>
            <w:tcW w:w="171" w:type="pct"/>
            <w:tcBorders>
              <w:top w:val="nil"/>
              <w:left w:val="nil"/>
              <w:bottom w:val="single" w:sz="4" w:space="0" w:color="auto"/>
              <w:right w:val="single" w:sz="4" w:space="0" w:color="auto"/>
            </w:tcBorders>
            <w:shd w:val="clear" w:color="FFFFFF" w:fill="FFFFFF"/>
            <w:vAlign w:val="center"/>
            <w:hideMark/>
          </w:tcPr>
          <w:p w14:paraId="50CFF2E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Mallrat me perdorim te dyfishte</w:t>
            </w:r>
          </w:p>
        </w:tc>
        <w:tc>
          <w:tcPr>
            <w:tcW w:w="661" w:type="pct"/>
            <w:tcBorders>
              <w:top w:val="nil"/>
              <w:left w:val="nil"/>
              <w:bottom w:val="single" w:sz="4" w:space="0" w:color="auto"/>
              <w:right w:val="single" w:sz="4" w:space="0" w:color="auto"/>
            </w:tcBorders>
            <w:shd w:val="clear" w:color="FFFFFF" w:fill="FFFFFF"/>
            <w:vAlign w:val="center"/>
            <w:hideMark/>
          </w:tcPr>
          <w:p w14:paraId="54A662A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Rregullorja e deleguar e Komisionit (BE) 2023/66 e datës 21 tetor 2022 që ndryshon Rregulloren (BE) 2021/821 të Parlamentit Evropian dhe të Këshillit në lidhje me listën e artikujve me përdorim të dyfishtë</w:t>
            </w:r>
          </w:p>
        </w:tc>
        <w:tc>
          <w:tcPr>
            <w:tcW w:w="668" w:type="pct"/>
            <w:tcBorders>
              <w:top w:val="nil"/>
              <w:left w:val="nil"/>
              <w:bottom w:val="single" w:sz="4" w:space="0" w:color="auto"/>
              <w:right w:val="single" w:sz="4" w:space="0" w:color="auto"/>
            </w:tcBorders>
            <w:shd w:val="clear" w:color="FFFFFF" w:fill="FFFFFF"/>
            <w:vAlign w:val="center"/>
            <w:hideMark/>
          </w:tcPr>
          <w:p w14:paraId="0E239F9A" w14:textId="77777777" w:rsidR="00482167" w:rsidRPr="006D6BE5" w:rsidRDefault="00E63D69" w:rsidP="00A7241A">
            <w:pPr>
              <w:rPr>
                <w:rFonts w:ascii="Arial" w:hAnsi="Arial" w:cs="Arial"/>
                <w:color w:val="0563C1"/>
                <w:sz w:val="4"/>
                <w:szCs w:val="8"/>
                <w:u w:val="single"/>
                <w:lang w:val="sq-AL"/>
              </w:rPr>
            </w:pPr>
            <w:hyperlink r:id="rId293" w:history="1">
              <w:r w:rsidR="00482167" w:rsidRPr="006D6BE5">
                <w:rPr>
                  <w:rFonts w:ascii="Arial" w:hAnsi="Arial" w:cs="Arial"/>
                  <w:color w:val="0563C1"/>
                  <w:sz w:val="4"/>
                  <w:szCs w:val="8"/>
                  <w:u w:val="single"/>
                  <w:lang w:val="sq-AL"/>
                </w:rPr>
                <w:t>https://eur-lex.europa.eu/legal-content/EN/TXT/?uri=uriserv%3AOJ.L_.2023.009.01.0001.01.ENG&amp;toc=OJ%3AL%3A2023%3A009%3ATOC</w:t>
              </w:r>
            </w:hyperlink>
          </w:p>
        </w:tc>
        <w:tc>
          <w:tcPr>
            <w:tcW w:w="506" w:type="pct"/>
            <w:tcBorders>
              <w:top w:val="nil"/>
              <w:left w:val="nil"/>
              <w:bottom w:val="single" w:sz="4" w:space="0" w:color="auto"/>
              <w:right w:val="single" w:sz="4" w:space="0" w:color="auto"/>
            </w:tcBorders>
            <w:shd w:val="clear" w:color="FFFFFF" w:fill="FFFFFF"/>
            <w:vAlign w:val="center"/>
            <w:hideMark/>
          </w:tcPr>
          <w:p w14:paraId="07AE7EE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C4676D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përditësimin e listës së mallrave me përdorim të dyfishtë dhe ushtarak"</w:t>
            </w:r>
          </w:p>
        </w:tc>
        <w:tc>
          <w:tcPr>
            <w:tcW w:w="330" w:type="pct"/>
            <w:tcBorders>
              <w:top w:val="nil"/>
              <w:left w:val="nil"/>
              <w:bottom w:val="single" w:sz="4" w:space="0" w:color="auto"/>
              <w:right w:val="single" w:sz="4" w:space="0" w:color="auto"/>
            </w:tcBorders>
            <w:shd w:val="clear" w:color="auto" w:fill="auto"/>
            <w:vAlign w:val="center"/>
            <w:hideMark/>
          </w:tcPr>
          <w:p w14:paraId="4649448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dhe përditësimi i listës së mallrave me përdorim të dyfishtë</w:t>
            </w:r>
          </w:p>
        </w:tc>
        <w:tc>
          <w:tcPr>
            <w:tcW w:w="126" w:type="pct"/>
            <w:tcBorders>
              <w:top w:val="nil"/>
              <w:left w:val="nil"/>
              <w:bottom w:val="single" w:sz="4" w:space="0" w:color="auto"/>
              <w:right w:val="single" w:sz="4" w:space="0" w:color="auto"/>
            </w:tcBorders>
            <w:shd w:val="clear" w:color="FFFFFF" w:fill="FFFFFF"/>
            <w:vAlign w:val="center"/>
            <w:hideMark/>
          </w:tcPr>
          <w:p w14:paraId="03D6107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4643360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B7D2B6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MM</w:t>
            </w:r>
          </w:p>
        </w:tc>
        <w:tc>
          <w:tcPr>
            <w:tcW w:w="113" w:type="pct"/>
            <w:tcBorders>
              <w:top w:val="nil"/>
              <w:left w:val="nil"/>
              <w:bottom w:val="single" w:sz="4" w:space="0" w:color="auto"/>
              <w:right w:val="single" w:sz="4" w:space="0" w:color="auto"/>
            </w:tcBorders>
            <w:shd w:val="clear" w:color="FFFFFF" w:fill="FFFFFF"/>
            <w:vAlign w:val="center"/>
            <w:hideMark/>
          </w:tcPr>
          <w:p w14:paraId="2BF6B50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328AD61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1344B5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DF30A32" w14:textId="2C476D82"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100,000 </w:t>
            </w:r>
          </w:p>
        </w:tc>
        <w:tc>
          <w:tcPr>
            <w:tcW w:w="126" w:type="pct"/>
            <w:tcBorders>
              <w:top w:val="nil"/>
              <w:left w:val="nil"/>
              <w:bottom w:val="single" w:sz="4" w:space="0" w:color="auto"/>
              <w:right w:val="single" w:sz="4" w:space="0" w:color="auto"/>
            </w:tcBorders>
            <w:shd w:val="clear" w:color="FFFFFF" w:fill="FFFFFF"/>
            <w:vAlign w:val="center"/>
            <w:hideMark/>
          </w:tcPr>
          <w:p w14:paraId="7FDB0A2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122AE1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A7DED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C0151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9935C2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542F7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608925B8"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02C0C1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30</w:t>
            </w:r>
          </w:p>
        </w:tc>
        <w:tc>
          <w:tcPr>
            <w:tcW w:w="144" w:type="pct"/>
            <w:tcBorders>
              <w:top w:val="nil"/>
              <w:left w:val="nil"/>
              <w:bottom w:val="single" w:sz="4" w:space="0" w:color="auto"/>
              <w:right w:val="single" w:sz="4" w:space="0" w:color="auto"/>
            </w:tcBorders>
            <w:shd w:val="clear" w:color="FFFFFF" w:fill="FFFFFF"/>
            <w:vAlign w:val="center"/>
            <w:hideMark/>
          </w:tcPr>
          <w:p w14:paraId="34D8EA6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00A6658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Marrëdheniet me Jashte</w:t>
            </w:r>
          </w:p>
        </w:tc>
        <w:tc>
          <w:tcPr>
            <w:tcW w:w="171" w:type="pct"/>
            <w:tcBorders>
              <w:top w:val="nil"/>
              <w:left w:val="nil"/>
              <w:bottom w:val="single" w:sz="4" w:space="0" w:color="auto"/>
              <w:right w:val="single" w:sz="4" w:space="0" w:color="auto"/>
            </w:tcBorders>
            <w:shd w:val="clear" w:color="FFFFFF" w:fill="FFFFFF"/>
            <w:vAlign w:val="center"/>
            <w:hideMark/>
          </w:tcPr>
          <w:p w14:paraId="0A913BD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e Veprimit të Jashtëm</w:t>
            </w:r>
            <w:r w:rsidRPr="006D6BE5">
              <w:rPr>
                <w:rFonts w:ascii="Arial" w:hAnsi="Arial" w:cs="Arial"/>
                <w:color w:val="000000"/>
                <w:sz w:val="4"/>
                <w:szCs w:val="8"/>
                <w:lang w:val="sq-AL"/>
              </w:rPr>
              <w:br/>
              <w:t>dhe Politika Humanitare</w:t>
            </w:r>
          </w:p>
        </w:tc>
        <w:tc>
          <w:tcPr>
            <w:tcW w:w="661" w:type="pct"/>
            <w:tcBorders>
              <w:top w:val="nil"/>
              <w:left w:val="nil"/>
              <w:bottom w:val="single" w:sz="4" w:space="0" w:color="auto"/>
              <w:right w:val="single" w:sz="4" w:space="0" w:color="auto"/>
            </w:tcBorders>
            <w:shd w:val="clear" w:color="FFFFFF" w:fill="FFFFFF"/>
            <w:vAlign w:val="center"/>
            <w:hideMark/>
          </w:tcPr>
          <w:p w14:paraId="00B26EF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Rekomandimet e Progres Raportit te Komisinit Evropian per Shqiperine te vitit 2022 dhe 2023 </w:t>
            </w:r>
            <w:r w:rsidRPr="006D6BE5">
              <w:rPr>
                <w:rFonts w:ascii="Arial" w:hAnsi="Arial" w:cs="Arial"/>
                <w:sz w:val="4"/>
                <w:szCs w:val="8"/>
                <w:lang w:val="sq-AL"/>
              </w:rPr>
              <w:br/>
            </w:r>
            <w:r w:rsidRPr="006D6BE5">
              <w:rPr>
                <w:rFonts w:ascii="Arial" w:hAnsi="Arial" w:cs="Arial"/>
                <w:sz w:val="4"/>
                <w:szCs w:val="8"/>
                <w:lang w:val="sq-AL"/>
              </w:rPr>
              <w:br/>
              <w:t>Rregullorja (EC) Nr. 1257/96 e 20 Qershorit 2026 per ndihmat humanitare</w:t>
            </w:r>
            <w:r w:rsidRPr="006D6BE5">
              <w:rPr>
                <w:rFonts w:ascii="Arial" w:hAnsi="Arial" w:cs="Arial"/>
                <w:sz w:val="4"/>
                <w:szCs w:val="8"/>
                <w:lang w:val="sq-AL"/>
              </w:rPr>
              <w:br/>
              <w:t xml:space="preserve"> OJ L 163, 2.7.1996, p. 1–6 </w:t>
            </w:r>
          </w:p>
        </w:tc>
        <w:tc>
          <w:tcPr>
            <w:tcW w:w="668" w:type="pct"/>
            <w:tcBorders>
              <w:top w:val="nil"/>
              <w:left w:val="nil"/>
              <w:bottom w:val="single" w:sz="4" w:space="0" w:color="auto"/>
              <w:right w:val="single" w:sz="4" w:space="0" w:color="auto"/>
            </w:tcBorders>
            <w:shd w:val="clear" w:color="FFFFFF" w:fill="FFFFFF"/>
            <w:vAlign w:val="center"/>
            <w:hideMark/>
          </w:tcPr>
          <w:p w14:paraId="5858E638"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 xml:space="preserve">https://eur-lex.europa.eu/legal-content/EN/TXT/?uri=celex:31996R1257 </w:t>
            </w:r>
          </w:p>
        </w:tc>
        <w:tc>
          <w:tcPr>
            <w:tcW w:w="506" w:type="pct"/>
            <w:tcBorders>
              <w:top w:val="nil"/>
              <w:left w:val="nil"/>
              <w:bottom w:val="single" w:sz="4" w:space="0" w:color="auto"/>
              <w:right w:val="single" w:sz="4" w:space="0" w:color="auto"/>
            </w:tcBorders>
            <w:shd w:val="clear" w:color="FFFFFF" w:fill="FFFFFF"/>
            <w:vAlign w:val="center"/>
            <w:hideMark/>
          </w:tcPr>
          <w:p w14:paraId="6584CFA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Zbatuese dhe investime</w:t>
            </w:r>
          </w:p>
        </w:tc>
        <w:tc>
          <w:tcPr>
            <w:tcW w:w="557" w:type="pct"/>
            <w:tcBorders>
              <w:top w:val="nil"/>
              <w:left w:val="nil"/>
              <w:bottom w:val="single" w:sz="4" w:space="0" w:color="auto"/>
              <w:right w:val="single" w:sz="4" w:space="0" w:color="auto"/>
            </w:tcBorders>
            <w:shd w:val="clear" w:color="auto" w:fill="auto"/>
            <w:vAlign w:val="center"/>
            <w:hideMark/>
          </w:tcPr>
          <w:p w14:paraId="331FAE3C"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 xml:space="preserve">Zbatim i Urdhrit të Kryeministrit nr. 194, datë 8.11.2023 për “Ngritjen dhe funksionimin e Grupit Ndërinstitucional të Punës për hartimin e kuadrit rregullator për bashkëpunimin ndërkombëtar për zhvillim dhe ndihmë humanitare”, </w:t>
            </w:r>
          </w:p>
        </w:tc>
        <w:tc>
          <w:tcPr>
            <w:tcW w:w="330" w:type="pct"/>
            <w:tcBorders>
              <w:top w:val="nil"/>
              <w:left w:val="nil"/>
              <w:bottom w:val="single" w:sz="4" w:space="0" w:color="auto"/>
              <w:right w:val="single" w:sz="4" w:space="0" w:color="auto"/>
            </w:tcBorders>
            <w:shd w:val="clear" w:color="auto" w:fill="auto"/>
            <w:vAlign w:val="center"/>
            <w:hideMark/>
          </w:tcPr>
          <w:p w14:paraId="616C08D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masave konkrete me qëllim hartimin e kuadrit rregullator në fushën e ndihmës humanitare, bashkëpunimit ndërkombëtar dhe politikave të zhvillimit.</w:t>
            </w:r>
          </w:p>
        </w:tc>
        <w:tc>
          <w:tcPr>
            <w:tcW w:w="126" w:type="pct"/>
            <w:tcBorders>
              <w:top w:val="nil"/>
              <w:left w:val="nil"/>
              <w:bottom w:val="single" w:sz="4" w:space="0" w:color="auto"/>
              <w:right w:val="single" w:sz="4" w:space="0" w:color="auto"/>
            </w:tcBorders>
            <w:shd w:val="clear" w:color="FFFFFF" w:fill="FFFFFF"/>
            <w:vAlign w:val="center"/>
            <w:hideMark/>
          </w:tcPr>
          <w:p w14:paraId="089C002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46" w:type="pct"/>
            <w:tcBorders>
              <w:top w:val="nil"/>
              <w:left w:val="nil"/>
              <w:bottom w:val="single" w:sz="4" w:space="0" w:color="auto"/>
              <w:right w:val="single" w:sz="4" w:space="0" w:color="auto"/>
            </w:tcBorders>
            <w:shd w:val="clear" w:color="FFFFFF" w:fill="FFFFFF"/>
            <w:vAlign w:val="center"/>
            <w:hideMark/>
          </w:tcPr>
          <w:p w14:paraId="63BF1FD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65" w:type="pct"/>
            <w:tcBorders>
              <w:top w:val="nil"/>
              <w:left w:val="nil"/>
              <w:bottom w:val="single" w:sz="4" w:space="0" w:color="auto"/>
              <w:right w:val="single" w:sz="4" w:space="0" w:color="auto"/>
            </w:tcBorders>
            <w:shd w:val="clear" w:color="FFFFFF" w:fill="FFFFFF"/>
            <w:vAlign w:val="center"/>
            <w:hideMark/>
          </w:tcPr>
          <w:p w14:paraId="3635CAC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MEPJ</w:t>
            </w:r>
          </w:p>
        </w:tc>
        <w:tc>
          <w:tcPr>
            <w:tcW w:w="113" w:type="pct"/>
            <w:tcBorders>
              <w:top w:val="nil"/>
              <w:left w:val="nil"/>
              <w:bottom w:val="single" w:sz="4" w:space="0" w:color="auto"/>
              <w:right w:val="single" w:sz="4" w:space="0" w:color="auto"/>
            </w:tcBorders>
            <w:shd w:val="clear" w:color="FFFFFF" w:fill="FFFFFF"/>
            <w:vAlign w:val="center"/>
            <w:hideMark/>
          </w:tcPr>
          <w:p w14:paraId="48B22E2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6A18EE4"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2EF3C3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58975D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 1,750 </w:t>
            </w:r>
          </w:p>
        </w:tc>
        <w:tc>
          <w:tcPr>
            <w:tcW w:w="126" w:type="pct"/>
            <w:tcBorders>
              <w:top w:val="nil"/>
              <w:left w:val="nil"/>
              <w:bottom w:val="single" w:sz="4" w:space="0" w:color="auto"/>
              <w:right w:val="single" w:sz="4" w:space="0" w:color="auto"/>
            </w:tcBorders>
            <w:shd w:val="clear" w:color="FFFFFF" w:fill="FFFFFF"/>
            <w:vAlign w:val="center"/>
            <w:hideMark/>
          </w:tcPr>
          <w:p w14:paraId="41F54CB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A8E10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3724AB8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14D4382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C79E9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BF852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AED6489"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0878E06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31</w:t>
            </w:r>
          </w:p>
        </w:tc>
        <w:tc>
          <w:tcPr>
            <w:tcW w:w="144" w:type="pct"/>
            <w:tcBorders>
              <w:top w:val="nil"/>
              <w:left w:val="nil"/>
              <w:bottom w:val="single" w:sz="4" w:space="0" w:color="auto"/>
              <w:right w:val="single" w:sz="4" w:space="0" w:color="auto"/>
            </w:tcBorders>
            <w:shd w:val="clear" w:color="FFFFFF" w:fill="FFFFFF"/>
            <w:vAlign w:val="center"/>
            <w:hideMark/>
          </w:tcPr>
          <w:p w14:paraId="2044CF9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MEPJ</w:t>
            </w:r>
          </w:p>
        </w:tc>
        <w:tc>
          <w:tcPr>
            <w:tcW w:w="165" w:type="pct"/>
            <w:tcBorders>
              <w:top w:val="nil"/>
              <w:left w:val="nil"/>
              <w:bottom w:val="single" w:sz="4" w:space="0" w:color="auto"/>
              <w:right w:val="single" w:sz="4" w:space="0" w:color="auto"/>
            </w:tcBorders>
            <w:shd w:val="clear" w:color="FFFFFF" w:fill="FFFFFF"/>
            <w:vAlign w:val="center"/>
            <w:hideMark/>
          </w:tcPr>
          <w:p w14:paraId="0ADCB25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4FB28F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Informacioni i klasifikuar</w:t>
            </w:r>
          </w:p>
        </w:tc>
        <w:tc>
          <w:tcPr>
            <w:tcW w:w="661" w:type="pct"/>
            <w:tcBorders>
              <w:top w:val="nil"/>
              <w:left w:val="nil"/>
              <w:bottom w:val="single" w:sz="4" w:space="0" w:color="auto"/>
              <w:right w:val="single" w:sz="4" w:space="0" w:color="auto"/>
            </w:tcBorders>
            <w:shd w:val="clear" w:color="FFFFFF" w:fill="FFFFFF"/>
            <w:vAlign w:val="center"/>
            <w:hideMark/>
          </w:tcPr>
          <w:p w14:paraId="1030FCDB" w14:textId="1281704D" w:rsidR="00482167" w:rsidRPr="006D6BE5" w:rsidRDefault="00482167" w:rsidP="00A7241A">
            <w:pPr>
              <w:rPr>
                <w:rFonts w:ascii="Arial" w:hAnsi="Arial" w:cs="Arial"/>
                <w:sz w:val="4"/>
                <w:szCs w:val="8"/>
                <w:lang w:val="sq-AL"/>
              </w:rPr>
            </w:pPr>
            <w:r w:rsidRPr="006D6BE5">
              <w:rPr>
                <w:rFonts w:ascii="Arial" w:hAnsi="Arial" w:cs="Arial"/>
                <w:sz w:val="4"/>
                <w:szCs w:val="8"/>
                <w:lang w:val="sq-AL"/>
              </w:rPr>
              <w:t>Vendimi Keshillit 2013/488 i dates 23 shtator 2013 ne lidhje me rregullat e sigurise</w:t>
            </w:r>
            <w:r w:rsidR="006D6BE5">
              <w:rPr>
                <w:rFonts w:ascii="Arial" w:hAnsi="Arial" w:cs="Arial"/>
                <w:sz w:val="4"/>
                <w:szCs w:val="8"/>
                <w:lang w:val="sq-AL"/>
              </w:rPr>
              <w:t xml:space="preserve"> </w:t>
            </w:r>
            <w:r w:rsidRPr="006D6BE5">
              <w:rPr>
                <w:rFonts w:ascii="Arial" w:hAnsi="Arial" w:cs="Arial"/>
                <w:sz w:val="4"/>
                <w:szCs w:val="8"/>
                <w:lang w:val="sq-AL"/>
              </w:rPr>
              <w:t>per mbrojtjen e informacionit te klasifikuar</w:t>
            </w:r>
          </w:p>
        </w:tc>
        <w:tc>
          <w:tcPr>
            <w:tcW w:w="668" w:type="pct"/>
            <w:tcBorders>
              <w:top w:val="nil"/>
              <w:left w:val="nil"/>
              <w:bottom w:val="single" w:sz="4" w:space="0" w:color="auto"/>
              <w:right w:val="single" w:sz="4" w:space="0" w:color="auto"/>
            </w:tcBorders>
            <w:shd w:val="clear" w:color="FFFFFF" w:fill="FFFFFF"/>
            <w:vAlign w:val="center"/>
            <w:hideMark/>
          </w:tcPr>
          <w:p w14:paraId="42611CA6"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https://eur-lex.europa.eu/legal-content/EN/TXT/PDF/?uri=CELEX:32013D0488</w:t>
            </w:r>
          </w:p>
        </w:tc>
        <w:tc>
          <w:tcPr>
            <w:tcW w:w="506" w:type="pct"/>
            <w:tcBorders>
              <w:top w:val="nil"/>
              <w:left w:val="nil"/>
              <w:bottom w:val="single" w:sz="4" w:space="0" w:color="auto"/>
              <w:right w:val="single" w:sz="4" w:space="0" w:color="auto"/>
            </w:tcBorders>
            <w:shd w:val="clear" w:color="FFFFFF" w:fill="FFFFFF"/>
            <w:vAlign w:val="center"/>
            <w:hideMark/>
          </w:tcPr>
          <w:p w14:paraId="2294E3E6"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44F7AEF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Projektvendim i Këshillit të Ministrave "Për miratimin e Rregullores për sigurimin fizik të informacionit të klasifikuar “sekret shtetëror”, të NATO-s, BE-së, shteteve dhe organizatave të tjera ndërkombëtare"</w:t>
            </w:r>
          </w:p>
        </w:tc>
        <w:tc>
          <w:tcPr>
            <w:tcW w:w="330" w:type="pct"/>
            <w:tcBorders>
              <w:top w:val="nil"/>
              <w:left w:val="nil"/>
              <w:bottom w:val="single" w:sz="4" w:space="0" w:color="auto"/>
              <w:right w:val="single" w:sz="4" w:space="0" w:color="auto"/>
            </w:tcBorders>
            <w:shd w:val="clear" w:color="FFFFFF" w:fill="FFFFFF"/>
            <w:vAlign w:val="center"/>
            <w:hideMark/>
          </w:tcPr>
          <w:p w14:paraId="6D0128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Masat fizike, teknike, elektronike dhe procedurale për mbrojtjen e zonave, ndërtesave, zyrave, dhomave dhe pajisjeve ku prodhohet, administrohet dhe asgjësohet informacioni i klasifikuar</w:t>
            </w:r>
          </w:p>
        </w:tc>
        <w:tc>
          <w:tcPr>
            <w:tcW w:w="126" w:type="pct"/>
            <w:tcBorders>
              <w:top w:val="nil"/>
              <w:left w:val="nil"/>
              <w:bottom w:val="single" w:sz="4" w:space="0" w:color="auto"/>
              <w:right w:val="single" w:sz="4" w:space="0" w:color="auto"/>
            </w:tcBorders>
            <w:shd w:val="clear" w:color="FFFFFF" w:fill="FFFFFF"/>
            <w:vAlign w:val="center"/>
            <w:hideMark/>
          </w:tcPr>
          <w:p w14:paraId="60703C3D"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4CC3D8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106819CF"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AKSIK</w:t>
            </w:r>
          </w:p>
        </w:tc>
        <w:tc>
          <w:tcPr>
            <w:tcW w:w="113" w:type="pct"/>
            <w:tcBorders>
              <w:top w:val="nil"/>
              <w:left w:val="nil"/>
              <w:bottom w:val="single" w:sz="4" w:space="0" w:color="auto"/>
              <w:right w:val="single" w:sz="4" w:space="0" w:color="auto"/>
            </w:tcBorders>
            <w:shd w:val="clear" w:color="FFFFFF" w:fill="FFFFFF"/>
            <w:vAlign w:val="center"/>
            <w:hideMark/>
          </w:tcPr>
          <w:p w14:paraId="04B2E10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5D6ED627"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001A7A8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12DA3C4C" w14:textId="1FF9575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100 </w:t>
            </w:r>
          </w:p>
        </w:tc>
        <w:tc>
          <w:tcPr>
            <w:tcW w:w="126" w:type="pct"/>
            <w:tcBorders>
              <w:top w:val="nil"/>
              <w:left w:val="nil"/>
              <w:bottom w:val="single" w:sz="4" w:space="0" w:color="auto"/>
              <w:right w:val="single" w:sz="4" w:space="0" w:color="auto"/>
            </w:tcBorders>
            <w:shd w:val="clear" w:color="FFFFFF" w:fill="FFFFFF"/>
            <w:vAlign w:val="center"/>
            <w:hideMark/>
          </w:tcPr>
          <w:p w14:paraId="5947E12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594E66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2C57853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49E3E4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35C75B6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3C0AF1D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07FD0F3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5036868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31</w:t>
            </w:r>
          </w:p>
        </w:tc>
        <w:tc>
          <w:tcPr>
            <w:tcW w:w="144" w:type="pct"/>
            <w:tcBorders>
              <w:top w:val="nil"/>
              <w:left w:val="nil"/>
              <w:bottom w:val="single" w:sz="4" w:space="0" w:color="auto"/>
              <w:right w:val="single" w:sz="4" w:space="0" w:color="auto"/>
            </w:tcBorders>
            <w:shd w:val="clear" w:color="FFFFFF" w:fill="FFFFFF"/>
            <w:vAlign w:val="center"/>
            <w:hideMark/>
          </w:tcPr>
          <w:p w14:paraId="56D4C48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MEPJ</w:t>
            </w:r>
          </w:p>
        </w:tc>
        <w:tc>
          <w:tcPr>
            <w:tcW w:w="165" w:type="pct"/>
            <w:tcBorders>
              <w:top w:val="nil"/>
              <w:left w:val="nil"/>
              <w:bottom w:val="single" w:sz="4" w:space="0" w:color="auto"/>
              <w:right w:val="single" w:sz="4" w:space="0" w:color="auto"/>
            </w:tcBorders>
            <w:shd w:val="clear" w:color="FFFFFF" w:fill="FFFFFF"/>
            <w:vAlign w:val="center"/>
            <w:hideMark/>
          </w:tcPr>
          <w:p w14:paraId="3B858D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N/A</w:t>
            </w:r>
          </w:p>
        </w:tc>
        <w:tc>
          <w:tcPr>
            <w:tcW w:w="171" w:type="pct"/>
            <w:tcBorders>
              <w:top w:val="nil"/>
              <w:left w:val="nil"/>
              <w:bottom w:val="single" w:sz="4" w:space="0" w:color="auto"/>
              <w:right w:val="single" w:sz="4" w:space="0" w:color="auto"/>
            </w:tcBorders>
            <w:shd w:val="clear" w:color="FFFFFF" w:fill="FFFFFF"/>
            <w:vAlign w:val="center"/>
            <w:hideMark/>
          </w:tcPr>
          <w:p w14:paraId="0D7FE85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Informacioni i klasifikuar</w:t>
            </w:r>
          </w:p>
        </w:tc>
        <w:tc>
          <w:tcPr>
            <w:tcW w:w="661" w:type="pct"/>
            <w:tcBorders>
              <w:top w:val="nil"/>
              <w:left w:val="nil"/>
              <w:bottom w:val="single" w:sz="4" w:space="0" w:color="auto"/>
              <w:right w:val="single" w:sz="4" w:space="0" w:color="auto"/>
            </w:tcBorders>
            <w:shd w:val="clear" w:color="FFFFFF" w:fill="FFFFFF"/>
            <w:vAlign w:val="center"/>
            <w:hideMark/>
          </w:tcPr>
          <w:p w14:paraId="7F000353"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Marreveshja ndermjet Keshillit te Ministrave te Republikes se Shqiperise dhe Bashkimit Evropian per procedurat e sigurise per shkembimin dhe mbrojtjen e informacionit te klasifikuar</w:t>
            </w:r>
          </w:p>
        </w:tc>
        <w:tc>
          <w:tcPr>
            <w:tcW w:w="668" w:type="pct"/>
            <w:tcBorders>
              <w:top w:val="nil"/>
              <w:left w:val="nil"/>
              <w:bottom w:val="single" w:sz="4" w:space="0" w:color="auto"/>
              <w:right w:val="single" w:sz="4" w:space="0" w:color="auto"/>
            </w:tcBorders>
            <w:shd w:val="clear" w:color="FFFFFF" w:fill="FFFFFF"/>
            <w:vAlign w:val="center"/>
            <w:hideMark/>
          </w:tcPr>
          <w:p w14:paraId="3E8C852F" w14:textId="77777777" w:rsidR="00482167" w:rsidRPr="006D6BE5" w:rsidRDefault="00482167" w:rsidP="00A7241A">
            <w:pPr>
              <w:rPr>
                <w:rFonts w:ascii="Arial" w:hAnsi="Arial" w:cs="Arial"/>
                <w:color w:val="0563C1"/>
                <w:sz w:val="4"/>
                <w:szCs w:val="8"/>
                <w:u w:val="single"/>
                <w:lang w:val="sq-AL"/>
              </w:rPr>
            </w:pPr>
            <w:r w:rsidRPr="006D6BE5">
              <w:rPr>
                <w:rFonts w:ascii="Arial" w:hAnsi="Arial" w:cs="Arial"/>
                <w:color w:val="0563C1"/>
                <w:sz w:val="4"/>
                <w:szCs w:val="8"/>
                <w:u w:val="single"/>
                <w:lang w:val="sq-AL"/>
              </w:rPr>
              <w:t>https://eur-lex.europa.eu/legal-content/EN/TXT/PDF/?uri=CELEX:22016A0319(01)</w:t>
            </w:r>
          </w:p>
        </w:tc>
        <w:tc>
          <w:tcPr>
            <w:tcW w:w="506" w:type="pct"/>
            <w:tcBorders>
              <w:top w:val="nil"/>
              <w:left w:val="nil"/>
              <w:bottom w:val="single" w:sz="4" w:space="0" w:color="auto"/>
              <w:right w:val="single" w:sz="4" w:space="0" w:color="auto"/>
            </w:tcBorders>
            <w:shd w:val="clear" w:color="FFFFFF" w:fill="FFFFFF"/>
            <w:vAlign w:val="center"/>
            <w:hideMark/>
          </w:tcPr>
          <w:p w14:paraId="2FDE23A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7809C33B" w14:textId="4FC258B8"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w:t>
            </w:r>
            <w:r w:rsidR="006D6BE5">
              <w:rPr>
                <w:rFonts w:ascii="Arial" w:hAnsi="Arial" w:cs="Arial"/>
                <w:sz w:val="4"/>
                <w:szCs w:val="8"/>
                <w:lang w:val="sq-AL"/>
              </w:rPr>
              <w:t xml:space="preserve"> </w:t>
            </w:r>
            <w:r w:rsidRPr="006D6BE5">
              <w:rPr>
                <w:rFonts w:ascii="Arial" w:hAnsi="Arial" w:cs="Arial"/>
                <w:sz w:val="4"/>
                <w:szCs w:val="8"/>
                <w:lang w:val="sq-AL"/>
              </w:rPr>
              <w:t>“Për miratimin e Rregullores për klasifikimin, punën, transportimin fizik, deklasifikimin, zhvlerësimin, asgjësimin dhe shkatërrimin e informacionit të klasifikuar “sekret shtetëror”, NATO, BE, shteteve dhe organizatave të tjera ndërkombëtare"</w:t>
            </w:r>
          </w:p>
        </w:tc>
        <w:tc>
          <w:tcPr>
            <w:tcW w:w="330" w:type="pct"/>
            <w:tcBorders>
              <w:top w:val="nil"/>
              <w:left w:val="nil"/>
              <w:bottom w:val="single" w:sz="4" w:space="0" w:color="auto"/>
              <w:right w:val="single" w:sz="4" w:space="0" w:color="auto"/>
            </w:tcBorders>
            <w:shd w:val="clear" w:color="FFFFFF" w:fill="FFFFFF"/>
            <w:vAlign w:val="center"/>
            <w:hideMark/>
          </w:tcPr>
          <w:p w14:paraId="2993B64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Përcaktimi i rregullave që kanë të bëjnë me informacionin e klasifikuar të BE-së nga institucionet e administratës publike dhe operatorët ekonomikë</w:t>
            </w:r>
          </w:p>
        </w:tc>
        <w:tc>
          <w:tcPr>
            <w:tcW w:w="126" w:type="pct"/>
            <w:tcBorders>
              <w:top w:val="nil"/>
              <w:left w:val="nil"/>
              <w:bottom w:val="single" w:sz="4" w:space="0" w:color="auto"/>
              <w:right w:val="single" w:sz="4" w:space="0" w:color="auto"/>
            </w:tcBorders>
            <w:shd w:val="clear" w:color="FFFFFF" w:fill="FFFFFF"/>
            <w:vAlign w:val="center"/>
            <w:hideMark/>
          </w:tcPr>
          <w:p w14:paraId="22C4A7C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6D65129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59865B5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AKSIK</w:t>
            </w:r>
          </w:p>
        </w:tc>
        <w:tc>
          <w:tcPr>
            <w:tcW w:w="113" w:type="pct"/>
            <w:tcBorders>
              <w:top w:val="nil"/>
              <w:left w:val="nil"/>
              <w:bottom w:val="single" w:sz="4" w:space="0" w:color="auto"/>
              <w:right w:val="single" w:sz="4" w:space="0" w:color="auto"/>
            </w:tcBorders>
            <w:shd w:val="clear" w:color="FFFFFF" w:fill="FFFFFF"/>
            <w:vAlign w:val="center"/>
            <w:hideMark/>
          </w:tcPr>
          <w:p w14:paraId="126B96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4480B59B"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Q1</w:t>
            </w:r>
          </w:p>
        </w:tc>
        <w:tc>
          <w:tcPr>
            <w:tcW w:w="129" w:type="pct"/>
            <w:tcBorders>
              <w:top w:val="nil"/>
              <w:left w:val="nil"/>
              <w:bottom w:val="single" w:sz="4" w:space="0" w:color="auto"/>
              <w:right w:val="single" w:sz="4" w:space="0" w:color="auto"/>
            </w:tcBorders>
            <w:shd w:val="clear" w:color="FFFFFF" w:fill="FFFFFF"/>
            <w:vAlign w:val="center"/>
            <w:hideMark/>
          </w:tcPr>
          <w:p w14:paraId="18C3C2B8"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2911C44B" w14:textId="22164CC1"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200 </w:t>
            </w:r>
          </w:p>
        </w:tc>
        <w:tc>
          <w:tcPr>
            <w:tcW w:w="126" w:type="pct"/>
            <w:tcBorders>
              <w:top w:val="nil"/>
              <w:left w:val="nil"/>
              <w:bottom w:val="single" w:sz="4" w:space="0" w:color="auto"/>
              <w:right w:val="single" w:sz="4" w:space="0" w:color="auto"/>
            </w:tcBorders>
            <w:shd w:val="clear" w:color="FFFFFF" w:fill="FFFFFF"/>
            <w:vAlign w:val="center"/>
            <w:hideMark/>
          </w:tcPr>
          <w:p w14:paraId="29A4349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1B83037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0C28A7F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EBFE6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72EF12F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58B7387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551908AB"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123D3B0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31</w:t>
            </w:r>
          </w:p>
        </w:tc>
        <w:tc>
          <w:tcPr>
            <w:tcW w:w="144" w:type="pct"/>
            <w:tcBorders>
              <w:top w:val="nil"/>
              <w:left w:val="nil"/>
              <w:bottom w:val="single" w:sz="4" w:space="0" w:color="auto"/>
              <w:right w:val="single" w:sz="4" w:space="0" w:color="auto"/>
            </w:tcBorders>
            <w:shd w:val="clear" w:color="FFFFFF" w:fill="FFFFFF"/>
            <w:vAlign w:val="center"/>
            <w:hideMark/>
          </w:tcPr>
          <w:p w14:paraId="520E15B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MEPJ</w:t>
            </w:r>
          </w:p>
        </w:tc>
        <w:tc>
          <w:tcPr>
            <w:tcW w:w="165" w:type="pct"/>
            <w:tcBorders>
              <w:top w:val="nil"/>
              <w:left w:val="nil"/>
              <w:bottom w:val="single" w:sz="4" w:space="0" w:color="auto"/>
              <w:right w:val="single" w:sz="4" w:space="0" w:color="auto"/>
            </w:tcBorders>
            <w:shd w:val="clear" w:color="FFFFFF" w:fill="FFFFFF"/>
            <w:vAlign w:val="center"/>
            <w:hideMark/>
          </w:tcPr>
          <w:p w14:paraId="0163103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Politika e Perbashket Tregtare</w:t>
            </w:r>
          </w:p>
        </w:tc>
        <w:tc>
          <w:tcPr>
            <w:tcW w:w="171" w:type="pct"/>
            <w:tcBorders>
              <w:top w:val="nil"/>
              <w:left w:val="nil"/>
              <w:bottom w:val="single" w:sz="4" w:space="0" w:color="auto"/>
              <w:right w:val="single" w:sz="4" w:space="0" w:color="auto"/>
            </w:tcBorders>
            <w:shd w:val="clear" w:color="FFFFFF" w:fill="FFFFFF"/>
            <w:vAlign w:val="center"/>
            <w:hideMark/>
          </w:tcPr>
          <w:p w14:paraId="507159C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Mallrat me perdorim te dyfishte</w:t>
            </w:r>
          </w:p>
        </w:tc>
        <w:tc>
          <w:tcPr>
            <w:tcW w:w="661" w:type="pct"/>
            <w:tcBorders>
              <w:top w:val="nil"/>
              <w:left w:val="nil"/>
              <w:bottom w:val="single" w:sz="4" w:space="0" w:color="auto"/>
              <w:right w:val="single" w:sz="4" w:space="0" w:color="auto"/>
            </w:tcBorders>
            <w:shd w:val="clear" w:color="FFFFFF" w:fill="FFFFFF"/>
            <w:vAlign w:val="center"/>
            <w:hideMark/>
          </w:tcPr>
          <w:p w14:paraId="278D2A2A"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Pajisjet e mbuluara nga Pozicioni i Përbashkët i Këshillit 2008/944/CFSP që përcakton rregullat e përbashkëta që rregullojnë kontrollin e eksporteve të teknologjisë dhe pajisjeve ushtarake)</w:t>
            </w:r>
            <w:r w:rsidRPr="006D6BE5">
              <w:rPr>
                <w:rFonts w:ascii="Arial" w:hAnsi="Arial" w:cs="Arial"/>
                <w:sz w:val="4"/>
                <w:szCs w:val="8"/>
                <w:lang w:val="sq-AL"/>
              </w:rPr>
              <w:br/>
              <w:t>(përditësimi dhe zëvendësimi i Listës së Përbashkët Ushtarake të Bashkimit Evropian të miratuar nga Këshilli më 21 shkurt 2022)</w:t>
            </w:r>
          </w:p>
        </w:tc>
        <w:tc>
          <w:tcPr>
            <w:tcW w:w="668" w:type="pct"/>
            <w:tcBorders>
              <w:top w:val="nil"/>
              <w:left w:val="nil"/>
              <w:bottom w:val="single" w:sz="4" w:space="0" w:color="auto"/>
              <w:right w:val="single" w:sz="4" w:space="0" w:color="auto"/>
            </w:tcBorders>
            <w:shd w:val="clear" w:color="FFFFFF" w:fill="FFFFFF"/>
            <w:vAlign w:val="center"/>
            <w:hideMark/>
          </w:tcPr>
          <w:p w14:paraId="6D976585" w14:textId="77777777" w:rsidR="00482167" w:rsidRPr="006D6BE5" w:rsidRDefault="00E63D69" w:rsidP="00A7241A">
            <w:pPr>
              <w:rPr>
                <w:rFonts w:ascii="Arial" w:hAnsi="Arial" w:cs="Arial"/>
                <w:color w:val="0563C1"/>
                <w:sz w:val="4"/>
                <w:szCs w:val="8"/>
                <w:u w:val="single"/>
                <w:lang w:val="sq-AL"/>
              </w:rPr>
            </w:pPr>
            <w:hyperlink r:id="rId294" w:history="1">
              <w:r w:rsidR="00482167" w:rsidRPr="006D6BE5">
                <w:rPr>
                  <w:rFonts w:ascii="Arial" w:hAnsi="Arial" w:cs="Arial"/>
                  <w:color w:val="0563C1"/>
                  <w:sz w:val="4"/>
                  <w:szCs w:val="8"/>
                  <w:u w:val="single"/>
                  <w:lang w:val="sq-AL"/>
                </w:rPr>
                <w:t>https://eur-lex.europa.eu/legal-content/EN/TXT/PDF/?uri=CELEX:52022XG0301(01)</w:t>
              </w:r>
            </w:hyperlink>
          </w:p>
        </w:tc>
        <w:tc>
          <w:tcPr>
            <w:tcW w:w="506" w:type="pct"/>
            <w:tcBorders>
              <w:top w:val="nil"/>
              <w:left w:val="nil"/>
              <w:bottom w:val="single" w:sz="4" w:space="0" w:color="auto"/>
              <w:right w:val="single" w:sz="4" w:space="0" w:color="auto"/>
            </w:tcBorders>
            <w:shd w:val="clear" w:color="FFFFFF" w:fill="FFFFFF"/>
            <w:vAlign w:val="center"/>
            <w:hideMark/>
          </w:tcPr>
          <w:p w14:paraId="641E9E78"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05B244E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Projektvendim i Këshillit të Ministrave "Për përditësimin e listës së mallrave ushtarake dhe artikujve me përdorim të dyfishtë"</w:t>
            </w:r>
          </w:p>
        </w:tc>
        <w:tc>
          <w:tcPr>
            <w:tcW w:w="330" w:type="pct"/>
            <w:tcBorders>
              <w:top w:val="nil"/>
              <w:left w:val="nil"/>
              <w:bottom w:val="single" w:sz="4" w:space="0" w:color="auto"/>
              <w:right w:val="single" w:sz="4" w:space="0" w:color="auto"/>
            </w:tcBorders>
            <w:shd w:val="clear" w:color="FFFFFF" w:fill="FFFFFF"/>
            <w:vAlign w:val="center"/>
            <w:hideMark/>
          </w:tcPr>
          <w:p w14:paraId="230912B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Identifikimi dhe përkthimi i ndryshimeve në listën e mallrave me përdorim të dyfishtë të BE-së nga viti 2021</w:t>
            </w:r>
          </w:p>
        </w:tc>
        <w:tc>
          <w:tcPr>
            <w:tcW w:w="126" w:type="pct"/>
            <w:tcBorders>
              <w:top w:val="nil"/>
              <w:left w:val="nil"/>
              <w:bottom w:val="single" w:sz="4" w:space="0" w:color="auto"/>
              <w:right w:val="single" w:sz="4" w:space="0" w:color="auto"/>
            </w:tcBorders>
            <w:shd w:val="clear" w:color="FFFFFF" w:fill="FFFFFF"/>
            <w:vAlign w:val="center"/>
            <w:hideMark/>
          </w:tcPr>
          <w:p w14:paraId="2E1F48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VKM</w:t>
            </w:r>
          </w:p>
        </w:tc>
        <w:tc>
          <w:tcPr>
            <w:tcW w:w="146" w:type="pct"/>
            <w:tcBorders>
              <w:top w:val="nil"/>
              <w:left w:val="nil"/>
              <w:bottom w:val="single" w:sz="4" w:space="0" w:color="auto"/>
              <w:right w:val="single" w:sz="4" w:space="0" w:color="auto"/>
            </w:tcBorders>
            <w:shd w:val="clear" w:color="FFFFFF" w:fill="FFFFFF"/>
            <w:vAlign w:val="center"/>
            <w:hideMark/>
          </w:tcPr>
          <w:p w14:paraId="0123965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E plotë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4D4A7DD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MM</w:t>
            </w:r>
          </w:p>
        </w:tc>
        <w:tc>
          <w:tcPr>
            <w:tcW w:w="113" w:type="pct"/>
            <w:tcBorders>
              <w:top w:val="nil"/>
              <w:left w:val="nil"/>
              <w:bottom w:val="single" w:sz="4" w:space="0" w:color="auto"/>
              <w:right w:val="single" w:sz="4" w:space="0" w:color="auto"/>
            </w:tcBorders>
            <w:shd w:val="clear" w:color="FFFFFF" w:fill="FFFFFF"/>
            <w:vAlign w:val="center"/>
            <w:hideMark/>
          </w:tcPr>
          <w:p w14:paraId="3DC96CF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2024</w:t>
            </w:r>
          </w:p>
        </w:tc>
        <w:tc>
          <w:tcPr>
            <w:tcW w:w="139" w:type="pct"/>
            <w:tcBorders>
              <w:top w:val="nil"/>
              <w:left w:val="nil"/>
              <w:bottom w:val="single" w:sz="4" w:space="0" w:color="auto"/>
              <w:right w:val="single" w:sz="4" w:space="0" w:color="auto"/>
            </w:tcBorders>
            <w:shd w:val="clear" w:color="FFFFFF" w:fill="FFFFFF"/>
            <w:vAlign w:val="center"/>
            <w:hideMark/>
          </w:tcPr>
          <w:p w14:paraId="7366A502"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43D5370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65AD311B" w14:textId="5380FDF4"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100 </w:t>
            </w:r>
          </w:p>
        </w:tc>
        <w:tc>
          <w:tcPr>
            <w:tcW w:w="126" w:type="pct"/>
            <w:tcBorders>
              <w:top w:val="nil"/>
              <w:left w:val="nil"/>
              <w:bottom w:val="single" w:sz="4" w:space="0" w:color="auto"/>
              <w:right w:val="single" w:sz="4" w:space="0" w:color="auto"/>
            </w:tcBorders>
            <w:shd w:val="clear" w:color="FFFFFF" w:fill="FFFFFF"/>
            <w:vAlign w:val="center"/>
            <w:hideMark/>
          </w:tcPr>
          <w:p w14:paraId="4041B4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33BCF8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73958A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4AE5DE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6F8EA94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4F002F0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47ECEDB6"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3C6E5BE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33</w:t>
            </w:r>
          </w:p>
        </w:tc>
        <w:tc>
          <w:tcPr>
            <w:tcW w:w="144" w:type="pct"/>
            <w:tcBorders>
              <w:top w:val="nil"/>
              <w:left w:val="nil"/>
              <w:bottom w:val="single" w:sz="4" w:space="0" w:color="auto"/>
              <w:right w:val="single" w:sz="4" w:space="0" w:color="auto"/>
            </w:tcBorders>
            <w:shd w:val="clear" w:color="FFFFFF" w:fill="FFFFFF"/>
            <w:vAlign w:val="center"/>
            <w:hideMark/>
          </w:tcPr>
          <w:p w14:paraId="70C8168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471493E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Burimet e veta GNI/</w:t>
            </w:r>
          </w:p>
        </w:tc>
        <w:tc>
          <w:tcPr>
            <w:tcW w:w="171" w:type="pct"/>
            <w:tcBorders>
              <w:top w:val="nil"/>
              <w:left w:val="nil"/>
              <w:bottom w:val="single" w:sz="4" w:space="0" w:color="auto"/>
              <w:right w:val="single" w:sz="4" w:space="0" w:color="auto"/>
            </w:tcBorders>
            <w:shd w:val="clear" w:color="FFFFFF" w:fill="FFFFFF"/>
            <w:vAlign w:val="center"/>
            <w:hideMark/>
          </w:tcPr>
          <w:p w14:paraId="7B79F4F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Te ardhurat Kombetare Bruto - Burimet e veta</w:t>
            </w:r>
          </w:p>
        </w:tc>
        <w:tc>
          <w:tcPr>
            <w:tcW w:w="661" w:type="pct"/>
            <w:tcBorders>
              <w:top w:val="nil"/>
              <w:left w:val="nil"/>
              <w:bottom w:val="single" w:sz="4" w:space="0" w:color="auto"/>
              <w:right w:val="single" w:sz="4" w:space="0" w:color="auto"/>
            </w:tcBorders>
            <w:shd w:val="clear" w:color="FFFFFF" w:fill="FFFFFF"/>
            <w:vAlign w:val="center"/>
            <w:hideMark/>
          </w:tcPr>
          <w:p w14:paraId="10B81DA6" w14:textId="6279495A"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Rregullore (BE) Nr. 549/2013 E Parlamentit Evropian dhe</w:t>
            </w:r>
            <w:r w:rsidR="006D6BE5">
              <w:rPr>
                <w:rFonts w:ascii="Arial" w:hAnsi="Arial" w:cs="Arial"/>
                <w:color w:val="000000"/>
                <w:sz w:val="4"/>
                <w:szCs w:val="8"/>
                <w:lang w:val="sq-AL"/>
              </w:rPr>
              <w:t xml:space="preserve"> </w:t>
            </w:r>
            <w:r w:rsidRPr="006D6BE5">
              <w:rPr>
                <w:rFonts w:ascii="Arial" w:hAnsi="Arial" w:cs="Arial"/>
                <w:color w:val="000000"/>
                <w:sz w:val="4"/>
                <w:szCs w:val="8"/>
                <w:lang w:val="sq-AL"/>
              </w:rPr>
              <w:t>Keshillite datës 21 maj 2013 mbi Sistemin Evropian të Llogarive Kombëtare dhe rajonale në Bashkimin Evropian (Tekst me rëndësinë e ZEE)</w:t>
            </w:r>
          </w:p>
        </w:tc>
        <w:tc>
          <w:tcPr>
            <w:tcW w:w="668" w:type="pct"/>
            <w:tcBorders>
              <w:top w:val="nil"/>
              <w:left w:val="nil"/>
              <w:bottom w:val="single" w:sz="4" w:space="0" w:color="auto"/>
              <w:right w:val="single" w:sz="4" w:space="0" w:color="auto"/>
            </w:tcBorders>
            <w:shd w:val="clear" w:color="FFFFFF" w:fill="FFFFFF"/>
            <w:vAlign w:val="center"/>
            <w:hideMark/>
          </w:tcPr>
          <w:p w14:paraId="0256227B" w14:textId="77777777" w:rsidR="00482167" w:rsidRPr="006D6BE5" w:rsidRDefault="00E63D69" w:rsidP="00A7241A">
            <w:pPr>
              <w:rPr>
                <w:rFonts w:ascii="Arial" w:hAnsi="Arial" w:cs="Arial"/>
                <w:color w:val="0563C1"/>
                <w:sz w:val="4"/>
                <w:szCs w:val="8"/>
                <w:u w:val="single"/>
                <w:lang w:val="sq-AL"/>
              </w:rPr>
            </w:pPr>
            <w:hyperlink r:id="rId295" w:history="1">
              <w:r w:rsidR="00482167" w:rsidRPr="006D6BE5">
                <w:rPr>
                  <w:rFonts w:ascii="Arial" w:hAnsi="Arial" w:cs="Arial"/>
                  <w:color w:val="0563C1"/>
                  <w:sz w:val="4"/>
                  <w:szCs w:val="8"/>
                  <w:u w:val="single"/>
                  <w:lang w:val="sq-AL"/>
                </w:rPr>
                <w:t>https://eur-lex.europa.eu/legal-content/EN/TXT/?uri=celex%3A32013R0549</w:t>
              </w:r>
            </w:hyperlink>
          </w:p>
        </w:tc>
        <w:tc>
          <w:tcPr>
            <w:tcW w:w="506" w:type="pct"/>
            <w:tcBorders>
              <w:top w:val="nil"/>
              <w:left w:val="nil"/>
              <w:bottom w:val="single" w:sz="4" w:space="0" w:color="auto"/>
              <w:right w:val="single" w:sz="4" w:space="0" w:color="auto"/>
            </w:tcBorders>
            <w:shd w:val="clear" w:color="FFFFFF" w:fill="FFFFFF"/>
            <w:vAlign w:val="center"/>
            <w:hideMark/>
          </w:tcPr>
          <w:p w14:paraId="3D756C80"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5CD03D99"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Drejtorit të Përgjithshëm mbi modalitetet, strukturën, periodicitetin dhe vleresimin e treguesve të cilesisë mbi të dhënat e transmetuara në Eurostat"</w:t>
            </w:r>
          </w:p>
        </w:tc>
        <w:tc>
          <w:tcPr>
            <w:tcW w:w="330" w:type="pct"/>
            <w:tcBorders>
              <w:top w:val="nil"/>
              <w:left w:val="nil"/>
              <w:bottom w:val="single" w:sz="4" w:space="0" w:color="auto"/>
              <w:right w:val="single" w:sz="4" w:space="0" w:color="auto"/>
            </w:tcBorders>
            <w:shd w:val="clear" w:color="FFFFFF" w:fill="FFFFFF"/>
            <w:vAlign w:val="center"/>
            <w:hideMark/>
          </w:tcPr>
          <w:p w14:paraId="3BD7F1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Modalitetet, struktura, periodiciteti dhe vlerësimi i treguesve të cilësisë mbi të dhënat e transmetuara në Eurostat. </w:t>
            </w:r>
          </w:p>
        </w:tc>
        <w:tc>
          <w:tcPr>
            <w:tcW w:w="126" w:type="pct"/>
            <w:tcBorders>
              <w:top w:val="nil"/>
              <w:left w:val="nil"/>
              <w:bottom w:val="single" w:sz="4" w:space="0" w:color="auto"/>
              <w:right w:val="single" w:sz="4" w:space="0" w:color="auto"/>
            </w:tcBorders>
            <w:shd w:val="clear" w:color="FFFFFF" w:fill="FFFFFF"/>
            <w:vAlign w:val="center"/>
            <w:hideMark/>
          </w:tcPr>
          <w:p w14:paraId="6668AE5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58F4537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303391C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456BDE4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2025</w:t>
            </w:r>
          </w:p>
        </w:tc>
        <w:tc>
          <w:tcPr>
            <w:tcW w:w="139" w:type="pct"/>
            <w:tcBorders>
              <w:top w:val="nil"/>
              <w:left w:val="nil"/>
              <w:bottom w:val="single" w:sz="4" w:space="0" w:color="auto"/>
              <w:right w:val="single" w:sz="4" w:space="0" w:color="auto"/>
            </w:tcBorders>
            <w:shd w:val="clear" w:color="FFFFFF" w:fill="FFFFFF"/>
            <w:vAlign w:val="center"/>
            <w:hideMark/>
          </w:tcPr>
          <w:p w14:paraId="563A13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CFC45E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4511BCB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54820C4D" w14:textId="5B14577F" w:rsidR="00482167" w:rsidRPr="006D6BE5" w:rsidRDefault="006D6BE5" w:rsidP="00A7241A">
            <w:pPr>
              <w:rPr>
                <w:rFonts w:ascii="Arial" w:hAnsi="Arial" w:cs="Arial"/>
                <w:color w:val="000000"/>
                <w:sz w:val="4"/>
                <w:szCs w:val="8"/>
                <w:lang w:val="sq-AL"/>
              </w:rPr>
            </w:pPr>
            <w:r>
              <w:rPr>
                <w:rFonts w:ascii="Arial" w:hAnsi="Arial" w:cs="Arial"/>
                <w:color w:val="000000"/>
                <w:sz w:val="4"/>
                <w:szCs w:val="8"/>
                <w:lang w:val="sq-AL"/>
              </w:rPr>
              <w:t xml:space="preserve">        </w:t>
            </w:r>
            <w:r w:rsidR="00482167" w:rsidRPr="006D6BE5">
              <w:rPr>
                <w:rFonts w:ascii="Arial" w:hAnsi="Arial" w:cs="Arial"/>
                <w:color w:val="000000"/>
                <w:sz w:val="4"/>
                <w:szCs w:val="8"/>
                <w:lang w:val="sq-AL"/>
              </w:rPr>
              <w:t xml:space="preserve"> 2,444 </w:t>
            </w:r>
          </w:p>
        </w:tc>
        <w:tc>
          <w:tcPr>
            <w:tcW w:w="117" w:type="pct"/>
            <w:tcBorders>
              <w:top w:val="nil"/>
              <w:left w:val="nil"/>
              <w:bottom w:val="single" w:sz="4" w:space="0" w:color="auto"/>
              <w:right w:val="single" w:sz="4" w:space="0" w:color="auto"/>
            </w:tcBorders>
            <w:shd w:val="clear" w:color="FFFFFF" w:fill="FFFFFF"/>
            <w:vAlign w:val="center"/>
            <w:hideMark/>
          </w:tcPr>
          <w:p w14:paraId="1C1ED2E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9" w:type="pct"/>
            <w:tcBorders>
              <w:top w:val="nil"/>
              <w:left w:val="nil"/>
              <w:bottom w:val="single" w:sz="4" w:space="0" w:color="auto"/>
              <w:right w:val="single" w:sz="4" w:space="0" w:color="auto"/>
            </w:tcBorders>
            <w:shd w:val="clear" w:color="FFFFFF" w:fill="FFFFFF"/>
            <w:vAlign w:val="center"/>
            <w:hideMark/>
          </w:tcPr>
          <w:p w14:paraId="658E5F41"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E931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A155E5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70D21E9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r w:rsidR="00482167" w:rsidRPr="006D6BE5" w14:paraId="28AEA844" w14:textId="77777777" w:rsidTr="00A7241A">
        <w:trPr>
          <w:trHeight w:val="20"/>
        </w:trPr>
        <w:tc>
          <w:tcPr>
            <w:tcW w:w="165" w:type="pct"/>
            <w:tcBorders>
              <w:top w:val="nil"/>
              <w:left w:val="single" w:sz="4" w:space="0" w:color="auto"/>
              <w:bottom w:val="single" w:sz="4" w:space="0" w:color="auto"/>
              <w:right w:val="single" w:sz="4" w:space="0" w:color="auto"/>
            </w:tcBorders>
            <w:shd w:val="clear" w:color="FFFFFF" w:fill="FFFFFF"/>
            <w:vAlign w:val="center"/>
            <w:hideMark/>
          </w:tcPr>
          <w:p w14:paraId="67682B04"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33</w:t>
            </w:r>
          </w:p>
        </w:tc>
        <w:tc>
          <w:tcPr>
            <w:tcW w:w="144" w:type="pct"/>
            <w:tcBorders>
              <w:top w:val="nil"/>
              <w:left w:val="nil"/>
              <w:bottom w:val="single" w:sz="4" w:space="0" w:color="auto"/>
              <w:right w:val="single" w:sz="4" w:space="0" w:color="auto"/>
            </w:tcBorders>
            <w:shd w:val="clear" w:color="FFFFFF" w:fill="FFFFFF"/>
            <w:vAlign w:val="center"/>
            <w:hideMark/>
          </w:tcPr>
          <w:p w14:paraId="224738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MFE</w:t>
            </w:r>
          </w:p>
        </w:tc>
        <w:tc>
          <w:tcPr>
            <w:tcW w:w="165" w:type="pct"/>
            <w:tcBorders>
              <w:top w:val="nil"/>
              <w:left w:val="nil"/>
              <w:bottom w:val="single" w:sz="4" w:space="0" w:color="auto"/>
              <w:right w:val="single" w:sz="4" w:space="0" w:color="auto"/>
            </w:tcBorders>
            <w:shd w:val="clear" w:color="FFFFFF" w:fill="FFFFFF"/>
            <w:vAlign w:val="center"/>
            <w:hideMark/>
          </w:tcPr>
          <w:p w14:paraId="2158369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Burimet e veta GNI/</w:t>
            </w:r>
          </w:p>
        </w:tc>
        <w:tc>
          <w:tcPr>
            <w:tcW w:w="171" w:type="pct"/>
            <w:tcBorders>
              <w:top w:val="nil"/>
              <w:left w:val="nil"/>
              <w:bottom w:val="single" w:sz="4" w:space="0" w:color="auto"/>
              <w:right w:val="single" w:sz="4" w:space="0" w:color="auto"/>
            </w:tcBorders>
            <w:shd w:val="clear" w:color="FFFFFF" w:fill="FFFFFF"/>
            <w:vAlign w:val="center"/>
            <w:hideMark/>
          </w:tcPr>
          <w:p w14:paraId="50327AA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Te ardhurat Kombetare Bruto - Burimet e veta</w:t>
            </w:r>
          </w:p>
        </w:tc>
        <w:tc>
          <w:tcPr>
            <w:tcW w:w="661" w:type="pct"/>
            <w:tcBorders>
              <w:top w:val="nil"/>
              <w:left w:val="nil"/>
              <w:bottom w:val="single" w:sz="4" w:space="0" w:color="auto"/>
              <w:right w:val="single" w:sz="4" w:space="0" w:color="auto"/>
            </w:tcBorders>
            <w:shd w:val="clear" w:color="FFFFFF" w:fill="FFFFFF"/>
            <w:vAlign w:val="center"/>
            <w:hideMark/>
          </w:tcPr>
          <w:p w14:paraId="3B98E716"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Rregullorja (BE) 2019/516 e Parlamentit Evropian dhe e Këshillit e datës 19 mars 2019 për harmonizimin e të ardhurave kombëtare bruto me çmimet e tregut dhe shfuqizimin e Direktivës së Këshillit 89/130/EEC, Euratom dhe Rregullores së Këshillit (KE, Euratom) Nr 1287 /2003 (Rregullorja e GNI) (Tekst me rëndësi për ZEE-në.)</w:t>
            </w:r>
          </w:p>
        </w:tc>
        <w:tc>
          <w:tcPr>
            <w:tcW w:w="668" w:type="pct"/>
            <w:tcBorders>
              <w:top w:val="nil"/>
              <w:left w:val="nil"/>
              <w:bottom w:val="single" w:sz="4" w:space="0" w:color="auto"/>
              <w:right w:val="single" w:sz="4" w:space="0" w:color="auto"/>
            </w:tcBorders>
            <w:shd w:val="clear" w:color="FFFFFF" w:fill="FFFFFF"/>
            <w:vAlign w:val="center"/>
            <w:hideMark/>
          </w:tcPr>
          <w:p w14:paraId="73E5FF38" w14:textId="77777777" w:rsidR="00482167" w:rsidRPr="006D6BE5" w:rsidRDefault="00E63D69" w:rsidP="00A7241A">
            <w:pPr>
              <w:rPr>
                <w:rFonts w:ascii="Arial" w:hAnsi="Arial" w:cs="Arial"/>
                <w:color w:val="0563C1"/>
                <w:sz w:val="4"/>
                <w:szCs w:val="8"/>
                <w:u w:val="single"/>
                <w:lang w:val="sq-AL"/>
              </w:rPr>
            </w:pPr>
            <w:hyperlink r:id="rId296" w:history="1">
              <w:r w:rsidR="00482167" w:rsidRPr="006D6BE5">
                <w:rPr>
                  <w:rFonts w:ascii="Arial" w:hAnsi="Arial" w:cs="Arial"/>
                  <w:color w:val="0563C1"/>
                  <w:sz w:val="4"/>
                  <w:szCs w:val="8"/>
                  <w:u w:val="single"/>
                  <w:lang w:val="sq-AL"/>
                </w:rPr>
                <w:t>https://eur-lex.europa.eu/eli/reg/2019/516/oj</w:t>
              </w:r>
            </w:hyperlink>
          </w:p>
        </w:tc>
        <w:tc>
          <w:tcPr>
            <w:tcW w:w="506" w:type="pct"/>
            <w:tcBorders>
              <w:top w:val="nil"/>
              <w:left w:val="nil"/>
              <w:bottom w:val="single" w:sz="4" w:space="0" w:color="auto"/>
              <w:right w:val="single" w:sz="4" w:space="0" w:color="auto"/>
            </w:tcBorders>
            <w:shd w:val="clear" w:color="FFFFFF" w:fill="FFFFFF"/>
            <w:vAlign w:val="center"/>
            <w:hideMark/>
          </w:tcPr>
          <w:p w14:paraId="597D0B71" w14:textId="77777777" w:rsidR="00482167" w:rsidRPr="006D6BE5" w:rsidRDefault="00482167" w:rsidP="00A7241A">
            <w:pPr>
              <w:rPr>
                <w:rFonts w:ascii="Arial" w:hAnsi="Arial" w:cs="Arial"/>
                <w:sz w:val="4"/>
                <w:szCs w:val="8"/>
                <w:lang w:val="sq-AL"/>
              </w:rPr>
            </w:pPr>
            <w:r w:rsidRPr="006D6BE5">
              <w:rPr>
                <w:rFonts w:ascii="Arial" w:hAnsi="Arial" w:cs="Arial"/>
                <w:sz w:val="4"/>
                <w:szCs w:val="8"/>
                <w:lang w:val="sq-AL"/>
              </w:rPr>
              <w:t>Politike dhe Ligjore</w:t>
            </w:r>
          </w:p>
        </w:tc>
        <w:tc>
          <w:tcPr>
            <w:tcW w:w="557" w:type="pct"/>
            <w:tcBorders>
              <w:top w:val="nil"/>
              <w:left w:val="nil"/>
              <w:bottom w:val="single" w:sz="4" w:space="0" w:color="auto"/>
              <w:right w:val="single" w:sz="4" w:space="0" w:color="auto"/>
            </w:tcBorders>
            <w:shd w:val="clear" w:color="FFFFFF" w:fill="FFFFFF"/>
            <w:vAlign w:val="center"/>
            <w:hideMark/>
          </w:tcPr>
          <w:p w14:paraId="2D2CD0E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Projektudhëzim i Drejtorit të Përgjithshëm mbi zbatimin e Rregullores 1889/2002; në lidhje me shpërndarjen e shërbimeve të ndërmjetësimit financiar të matur në mënyrë indirekte (FISIM) brenda Sistemit Evropian të Llogarive Kombëtare dhe Rajonale (ESA 2010)</w:t>
            </w:r>
          </w:p>
        </w:tc>
        <w:tc>
          <w:tcPr>
            <w:tcW w:w="330" w:type="pct"/>
            <w:tcBorders>
              <w:top w:val="nil"/>
              <w:left w:val="nil"/>
              <w:bottom w:val="single" w:sz="4" w:space="0" w:color="auto"/>
              <w:right w:val="single" w:sz="4" w:space="0" w:color="auto"/>
            </w:tcBorders>
            <w:shd w:val="clear" w:color="FFFFFF" w:fill="FFFFFF"/>
            <w:vAlign w:val="center"/>
            <w:hideMark/>
          </w:tcPr>
          <w:p w14:paraId="2B5637F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Shpërndarja e shërbimeve të ndërmjetësimit financiar të matur në mënyrë indirekte (FISIM) brenda Sistemit Evropian të Llogarive Kombëtare dhe Rajonale (ESA 2010</w:t>
            </w:r>
          </w:p>
        </w:tc>
        <w:tc>
          <w:tcPr>
            <w:tcW w:w="126" w:type="pct"/>
            <w:tcBorders>
              <w:top w:val="nil"/>
              <w:left w:val="nil"/>
              <w:bottom w:val="single" w:sz="4" w:space="0" w:color="auto"/>
              <w:right w:val="single" w:sz="4" w:space="0" w:color="auto"/>
            </w:tcBorders>
            <w:shd w:val="clear" w:color="FFFFFF" w:fill="FFFFFF"/>
            <w:vAlign w:val="center"/>
            <w:hideMark/>
          </w:tcPr>
          <w:p w14:paraId="25AE75C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Udhëzim</w:t>
            </w:r>
          </w:p>
        </w:tc>
        <w:tc>
          <w:tcPr>
            <w:tcW w:w="146" w:type="pct"/>
            <w:tcBorders>
              <w:top w:val="nil"/>
              <w:left w:val="nil"/>
              <w:bottom w:val="single" w:sz="4" w:space="0" w:color="auto"/>
              <w:right w:val="single" w:sz="4" w:space="0" w:color="auto"/>
            </w:tcBorders>
            <w:shd w:val="clear" w:color="FFFFFF" w:fill="FFFFFF"/>
            <w:vAlign w:val="center"/>
            <w:hideMark/>
          </w:tcPr>
          <w:p w14:paraId="30E8DB6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 rëndësishëm/i lartë (e përputhjes)</w:t>
            </w:r>
          </w:p>
        </w:tc>
        <w:tc>
          <w:tcPr>
            <w:tcW w:w="165" w:type="pct"/>
            <w:tcBorders>
              <w:top w:val="nil"/>
              <w:left w:val="nil"/>
              <w:bottom w:val="single" w:sz="4" w:space="0" w:color="auto"/>
              <w:right w:val="single" w:sz="4" w:space="0" w:color="auto"/>
            </w:tcBorders>
            <w:shd w:val="clear" w:color="FFFFFF" w:fill="FFFFFF"/>
            <w:vAlign w:val="center"/>
            <w:hideMark/>
          </w:tcPr>
          <w:p w14:paraId="7035301E"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INSTAT</w:t>
            </w:r>
          </w:p>
        </w:tc>
        <w:tc>
          <w:tcPr>
            <w:tcW w:w="113" w:type="pct"/>
            <w:tcBorders>
              <w:top w:val="nil"/>
              <w:left w:val="nil"/>
              <w:bottom w:val="single" w:sz="4" w:space="0" w:color="auto"/>
              <w:right w:val="single" w:sz="4" w:space="0" w:color="auto"/>
            </w:tcBorders>
            <w:shd w:val="clear" w:color="FFFFFF" w:fill="FFFFFF"/>
            <w:vAlign w:val="center"/>
            <w:hideMark/>
          </w:tcPr>
          <w:p w14:paraId="4383CFDB"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2026</w:t>
            </w:r>
          </w:p>
        </w:tc>
        <w:tc>
          <w:tcPr>
            <w:tcW w:w="139" w:type="pct"/>
            <w:tcBorders>
              <w:top w:val="nil"/>
              <w:left w:val="nil"/>
              <w:bottom w:val="single" w:sz="4" w:space="0" w:color="auto"/>
              <w:right w:val="single" w:sz="4" w:space="0" w:color="auto"/>
            </w:tcBorders>
            <w:shd w:val="clear" w:color="FFFFFF" w:fill="FFFFFF"/>
            <w:vAlign w:val="center"/>
            <w:hideMark/>
          </w:tcPr>
          <w:p w14:paraId="32C9E032"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Q3</w:t>
            </w:r>
          </w:p>
        </w:tc>
        <w:tc>
          <w:tcPr>
            <w:tcW w:w="129" w:type="pct"/>
            <w:tcBorders>
              <w:top w:val="nil"/>
              <w:left w:val="nil"/>
              <w:bottom w:val="single" w:sz="4" w:space="0" w:color="auto"/>
              <w:right w:val="single" w:sz="4" w:space="0" w:color="auto"/>
            </w:tcBorders>
            <w:shd w:val="clear" w:color="FFFFFF" w:fill="FFFFFF"/>
            <w:vAlign w:val="center"/>
            <w:hideMark/>
          </w:tcPr>
          <w:p w14:paraId="05AABDA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Buxhet shteti</w:t>
            </w:r>
          </w:p>
        </w:tc>
        <w:tc>
          <w:tcPr>
            <w:tcW w:w="120" w:type="pct"/>
            <w:tcBorders>
              <w:top w:val="nil"/>
              <w:left w:val="nil"/>
              <w:bottom w:val="single" w:sz="4" w:space="0" w:color="auto"/>
              <w:right w:val="single" w:sz="4" w:space="0" w:color="auto"/>
            </w:tcBorders>
            <w:shd w:val="clear" w:color="FFFFFF" w:fill="FFFFFF"/>
            <w:vAlign w:val="center"/>
            <w:hideMark/>
          </w:tcPr>
          <w:p w14:paraId="02396657"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26" w:type="pct"/>
            <w:tcBorders>
              <w:top w:val="nil"/>
              <w:left w:val="nil"/>
              <w:bottom w:val="single" w:sz="4" w:space="0" w:color="auto"/>
              <w:right w:val="single" w:sz="4" w:space="0" w:color="auto"/>
            </w:tcBorders>
            <w:shd w:val="clear" w:color="FFFFFF" w:fill="FFFFFF"/>
            <w:vAlign w:val="center"/>
            <w:hideMark/>
          </w:tcPr>
          <w:p w14:paraId="6F17C875"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7" w:type="pct"/>
            <w:tcBorders>
              <w:top w:val="nil"/>
              <w:left w:val="nil"/>
              <w:bottom w:val="single" w:sz="4" w:space="0" w:color="auto"/>
              <w:right w:val="single" w:sz="4" w:space="0" w:color="auto"/>
            </w:tcBorders>
            <w:shd w:val="clear" w:color="FFFFFF" w:fill="FFFFFF"/>
            <w:vAlign w:val="center"/>
            <w:hideMark/>
          </w:tcPr>
          <w:p w14:paraId="7E721AD3"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xml:space="preserve">2,444 </w:t>
            </w:r>
          </w:p>
        </w:tc>
        <w:tc>
          <w:tcPr>
            <w:tcW w:w="129" w:type="pct"/>
            <w:tcBorders>
              <w:top w:val="nil"/>
              <w:left w:val="nil"/>
              <w:bottom w:val="single" w:sz="4" w:space="0" w:color="auto"/>
              <w:right w:val="single" w:sz="4" w:space="0" w:color="auto"/>
            </w:tcBorders>
            <w:shd w:val="clear" w:color="FFFFFF" w:fill="FFFFFF"/>
            <w:vAlign w:val="center"/>
            <w:hideMark/>
          </w:tcPr>
          <w:p w14:paraId="7A7C1E30"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069F1C4A"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11" w:type="pct"/>
            <w:tcBorders>
              <w:top w:val="nil"/>
              <w:left w:val="nil"/>
              <w:bottom w:val="single" w:sz="4" w:space="0" w:color="auto"/>
              <w:right w:val="single" w:sz="4" w:space="0" w:color="auto"/>
            </w:tcBorders>
            <w:shd w:val="clear" w:color="FFFFFF" w:fill="FFFFFF"/>
            <w:vAlign w:val="center"/>
            <w:hideMark/>
          </w:tcPr>
          <w:p w14:paraId="210CF84F"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c>
          <w:tcPr>
            <w:tcW w:w="101" w:type="pct"/>
            <w:tcBorders>
              <w:top w:val="nil"/>
              <w:left w:val="nil"/>
              <w:bottom w:val="single" w:sz="4" w:space="0" w:color="auto"/>
              <w:right w:val="single" w:sz="4" w:space="0" w:color="auto"/>
            </w:tcBorders>
            <w:shd w:val="clear" w:color="FFFFFF" w:fill="FFFFFF"/>
            <w:vAlign w:val="center"/>
            <w:hideMark/>
          </w:tcPr>
          <w:p w14:paraId="099EB5BC" w14:textId="77777777" w:rsidR="00482167" w:rsidRPr="006D6BE5" w:rsidRDefault="00482167" w:rsidP="00A7241A">
            <w:pPr>
              <w:rPr>
                <w:rFonts w:ascii="Arial" w:hAnsi="Arial" w:cs="Arial"/>
                <w:color w:val="000000"/>
                <w:sz w:val="4"/>
                <w:szCs w:val="8"/>
                <w:lang w:val="sq-AL"/>
              </w:rPr>
            </w:pPr>
            <w:r w:rsidRPr="006D6BE5">
              <w:rPr>
                <w:rFonts w:ascii="Arial" w:hAnsi="Arial" w:cs="Arial"/>
                <w:color w:val="000000"/>
                <w:sz w:val="4"/>
                <w:szCs w:val="8"/>
                <w:lang w:val="sq-AL"/>
              </w:rPr>
              <w:t> </w:t>
            </w:r>
          </w:p>
        </w:tc>
      </w:tr>
    </w:tbl>
    <w:p w14:paraId="4F7A10AB" w14:textId="77777777" w:rsidR="00C034C4" w:rsidRPr="006D6BE5" w:rsidRDefault="00C034C4" w:rsidP="00482167">
      <w:pPr>
        <w:autoSpaceDE w:val="0"/>
        <w:autoSpaceDN w:val="0"/>
        <w:adjustRightInd w:val="0"/>
        <w:ind w:firstLine="284"/>
        <w:jc w:val="both"/>
        <w:rPr>
          <w:rFonts w:ascii="Garamond" w:hAnsi="Garamond"/>
          <w:lang w:val="sq-AL"/>
        </w:rPr>
      </w:pPr>
    </w:p>
    <w:sectPr w:rsidR="00C034C4" w:rsidRPr="006D6BE5" w:rsidSect="00482167">
      <w:pgSz w:w="16838" w:h="11906" w:orient="landscape"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5A047" w14:textId="77777777" w:rsidR="00E63D69" w:rsidRDefault="00E63D69">
      <w:r>
        <w:separator/>
      </w:r>
    </w:p>
  </w:endnote>
  <w:endnote w:type="continuationSeparator" w:id="0">
    <w:p w14:paraId="660926C0" w14:textId="77777777" w:rsidR="00E63D69" w:rsidRDefault="00E63D69">
      <w:r>
        <w:continuationSeparator/>
      </w:r>
    </w:p>
  </w:endnote>
  <w:endnote w:type="continuationNotice" w:id="1">
    <w:p w14:paraId="636BB9BC" w14:textId="77777777" w:rsidR="00E63D69" w:rsidRDefault="00E63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A5163" w14:textId="77777777" w:rsidR="00E63D69" w:rsidRDefault="00E63D69">
      <w:r>
        <w:separator/>
      </w:r>
    </w:p>
  </w:footnote>
  <w:footnote w:type="continuationSeparator" w:id="0">
    <w:p w14:paraId="27B2FB7E" w14:textId="77777777" w:rsidR="00E63D69" w:rsidRDefault="00E63D69">
      <w:r>
        <w:continuationSeparator/>
      </w:r>
    </w:p>
  </w:footnote>
  <w:footnote w:type="continuationNotice" w:id="1">
    <w:p w14:paraId="3B4128E0" w14:textId="77777777" w:rsidR="00E63D69" w:rsidRDefault="00E63D69"/>
  </w:footnote>
  <w:footnote w:id="2">
    <w:p w14:paraId="52F809BA" w14:textId="22436A47" w:rsidR="00E63D69" w:rsidRPr="00FC6CC3" w:rsidRDefault="00E63D69" w:rsidP="00C034C4">
      <w:pPr>
        <w:pStyle w:val="FootnoteText"/>
        <w:ind w:left="0" w:firstLine="0"/>
        <w:rPr>
          <w:rFonts w:ascii="Garamond" w:hAnsi="Garamond"/>
        </w:rPr>
      </w:pPr>
      <w:r w:rsidRPr="00FC6CC3">
        <w:rPr>
          <w:rStyle w:val="FootnoteCharacters"/>
          <w:rFonts w:ascii="Garamond" w:hAnsi="Garamond"/>
        </w:rPr>
        <w:footnoteRef/>
      </w:r>
      <w:r>
        <w:rPr>
          <w:rFonts w:ascii="Garamond" w:hAnsi="Garamond"/>
        </w:rPr>
        <w:t xml:space="preserve"> </w:t>
      </w:r>
      <w:hyperlink r:id="rId1">
        <w:r w:rsidRPr="00FC6CC3">
          <w:rPr>
            <w:rStyle w:val="Hyperlink"/>
            <w:rFonts w:ascii="Garamond" w:hAnsi="Garamond"/>
          </w:rPr>
          <w:t>https://kryeministria.al/ëp-content/uploads/2021/10/Programi_Qeverises_2021-2025.pdf</w:t>
        </w:r>
      </w:hyperlink>
      <w:r w:rsidRPr="00FC6CC3">
        <w:rPr>
          <w:rFonts w:ascii="Garamond" w:hAnsi="Garamond"/>
        </w:rPr>
        <w:t xml:space="preserve"> </w:t>
      </w:r>
    </w:p>
  </w:footnote>
  <w:footnote w:id="3">
    <w:p w14:paraId="1099FF9D" w14:textId="2E8EBC81" w:rsidR="00E63D69" w:rsidRPr="00FC6CC3" w:rsidRDefault="00E63D69" w:rsidP="00C034C4">
      <w:pPr>
        <w:pStyle w:val="FootnoteText"/>
        <w:ind w:left="0" w:firstLine="0"/>
        <w:rPr>
          <w:rFonts w:ascii="Garamond" w:hAnsi="Garamond"/>
        </w:rPr>
      </w:pPr>
      <w:r w:rsidRPr="00FC6CC3">
        <w:rPr>
          <w:rStyle w:val="FootnoteCharacters"/>
          <w:rFonts w:ascii="Garamond" w:hAnsi="Garamond"/>
        </w:rPr>
        <w:footnoteRef/>
      </w:r>
      <w:r>
        <w:rPr>
          <w:rFonts w:ascii="Garamond" w:hAnsi="Garamond"/>
        </w:rPr>
        <w:t xml:space="preserve"> </w:t>
      </w:r>
      <w:hyperlink r:id="rId2">
        <w:r w:rsidRPr="00FC6CC3">
          <w:rPr>
            <w:rStyle w:val="Hyperlink"/>
            <w:rFonts w:ascii="Garamond" w:hAnsi="Garamond"/>
          </w:rPr>
          <w:t>https://qbz.gov.al/eli/vendim/2023/02/22/88</w:t>
        </w:r>
      </w:hyperlink>
      <w:r w:rsidRPr="00FC6CC3">
        <w:rPr>
          <w:rFonts w:ascii="Garamond" w:hAnsi="Garamond"/>
        </w:rPr>
        <w:t xml:space="preserve"> </w:t>
      </w:r>
    </w:p>
  </w:footnote>
  <w:footnote w:id="4">
    <w:p w14:paraId="7EEFD1BE" w14:textId="6BFAE60E" w:rsidR="00E63D69" w:rsidRPr="00FC6CC3" w:rsidRDefault="00E63D69" w:rsidP="00C034C4">
      <w:pPr>
        <w:pStyle w:val="FootnoteText"/>
        <w:ind w:left="0" w:firstLine="0"/>
        <w:rPr>
          <w:rFonts w:ascii="Garamond" w:hAnsi="Garamond"/>
        </w:rPr>
      </w:pPr>
      <w:r w:rsidRPr="00FC6CC3">
        <w:rPr>
          <w:rStyle w:val="FootnoteCharacters"/>
          <w:rFonts w:ascii="Garamond" w:hAnsi="Garamond"/>
        </w:rPr>
        <w:footnoteRef/>
      </w:r>
      <w:r>
        <w:rPr>
          <w:rFonts w:ascii="Garamond" w:hAnsi="Garamond"/>
        </w:rPr>
        <w:t xml:space="preserve"> </w:t>
      </w:r>
      <w:hyperlink r:id="rId3">
        <w:r w:rsidRPr="00FC6CC3">
          <w:rPr>
            <w:rStyle w:val="Hyperlink"/>
            <w:rFonts w:ascii="Garamond" w:hAnsi="Garamond"/>
          </w:rPr>
          <w:t>https://qbz.gov.al/eli/ligj/2006/07/27/9590/92c1cfc1-2743-4c3f-9750-e36fdd90a9cc</w:t>
        </w:r>
      </w:hyperlink>
      <w:r w:rsidRPr="00FC6CC3">
        <w:rPr>
          <w:rFonts w:ascii="Garamond" w:hAnsi="Garamond"/>
        </w:rPr>
        <w:t xml:space="preserve"> </w:t>
      </w:r>
    </w:p>
  </w:footnote>
  <w:footnote w:id="5">
    <w:p w14:paraId="514E7091" w14:textId="4B52F0D7" w:rsidR="00E63D69" w:rsidRPr="00FC6CC3" w:rsidRDefault="00E63D69" w:rsidP="00C034C4">
      <w:pPr>
        <w:pStyle w:val="FootnoteText"/>
        <w:ind w:left="0" w:firstLine="0"/>
        <w:rPr>
          <w:rFonts w:ascii="Garamond" w:hAnsi="Garamond"/>
        </w:rPr>
      </w:pPr>
      <w:r w:rsidRPr="00FC6CC3">
        <w:rPr>
          <w:rStyle w:val="FootnoteCharacters"/>
          <w:rFonts w:ascii="Garamond" w:hAnsi="Garamond"/>
        </w:rPr>
        <w:footnoteRef/>
      </w:r>
      <w:r>
        <w:rPr>
          <w:rFonts w:ascii="Garamond" w:hAnsi="Garamond"/>
        </w:rPr>
        <w:t xml:space="preserve"> </w:t>
      </w:r>
      <w:hyperlink r:id="rId4">
        <w:r w:rsidRPr="00FC6CC3">
          <w:rPr>
            <w:rStyle w:val="Hyperlink"/>
            <w:rFonts w:ascii="Garamond" w:hAnsi="Garamond"/>
          </w:rPr>
          <w:t>https://qbz.gov.al/eli/vendim/2023/02/22/88</w:t>
        </w:r>
      </w:hyperlink>
      <w:r w:rsidRPr="00FC6CC3">
        <w:rPr>
          <w:rFonts w:ascii="Garamond" w:hAnsi="Garamond"/>
        </w:rPr>
        <w:t xml:space="preserve"> </w:t>
      </w:r>
    </w:p>
  </w:footnote>
  <w:footnote w:id="6">
    <w:p w14:paraId="49413EF8" w14:textId="18DAE44E" w:rsidR="00E63D69" w:rsidRPr="00FC6CC3" w:rsidRDefault="00E63D69" w:rsidP="00C034C4">
      <w:pPr>
        <w:pStyle w:val="FootnoteText"/>
        <w:ind w:left="0" w:firstLine="0"/>
        <w:rPr>
          <w:rFonts w:ascii="Garamond" w:hAnsi="Garamond"/>
        </w:rPr>
      </w:pPr>
      <w:r w:rsidRPr="00FC6CC3">
        <w:rPr>
          <w:rStyle w:val="FootnoteCharacters"/>
          <w:rFonts w:ascii="Garamond" w:hAnsi="Garamond"/>
        </w:rPr>
        <w:footnoteRef/>
      </w:r>
      <w:r>
        <w:rPr>
          <w:rFonts w:ascii="Garamond" w:hAnsi="Garamond"/>
        </w:rPr>
        <w:t xml:space="preserve"> </w:t>
      </w:r>
      <w:hyperlink r:id="rId5">
        <w:r w:rsidRPr="00FC6CC3">
          <w:rPr>
            <w:rStyle w:val="Hyperlink"/>
            <w:rFonts w:ascii="Garamond" w:hAnsi="Garamond"/>
          </w:rPr>
          <w:t>https://kryeministria.al/ëp-content/uploads/2021/10/Programi_Qeverises_2021-2025.pdf</w:t>
        </w:r>
      </w:hyperlink>
      <w:r w:rsidRPr="00FC6CC3">
        <w:rPr>
          <w:rFonts w:ascii="Garamond" w:hAnsi="Garamond"/>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F2233C"/>
    <w:multiLevelType w:val="hybridMultilevel"/>
    <w:tmpl w:val="1FEE6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8"/>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8D"/>
    <w:rsid w:val="00050A09"/>
    <w:rsid w:val="000B6A15"/>
    <w:rsid w:val="00124A20"/>
    <w:rsid w:val="0013226C"/>
    <w:rsid w:val="00132CC4"/>
    <w:rsid w:val="001B20EE"/>
    <w:rsid w:val="001C16C5"/>
    <w:rsid w:val="00211156"/>
    <w:rsid w:val="00304681"/>
    <w:rsid w:val="00315CD5"/>
    <w:rsid w:val="00473273"/>
    <w:rsid w:val="00482167"/>
    <w:rsid w:val="00484142"/>
    <w:rsid w:val="004A2AAA"/>
    <w:rsid w:val="005108DD"/>
    <w:rsid w:val="00554A2C"/>
    <w:rsid w:val="00606E34"/>
    <w:rsid w:val="00657043"/>
    <w:rsid w:val="006B6809"/>
    <w:rsid w:val="006D6BE5"/>
    <w:rsid w:val="006E6C38"/>
    <w:rsid w:val="007F5CA6"/>
    <w:rsid w:val="00831907"/>
    <w:rsid w:val="0090760C"/>
    <w:rsid w:val="009807B9"/>
    <w:rsid w:val="00996D62"/>
    <w:rsid w:val="009F5D25"/>
    <w:rsid w:val="00A57915"/>
    <w:rsid w:val="00A66D28"/>
    <w:rsid w:val="00A7241A"/>
    <w:rsid w:val="00B10C9E"/>
    <w:rsid w:val="00B5718D"/>
    <w:rsid w:val="00BE5F98"/>
    <w:rsid w:val="00C034C4"/>
    <w:rsid w:val="00C500FA"/>
    <w:rsid w:val="00C6265D"/>
    <w:rsid w:val="00C81D1E"/>
    <w:rsid w:val="00C92A2D"/>
    <w:rsid w:val="00CC331B"/>
    <w:rsid w:val="00CE6901"/>
    <w:rsid w:val="00D069ED"/>
    <w:rsid w:val="00D15676"/>
    <w:rsid w:val="00D3082A"/>
    <w:rsid w:val="00D435B5"/>
    <w:rsid w:val="00D54A75"/>
    <w:rsid w:val="00D95F78"/>
    <w:rsid w:val="00E63D69"/>
    <w:rsid w:val="00E712BC"/>
    <w:rsid w:val="00E81CF1"/>
    <w:rsid w:val="00F2162B"/>
    <w:rsid w:val="00F61C9D"/>
    <w:rsid w:val="00F70BA8"/>
    <w:rsid w:val="00F7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D662B"/>
  <w15:chartTrackingRefBased/>
  <w15:docId w15:val="{F81B15DB-8519-4B3A-A1EF-410256DD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1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basedOn w:val="Normal"/>
    <w:rsid w:val="00B5718D"/>
    <w:pPr>
      <w:spacing w:before="100" w:beforeAutospacing="1" w:after="100" w:afterAutospacing="1"/>
    </w:pPr>
    <w:rPr>
      <w:lang w:val="en-GB" w:eastAsia="en-GB"/>
    </w:rPr>
  </w:style>
  <w:style w:type="paragraph" w:styleId="ListParagraph">
    <w:name w:val="List Paragraph"/>
    <w:basedOn w:val="Normal"/>
    <w:uiPriority w:val="34"/>
    <w:qFormat/>
    <w:rsid w:val="00B5718D"/>
    <w:pPr>
      <w:ind w:left="720"/>
    </w:pPr>
  </w:style>
  <w:style w:type="paragraph" w:styleId="Footer">
    <w:name w:val="footer"/>
    <w:basedOn w:val="Normal"/>
    <w:link w:val="FooterChar"/>
    <w:uiPriority w:val="99"/>
    <w:unhideWhenUsed/>
    <w:rsid w:val="00B5718D"/>
    <w:pPr>
      <w:tabs>
        <w:tab w:val="center" w:pos="4513"/>
        <w:tab w:val="right" w:pos="9026"/>
      </w:tabs>
    </w:pPr>
  </w:style>
  <w:style w:type="character" w:customStyle="1" w:styleId="FooterChar">
    <w:name w:val="Footer Char"/>
    <w:basedOn w:val="DefaultParagraphFont"/>
    <w:link w:val="Footer"/>
    <w:uiPriority w:val="99"/>
    <w:rsid w:val="00B5718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E6C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38"/>
    <w:rPr>
      <w:rFonts w:ascii="Segoe UI" w:eastAsia="Times New Roman" w:hAnsi="Segoe UI" w:cs="Segoe UI"/>
      <w:sz w:val="18"/>
      <w:szCs w:val="18"/>
    </w:rPr>
  </w:style>
  <w:style w:type="paragraph" w:styleId="Header">
    <w:name w:val="header"/>
    <w:basedOn w:val="Normal"/>
    <w:link w:val="HeaderChar"/>
    <w:uiPriority w:val="99"/>
    <w:unhideWhenUsed/>
    <w:rsid w:val="00996D62"/>
    <w:pPr>
      <w:tabs>
        <w:tab w:val="center" w:pos="4680"/>
        <w:tab w:val="right" w:pos="9360"/>
      </w:tabs>
    </w:pPr>
  </w:style>
  <w:style w:type="character" w:customStyle="1" w:styleId="HeaderChar">
    <w:name w:val="Header Char"/>
    <w:basedOn w:val="DefaultParagraphFont"/>
    <w:link w:val="Header"/>
    <w:uiPriority w:val="99"/>
    <w:rsid w:val="00996D62"/>
    <w:rPr>
      <w:rFonts w:ascii="Times New Roman" w:eastAsia="Times New Roman" w:hAnsi="Times New Roman" w:cs="Times New Roman"/>
      <w:sz w:val="24"/>
      <w:szCs w:val="24"/>
    </w:rPr>
  </w:style>
  <w:style w:type="character" w:styleId="Hyperlink">
    <w:name w:val="Hyperlink"/>
    <w:uiPriority w:val="99"/>
    <w:rsid w:val="00C034C4"/>
    <w:rPr>
      <w:u w:val="single"/>
    </w:rPr>
  </w:style>
  <w:style w:type="character" w:customStyle="1" w:styleId="FootnoteCharacters">
    <w:name w:val="Footnote Characters"/>
    <w:qFormat/>
    <w:rsid w:val="00C034C4"/>
    <w:rPr>
      <w:vertAlign w:val="superscript"/>
    </w:rPr>
  </w:style>
  <w:style w:type="character" w:styleId="FootnoteReference">
    <w:name w:val="footnote reference"/>
    <w:rsid w:val="00C034C4"/>
    <w:rPr>
      <w:vertAlign w:val="superscript"/>
    </w:rPr>
  </w:style>
  <w:style w:type="character" w:customStyle="1" w:styleId="FootnoteTextChar">
    <w:name w:val="Footnote Text Char"/>
    <w:basedOn w:val="DefaultParagraphFont"/>
    <w:link w:val="FootnoteText"/>
    <w:qFormat/>
    <w:rsid w:val="00C034C4"/>
    <w:rPr>
      <w:sz w:val="20"/>
      <w:szCs w:val="20"/>
    </w:rPr>
  </w:style>
  <w:style w:type="paragraph" w:styleId="FootnoteText">
    <w:name w:val="footnote text"/>
    <w:basedOn w:val="Normal"/>
    <w:link w:val="FootnoteTextChar"/>
    <w:rsid w:val="00C034C4"/>
    <w:pPr>
      <w:suppressLineNumbers/>
      <w:suppressAutoHyphens/>
      <w:ind w:left="340" w:hanging="340"/>
    </w:pPr>
    <w:rPr>
      <w:rFonts w:asciiTheme="minorHAnsi" w:eastAsiaTheme="minorHAnsi" w:hAnsiTheme="minorHAnsi" w:cstheme="minorBidi"/>
      <w:sz w:val="20"/>
      <w:szCs w:val="20"/>
    </w:rPr>
  </w:style>
  <w:style w:type="character" w:customStyle="1" w:styleId="FootnoteTextChar1">
    <w:name w:val="Footnote Text Char1"/>
    <w:basedOn w:val="DefaultParagraphFont"/>
    <w:uiPriority w:val="99"/>
    <w:semiHidden/>
    <w:rsid w:val="00C034C4"/>
    <w:rPr>
      <w:rFonts w:ascii="Times New Roman" w:eastAsia="Times New Roman" w:hAnsi="Times New Roman" w:cs="Times New Roman"/>
      <w:sz w:val="20"/>
      <w:szCs w:val="20"/>
    </w:rPr>
  </w:style>
  <w:style w:type="paragraph" w:styleId="NormalWeb">
    <w:name w:val="Normal (Web)"/>
    <w:basedOn w:val="Normal"/>
    <w:uiPriority w:val="99"/>
    <w:qFormat/>
    <w:rsid w:val="00C034C4"/>
    <w:pPr>
      <w:suppressAutoHyphens/>
      <w:spacing w:beforeAutospacing="1" w:afterAutospacing="1"/>
    </w:pPr>
    <w:rPr>
      <w:rFonts w:ascii="Liberation Serif" w:eastAsia="Noto Serif CJK SC" w:hAnsi="Liberation Serif" w:cs="Lohit Devanagari"/>
      <w:kern w:val="2"/>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521455">
      <w:bodyDiv w:val="1"/>
      <w:marLeft w:val="0"/>
      <w:marRight w:val="0"/>
      <w:marTop w:val="0"/>
      <w:marBottom w:val="0"/>
      <w:divBdr>
        <w:top w:val="none" w:sz="0" w:space="0" w:color="auto"/>
        <w:left w:val="none" w:sz="0" w:space="0" w:color="auto"/>
        <w:bottom w:val="none" w:sz="0" w:space="0" w:color="auto"/>
        <w:right w:val="none" w:sz="0" w:space="0" w:color="auto"/>
      </w:divBdr>
    </w:div>
    <w:div w:id="101190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EN/TXT/PDF/?uri=CELEX:32022L2555&amp;qid=1698320025912" TargetMode="External"/><Relationship Id="rId21" Type="http://schemas.openxmlformats.org/officeDocument/2006/relationships/hyperlink" Target="https://eur-lex.europa.eu/legal-content/EN/ALL/?uri=CELEX%3A52021DC0120" TargetMode="External"/><Relationship Id="rId63" Type="http://schemas.openxmlformats.org/officeDocument/2006/relationships/hyperlink" Target="https://eur-lex.europa.eu/legal-content/EN/TXT/PDF/?uri=CELEX:52005XC0305(01)&amp;from=PL'" TargetMode="External"/><Relationship Id="rId159" Type="http://schemas.openxmlformats.org/officeDocument/2006/relationships/hyperlink" Target="https://eur-lex.europa.eu/legal-content/EN/TXT/?uri=CELEX%3A01996L0053-20190814" TargetMode="External"/><Relationship Id="rId170" Type="http://schemas.openxmlformats.org/officeDocument/2006/relationships/hyperlink" Target="https://eur-lex.europa.eu/legal-content/EN/TXT/?qid=1558624010005&amp;uri=CELEX:32014R1301" TargetMode="External"/><Relationship Id="rId226" Type="http://schemas.openxmlformats.org/officeDocument/2006/relationships/hyperlink" Target="http://data.europa.eu/eli/dir/2013/51/oj" TargetMode="External"/><Relationship Id="rId268" Type="http://schemas.openxmlformats.org/officeDocument/2006/relationships/hyperlink" Target="https://eur-lex.europa.eu/legal-content/EN/TXT/PDF/?uri=CELEX:31985L0572" TargetMode="External"/><Relationship Id="rId32" Type="http://schemas.openxmlformats.org/officeDocument/2006/relationships/hyperlink" Target="https://eur-lex.europa.eu/legal-content/EN/TXT/?uri=uriserv%3AOJ.L_.2016.345.01.0027.01.ENG" TargetMode="External"/><Relationship Id="rId74" Type="http://schemas.openxmlformats.org/officeDocument/2006/relationships/hyperlink" Target="https://eur-lex.europa.eu/legal-content/EN/TXT/?uri=celex%3A32013R0524;" TargetMode="External"/><Relationship Id="rId128" Type="http://schemas.openxmlformats.org/officeDocument/2006/relationships/hyperlink" Target="https://eur-lex.europa.eu/legal-content/EN/TXT/?uri=CELEX%3A32016H0220%2801%29" TargetMode="External"/><Relationship Id="rId5" Type="http://schemas.openxmlformats.org/officeDocument/2006/relationships/customXml" Target="../customXml/item5.xml"/><Relationship Id="rId181" Type="http://schemas.openxmlformats.org/officeDocument/2006/relationships/hyperlink" Target="https://eur-lex.europa.eu/legal-content/EN/TXT/?uri=CELEX%3A01998L0041-20191221&amp;qid=1698137775817" TargetMode="External"/><Relationship Id="rId237" Type="http://schemas.openxmlformats.org/officeDocument/2006/relationships/hyperlink" Target="http://data.europa.eu/eli/dir/2007/60/oj" TargetMode="External"/><Relationship Id="rId279" Type="http://schemas.openxmlformats.org/officeDocument/2006/relationships/hyperlink" Target="https://eur-lex.europa.eu/legal-content/EN/TXT/?uri=CELEX%3A32017R2403" TargetMode="External"/><Relationship Id="rId43" Type="http://schemas.openxmlformats.org/officeDocument/2006/relationships/hyperlink" Target="https://eur-lex.europa.eu/eli/dir/2014/54" TargetMode="External"/><Relationship Id="rId139" Type="http://schemas.openxmlformats.org/officeDocument/2006/relationships/hyperlink" Target="https://op.europa.eu/en/publication-detail/-/publication/404a8144-8892-11ec-8c40-01aa75ed71a1" TargetMode="External"/><Relationship Id="rId290" Type="http://schemas.openxmlformats.org/officeDocument/2006/relationships/hyperlink" Target="http://data.europa.eu/eli/reg/2021/1060/oj" TargetMode="External"/><Relationship Id="rId85" Type="http://schemas.openxmlformats.org/officeDocument/2006/relationships/hyperlink" Target="https://eur-lex.europa.eu/legal-content/EN/ALL/?uri=CELEX%3A32002L0098;" TargetMode="External"/><Relationship Id="rId150" Type="http://schemas.openxmlformats.org/officeDocument/2006/relationships/hyperlink" Target="https://eur-lex.europa.eu/legal-content/EN/TXT/?uri=CELEX%3A02015R2446-20220101" TargetMode="External"/><Relationship Id="rId192" Type="http://schemas.openxmlformats.org/officeDocument/2006/relationships/hyperlink" Target="https://eur-lex.europa.eu/legal-content/EN/TXT/?uri=CELEX%3A02001L0096-20081211&amp;qid=1698144249150" TargetMode="External"/><Relationship Id="rId206" Type="http://schemas.openxmlformats.org/officeDocument/2006/relationships/hyperlink" Target="https://eur-lex.europa.eu/eli/reg_impl/2023/893/oj?eliuri=eli%3Areg_impl%3A2023%3A893%3Aoj" TargetMode="External"/><Relationship Id="rId248" Type="http://schemas.openxmlformats.org/officeDocument/2006/relationships/hyperlink" Target="http://data.europa.eu/eli/dir/2000/60/2014-11-20" TargetMode="External"/><Relationship Id="rId12" Type="http://schemas.openxmlformats.org/officeDocument/2006/relationships/endnotes" Target="endnotes.xml"/><Relationship Id="rId108" Type="http://schemas.openxmlformats.org/officeDocument/2006/relationships/hyperlink" Target="https://eur-lex.europa.eu/legal-content/EN/TXT/?uri=CELEX%3A32020H1307" TargetMode="External"/><Relationship Id="rId54" Type="http://schemas.openxmlformats.org/officeDocument/2006/relationships/hyperlink" Target="https://eur-lex.europa.eu/legal-content/EN/TXT/?uri=CELEX%3A31998L0071." TargetMode="External"/><Relationship Id="rId75" Type="http://schemas.openxmlformats.org/officeDocument/2006/relationships/hyperlink" Target="https://eur-lex.europa.eu/legal-content/DA/TXT/?uri=celex:32017R2394;" TargetMode="External"/><Relationship Id="rId96" Type="http://schemas.openxmlformats.org/officeDocument/2006/relationships/hyperlink" Target="https://eur-lex.europa.eu/legal-content/EN/ALL/?uri=CELEX:32008D0411" TargetMode="External"/><Relationship Id="rId140" Type="http://schemas.openxmlformats.org/officeDocument/2006/relationships/hyperlink" Target="https://single-market-economy.ec.europa.eu/sectors/tourism_en" TargetMode="External"/><Relationship Id="rId161" Type="http://schemas.openxmlformats.org/officeDocument/2006/relationships/hyperlink" Target="https://eur-lex.europa.eu/legal-content/EN/TXT/?qid=1558539726276&amp;uri=CELEX:32016R0545" TargetMode="External"/><Relationship Id="rId182" Type="http://schemas.openxmlformats.org/officeDocument/2006/relationships/hyperlink" Target="https://eur-lex.europa.eu/legal-content/EN/TXT/?uri=CELEX%3A02009R0392-20190726&amp;qid=1698137828555" TargetMode="External"/><Relationship Id="rId217" Type="http://schemas.openxmlformats.org/officeDocument/2006/relationships/hyperlink" Target="https://eur-lex.europa.eu/eli/reg/2017/1369/oj" TargetMode="External"/><Relationship Id="rId6" Type="http://schemas.openxmlformats.org/officeDocument/2006/relationships/customXml" Target="../customXml/item6.xml"/><Relationship Id="rId238" Type="http://schemas.openxmlformats.org/officeDocument/2006/relationships/hyperlink" Target="http://data.europa.eu/eli/dir/2000/60/2014-11-20" TargetMode="External"/><Relationship Id="rId259" Type="http://schemas.openxmlformats.org/officeDocument/2006/relationships/hyperlink" Target="https://eur-lex.europa.eu/eli/reg_del/2020/687/oj" TargetMode="External"/><Relationship Id="rId23" Type="http://schemas.openxmlformats.org/officeDocument/2006/relationships/hyperlink" Target="http://data.europa.eu/eli/dir/2014/25/oj" TargetMode="External"/><Relationship Id="rId119" Type="http://schemas.openxmlformats.org/officeDocument/2006/relationships/hyperlink" Target="https://eur-lex.europa.eu/legal-content/EN/TXT/PDF/?uri=CELEX:32022L2555&amp;qid=1698320025912" TargetMode="External"/><Relationship Id="rId270" Type="http://schemas.openxmlformats.org/officeDocument/2006/relationships/hyperlink" Target="https://eur-lex.europa.eu/legal-content/EN/TXT/?uri=CELEX:02019R2035-20230406" TargetMode="External"/><Relationship Id="rId291" Type="http://schemas.openxmlformats.org/officeDocument/2006/relationships/hyperlink" Target="http://data.europa.eu/eli/reg/2021/1060/oj" TargetMode="External"/><Relationship Id="rId44" Type="http://schemas.openxmlformats.org/officeDocument/2006/relationships/hyperlink" Target="https://eur-lex.europa.eu/legal-content/EN/TXT/?uri=CELEX:32011R0492" TargetMode="External"/><Relationship Id="rId65" Type="http://schemas.openxmlformats.org/officeDocument/2006/relationships/hyperlink" Target="https://eur-lex.europa.eu/legal-content/EN/TXT/?uri=uriserv%3AOJ.C_.2022.248.01.0001.01.ENG" TargetMode="External"/><Relationship Id="rId86" Type="http://schemas.openxmlformats.org/officeDocument/2006/relationships/hyperlink" Target="https://eur-lex.europa.eu/legal-content/EN/ALL/?uri=CELEX%3A32002L0098;" TargetMode="External"/><Relationship Id="rId130" Type="http://schemas.openxmlformats.org/officeDocument/2006/relationships/hyperlink" Target="https://eur-lex.europa.eu/legal-content/EN/TXT/?uri=celex:32019L0882" TargetMode="External"/><Relationship Id="rId151" Type="http://schemas.openxmlformats.org/officeDocument/2006/relationships/hyperlink" Target="https://eur-lex.europa.eu/legal-content/EN/TXT/?uri=CELEX%3A02015R2447-20210315" TargetMode="External"/><Relationship Id="rId172" Type="http://schemas.openxmlformats.org/officeDocument/2006/relationships/hyperlink" Target="https://eur-lex.europa.eu/legal-content/EN/TXT/?qid=1558623406146&amp;uri=CELEX:32009D0965" TargetMode="External"/><Relationship Id="rId193" Type="http://schemas.openxmlformats.org/officeDocument/2006/relationships/hyperlink" Target="https://eur-lex.europa.eu/legal-content/EN/TXT/?uri=CELEX%3A02014R1321-20230825" TargetMode="External"/><Relationship Id="rId207" Type="http://schemas.openxmlformats.org/officeDocument/2006/relationships/hyperlink" Target="https://eur-lex.europa.eu/legal-content/EN/TXT/?uri=OJ%3AJOL_2023_228_R_0002" TargetMode="External"/><Relationship Id="rId228" Type="http://schemas.openxmlformats.org/officeDocument/2006/relationships/hyperlink" Target="http://data.europa.eu/eli/dir/2011/70/oj" TargetMode="External"/><Relationship Id="rId249" Type="http://schemas.openxmlformats.org/officeDocument/2006/relationships/hyperlink" Target="http://data.europa.eu/eli/dir/2008/56/2017-06-07" TargetMode="External"/><Relationship Id="rId13" Type="http://schemas.openxmlformats.org/officeDocument/2006/relationships/hyperlink" Target="https://eur-lex.europa.eu/legal-content/en/TXT/?uri=CELEX:32019L1937" TargetMode="External"/><Relationship Id="rId109" Type="http://schemas.openxmlformats.org/officeDocument/2006/relationships/hyperlink" Target="https://eur-lex.europa.eu/eli/reg/2017/1953/oj" TargetMode="External"/><Relationship Id="rId260" Type="http://schemas.openxmlformats.org/officeDocument/2006/relationships/hyperlink" Target="https://eur-lex.europa.eu/legal-content/EN/ALL/?uri=CELEX:32021R0404" TargetMode="External"/><Relationship Id="rId281" Type="http://schemas.openxmlformats.org/officeDocument/2006/relationships/hyperlink" Target="https://eur-lex.europa.eu/legal-content/EN/TXT/?uri=CELEX:32013R1379" TargetMode="External"/><Relationship Id="rId34" Type="http://schemas.openxmlformats.org/officeDocument/2006/relationships/hyperlink" Target="https://eur-lex.europa.eu/legal-content/EN/TXT/PDF/?uri=CELEX:32009R0216" TargetMode="External"/><Relationship Id="rId55" Type="http://schemas.openxmlformats.org/officeDocument/2006/relationships/hyperlink" Target="https://eur-lex.europa.eu/legal-content/EN/TXT/?uri=CELEX%3A32006R0816;" TargetMode="External"/><Relationship Id="rId76" Type="http://schemas.openxmlformats.org/officeDocument/2006/relationships/hyperlink" Target="https://eur-lex.europa.eu/legal-content/EN/TXT/?uri=CELEX%3A32017R0745;" TargetMode="External"/><Relationship Id="rId97" Type="http://schemas.openxmlformats.org/officeDocument/2006/relationships/hyperlink" Target="https://eur-lex.europa.eu/legal-content/EN/TXT/?uri=CELEX%3A32020D1426" TargetMode="External"/><Relationship Id="rId120" Type="http://schemas.openxmlformats.org/officeDocument/2006/relationships/hyperlink" Target="https://eur-lex.europa.eu/legal-content/EN/TXT/?uri=uriserv:OJ.C_.2020.223.01.0003.01.ENG&amp;toc=OJ:C:2020:223:TOC" TargetMode="External"/><Relationship Id="rId141" Type="http://schemas.openxmlformats.org/officeDocument/2006/relationships/hyperlink" Target="https://eur-lex.europa.eu/legal-content/en/ALL/?uri=CELEX%3A52018DC0306" TargetMode="External"/><Relationship Id="rId7" Type="http://schemas.openxmlformats.org/officeDocument/2006/relationships/numbering" Target="numbering.xml"/><Relationship Id="rId162" Type="http://schemas.openxmlformats.org/officeDocument/2006/relationships/hyperlink" Target="https://eur-lex.europa.eu/legal-content/EN/TXT/?qid=1558446968526&amp;uri=CELEX:32018R1795" TargetMode="External"/><Relationship Id="rId183" Type="http://schemas.openxmlformats.org/officeDocument/2006/relationships/hyperlink" Target="https://eur-lex.europa.eu/legal-content/EN/TXT/?uri=CELEX%3A02009L0016-20191221&amp;qid=1698138026185" TargetMode="External"/><Relationship Id="rId218" Type="http://schemas.openxmlformats.org/officeDocument/2006/relationships/hyperlink" Target="https://eur-lex.europa.eu/eli/dir/2014/24/oj" TargetMode="External"/><Relationship Id="rId239" Type="http://schemas.openxmlformats.org/officeDocument/2006/relationships/hyperlink" Target="http://data.europa.eu/eli/dir/2000/60/2014-11-20" TargetMode="External"/><Relationship Id="rId250" Type="http://schemas.openxmlformats.org/officeDocument/2006/relationships/hyperlink" Target="https://eur-lex.europa.eu/legal-content/EN/TXT/?qid=1560946734599&amp;uri=CELEX:32018R0273" TargetMode="External"/><Relationship Id="rId271" Type="http://schemas.openxmlformats.org/officeDocument/2006/relationships/hyperlink" Target="https://eur-lex.europa.eu/legal-content/EN/TXT/?uri=CELEX:32021R1933" TargetMode="External"/><Relationship Id="rId292" Type="http://schemas.openxmlformats.org/officeDocument/2006/relationships/hyperlink" Target="https://eur-lex.europa.eu/legal-content/EN/TXT/?uri=CELEX%3A02021R0821-20230526" TargetMode="External"/><Relationship Id="rId24" Type="http://schemas.openxmlformats.org/officeDocument/2006/relationships/hyperlink" Target="http://data.europa.eu/eli/dir/2014/24/oj" TargetMode="External"/><Relationship Id="rId45" Type="http://schemas.openxmlformats.org/officeDocument/2006/relationships/hyperlink" Target="https://eur-lex.europa.eu/legal-content/EN/TXT/?uri=celex%3A32004L0038" TargetMode="External"/><Relationship Id="rId66" Type="http://schemas.openxmlformats.org/officeDocument/2006/relationships/hyperlink" Target="https://competition-policy.ec.europa.eu/antitrust-and-cartels/legislation/vertical-block-exemptions_en" TargetMode="External"/><Relationship Id="rId87" Type="http://schemas.openxmlformats.org/officeDocument/2006/relationships/hyperlink" Target="https://eur-lex.europa.eu/legal-content/EN/ALL/?uri=CELEX%3A32002L0098;" TargetMode="External"/><Relationship Id="rId110" Type="http://schemas.openxmlformats.org/officeDocument/2006/relationships/hyperlink" Target="https://eur-lex.europa.eu/legal-content/EN/TXT/?uri=uriserv%3AOJ.L_.2023.019.01.0043.01.ENG&amp;toc=OJ%3AL%3A2023%3A019%3ATOC" TargetMode="External"/><Relationship Id="rId131" Type="http://schemas.openxmlformats.org/officeDocument/2006/relationships/hyperlink" Target="https://eur-lex.europa.eu/legal-content/EN/TXT/?uri=CELEX:52021DC0101" TargetMode="External"/><Relationship Id="rId152" Type="http://schemas.openxmlformats.org/officeDocument/2006/relationships/hyperlink" Target="https://eur-lex.europa.eu/legal-content/EN/AUTO/?uri=CELEX:02016R0341-20210315&amp;qid=1669800611800" TargetMode="External"/><Relationship Id="rId173" Type="http://schemas.openxmlformats.org/officeDocument/2006/relationships/hyperlink" Target="https://eur-lex.europa.eu/legal-content/EN/TXT/?qid=1558623740097&amp;uri=CELEX:32014R1299" TargetMode="External"/><Relationship Id="rId194" Type="http://schemas.openxmlformats.org/officeDocument/2006/relationships/hyperlink" Target="https://eur-lex.europa.eu/legal-content/EN/TXT/?uri=CELEX%3A02012R0748-20230825" TargetMode="External"/><Relationship Id="rId208" Type="http://schemas.openxmlformats.org/officeDocument/2006/relationships/hyperlink" Target="https://eur-lex.europa.eu/legal-content/EN/TXT/?uri=CELEX%3A32022R2074" TargetMode="External"/><Relationship Id="rId229" Type="http://schemas.openxmlformats.org/officeDocument/2006/relationships/hyperlink" Target="https://eur-lex.europa.eu/eli/reg/2022/869/oj" TargetMode="External"/><Relationship Id="rId240" Type="http://schemas.openxmlformats.org/officeDocument/2006/relationships/hyperlink" Target="http://data.europa.eu/eli/dir/2000/60/2014-11-20" TargetMode="External"/><Relationship Id="rId261" Type="http://schemas.openxmlformats.org/officeDocument/2006/relationships/hyperlink" Target="https://eur-lex.europa.eu/legal-content/EN/ALL/?uri=CELEX:32020R2154" TargetMode="External"/><Relationship Id="rId14" Type="http://schemas.openxmlformats.org/officeDocument/2006/relationships/hyperlink" Target="https://eur-lex.europa.eu/legal-content/EN/TXT/?uri=celex%3A32010L0064" TargetMode="External"/><Relationship Id="rId35" Type="http://schemas.openxmlformats.org/officeDocument/2006/relationships/hyperlink" Target="https://eur-lex.europa.eu/legal-content/EN/TXT/PDF/?uri=CELEX:32023R0137" TargetMode="External"/><Relationship Id="rId56" Type="http://schemas.openxmlformats.org/officeDocument/2006/relationships/hyperlink" Target="https://eur-lex.europa.eu/legal-content/EN/TXT/?uri=CELEX%3A32016L0943" TargetMode="External"/><Relationship Id="rId77" Type="http://schemas.openxmlformats.org/officeDocument/2006/relationships/hyperlink" Target="https://eur-lex.europa.eu/eli/reg/2017/746/oj;" TargetMode="External"/><Relationship Id="rId100" Type="http://schemas.openxmlformats.org/officeDocument/2006/relationships/hyperlink" Target="https://eur-lex.europa.eu/legal-content/en/TXT/?uri=CELEX%3A32019D0784" TargetMode="External"/><Relationship Id="rId282" Type="http://schemas.openxmlformats.org/officeDocument/2006/relationships/hyperlink" Target="https://eur-lex.europa.eu/legal-content/EN/TXT/?uri=CELEX:32014H0117" TargetMode="External"/><Relationship Id="rId8" Type="http://schemas.openxmlformats.org/officeDocument/2006/relationships/styles" Target="styles.xml"/><Relationship Id="rId98" Type="http://schemas.openxmlformats.org/officeDocument/2006/relationships/hyperlink" Target="https://eur-lex.europa.eu/legal-content/EN/TXT/?uri=CELEX%3A32022D0179&amp;qid=1644477768617" TargetMode="External"/><Relationship Id="rId121" Type="http://schemas.openxmlformats.org/officeDocument/2006/relationships/hyperlink" Target="https://eur-lex.europa.eu/legal-content/EN/TXT/?uri=uriserv:OJ.C_.2020.223.01.0010.01.ENG&amp;toc=OJ:C:2020:223:TOC" TargetMode="External"/><Relationship Id="rId142" Type="http://schemas.openxmlformats.org/officeDocument/2006/relationships/hyperlink" Target="https://eur-lex.europa.eu/legal-content/EN/ALL/?uri=CELEX%3A32021G0226%2801%29" TargetMode="External"/><Relationship Id="rId163" Type="http://schemas.openxmlformats.org/officeDocument/2006/relationships/hyperlink" Target="https://eur-lex.europa.eu/legal-content/EN/TXT/?uri=celex:32018R0761" TargetMode="External"/><Relationship Id="rId184" Type="http://schemas.openxmlformats.org/officeDocument/2006/relationships/hyperlink" Target="https://eur-lex.europa.eu/legal-content/EN/TXT/?uri=CELEX%3A02002L0059-20190726&amp;qid=1698138421137" TargetMode="External"/><Relationship Id="rId219" Type="http://schemas.openxmlformats.org/officeDocument/2006/relationships/hyperlink" Target="http://data.europa.eu/eli/dir/2019/944/oj" TargetMode="External"/><Relationship Id="rId230" Type="http://schemas.openxmlformats.org/officeDocument/2006/relationships/hyperlink" Target="http://data.europa.eu/eli/reg/2012/649/2022-07-01" TargetMode="External"/><Relationship Id="rId251" Type="http://schemas.openxmlformats.org/officeDocument/2006/relationships/hyperlink" Target="http://data.europa.eu/eli/reg_impl/2019/34/oj" TargetMode="External"/><Relationship Id="rId25" Type="http://schemas.openxmlformats.org/officeDocument/2006/relationships/hyperlink" Target="http://data.europa.eu/eli/dir/2014/25/oj" TargetMode="External"/><Relationship Id="rId46" Type="http://schemas.openxmlformats.org/officeDocument/2006/relationships/hyperlink" Target="https://eur-lex.europa.eu/legal-content/EN/TXT/?uri=CELEX%3A32006L0123" TargetMode="External"/><Relationship Id="rId67" Type="http://schemas.openxmlformats.org/officeDocument/2006/relationships/hyperlink" Target="http://data.europa.eu/eli/reg/2013/575/oj;" TargetMode="External"/><Relationship Id="rId272" Type="http://schemas.openxmlformats.org/officeDocument/2006/relationships/hyperlink" Target="https://eur-lex.europa.eu/legal-content/EN/TXT/?uri=CELEX:32021R1938" TargetMode="External"/><Relationship Id="rId293" Type="http://schemas.openxmlformats.org/officeDocument/2006/relationships/hyperlink" Target="https://eur-lex.europa.eu/legal-content/EN/TXT/?uri=uriserv%3AOJ.L_.2023.009.01.0001.01.ENG&amp;toc=OJ%3AL%3A2023%3A009%3ATOC" TargetMode="External"/><Relationship Id="rId88" Type="http://schemas.openxmlformats.org/officeDocument/2006/relationships/hyperlink" Target="https://eur-lex.europa.eu/legal-content/EN/ALL/?uri=CELEX%3A32002L0098;" TargetMode="External"/><Relationship Id="rId111" Type="http://schemas.openxmlformats.org/officeDocument/2006/relationships/hyperlink" Target="https://eur-lex.europa.eu/legal-content/EN/ALL/?uri=COM%3A2021%3A205%3AFIN" TargetMode="External"/><Relationship Id="rId132" Type="http://schemas.openxmlformats.org/officeDocument/2006/relationships/hyperlink" Target="https://eur-lex.europa.eu/legal-content/EN/TXT/?uri=uriserv:OJ.L_.2021.223.01.0014.01.ENG" TargetMode="External"/><Relationship Id="rId153" Type="http://schemas.openxmlformats.org/officeDocument/2006/relationships/hyperlink" Target="https://eur-lex.europa.eu/legal-content/EN/AUTO/?uri=CELEX:01987A0813(01)-20220825" TargetMode="External"/><Relationship Id="rId174" Type="http://schemas.openxmlformats.org/officeDocument/2006/relationships/hyperlink" Target="https://eur-lex.europa.eu/legal-content/EN/TXT/?qid=1558624477706&amp;uri=CELEX:32014R1302" TargetMode="External"/><Relationship Id="rId195" Type="http://schemas.openxmlformats.org/officeDocument/2006/relationships/hyperlink" Target="https://eur-lex.europa.eu/legal-content/EN/TXT/?uri=celex%3A32015R0640" TargetMode="External"/><Relationship Id="rId209" Type="http://schemas.openxmlformats.org/officeDocument/2006/relationships/hyperlink" Target="https://eur-lex.europa.eu/legal-content/EN/TXT/?uri=CELEX%3A32023R1768" TargetMode="External"/><Relationship Id="rId220" Type="http://schemas.openxmlformats.org/officeDocument/2006/relationships/hyperlink" Target="http://data.europa.eu/eli/reg/2019/943/oj" TargetMode="External"/><Relationship Id="rId241" Type="http://schemas.openxmlformats.org/officeDocument/2006/relationships/hyperlink" Target="http://data.europa.eu/eli/dir/2000/60/2014-11-20" TargetMode="External"/><Relationship Id="rId15" Type="http://schemas.openxmlformats.org/officeDocument/2006/relationships/hyperlink" Target="https://eur-lex.europa.eu/legal-content/EN/TXT/?uri=CELEX%3A02016L1919-20161104" TargetMode="External"/><Relationship Id="rId36" Type="http://schemas.openxmlformats.org/officeDocument/2006/relationships/hyperlink" Target="https://eur-lex.europa.eu/legal-content/EN/TXT/PDF/?uri=CELEX:32019R2152" TargetMode="External"/><Relationship Id="rId57" Type="http://schemas.openxmlformats.org/officeDocument/2006/relationships/hyperlink" Target="https://eur-lex.europa.eu/legal-content/EN/TXT/?uri=CELEX%3A32004L0048R%2801%29" TargetMode="External"/><Relationship Id="rId262" Type="http://schemas.openxmlformats.org/officeDocument/2006/relationships/hyperlink" Target="https://eur-lex.europa.eu/legal-content/EN/ALL/?uri=CELEX:32021R0405" TargetMode="External"/><Relationship Id="rId283" Type="http://schemas.openxmlformats.org/officeDocument/2006/relationships/hyperlink" Target="https://op.europa.eu/en/publication-detail/-/publication/4eae36a1-6f9f-11e3-b589-01aa75ed71a1/language-en" TargetMode="External"/><Relationship Id="rId78" Type="http://schemas.openxmlformats.org/officeDocument/2006/relationships/hyperlink" Target="https://eur-lex.europa.eu/eli/dir/2001/83/oj/eng;" TargetMode="External"/><Relationship Id="rId99" Type="http://schemas.openxmlformats.org/officeDocument/2006/relationships/hyperlink" Target="https://eur-lex.europa.eu/legal-content/EN/TXT/?uri=CELEX%3A32021D1067" TargetMode="External"/><Relationship Id="rId101" Type="http://schemas.openxmlformats.org/officeDocument/2006/relationships/hyperlink" Target="https://eur-lex.europa.eu/legal-content/EN/TXT/?uri=CELEX:32022D0180" TargetMode="External"/><Relationship Id="rId122" Type="http://schemas.openxmlformats.org/officeDocument/2006/relationships/hyperlink" Target="http://eur-lex.europa.eu/LexUriServ/LexUriServ.do?uri=CELEX:52004XC0428(01):EN:HTML" TargetMode="External"/><Relationship Id="rId143" Type="http://schemas.openxmlformats.org/officeDocument/2006/relationships/hyperlink" Target="https://eur-lex.europa.eu/legal-content/EN/TXT/HTML/?uri=CELEX:52022XG1209(01)&amp;from=EN" TargetMode="External"/><Relationship Id="rId164" Type="http://schemas.openxmlformats.org/officeDocument/2006/relationships/hyperlink" Target="https://eur-lex.europa.eu/legal-content/EN/TXT/?qid=1558539726276&amp;uri=CELEX:32015R0909" TargetMode="External"/><Relationship Id="rId185" Type="http://schemas.openxmlformats.org/officeDocument/2006/relationships/hyperlink" Target="https://eur-lex.europa.eu/legal-content/EN/TXT/?uri=CELEX%3A32009R0391&amp;qid=1698138881719" TargetMode="External"/><Relationship Id="rId9" Type="http://schemas.openxmlformats.org/officeDocument/2006/relationships/settings" Target="settings.xml"/><Relationship Id="rId210" Type="http://schemas.openxmlformats.org/officeDocument/2006/relationships/hyperlink" Target="https://eur-lex.europa.eu/legal-content/EN/ALL/?uri=CELEX%3A32006L0093" TargetMode="External"/><Relationship Id="rId26" Type="http://schemas.openxmlformats.org/officeDocument/2006/relationships/hyperlink" Target="http://data.europa.eu/eli/dir/2009/81/oj" TargetMode="External"/><Relationship Id="rId231" Type="http://schemas.openxmlformats.org/officeDocument/2006/relationships/hyperlink" Target="http://data.europa.eu/eli/reg/2006/1907/2023-08-06" TargetMode="External"/><Relationship Id="rId252" Type="http://schemas.openxmlformats.org/officeDocument/2006/relationships/hyperlink" Target="http://data.europa.eu/eli/reg_impl/2019/34/oj" TargetMode="External"/><Relationship Id="rId273" Type="http://schemas.openxmlformats.org/officeDocument/2006/relationships/hyperlink" Target="https://eur-lex.europa.eu/legal-content/EN/TXT/PDF/?uri=CELEX:32013R0210" TargetMode="External"/><Relationship Id="rId294" Type="http://schemas.openxmlformats.org/officeDocument/2006/relationships/hyperlink" Target="https://eur-lex.europa.eu/legal-content/EN/TXT/PDF/?uri=CELEX:52022XG0301(01)" TargetMode="External"/><Relationship Id="rId47" Type="http://schemas.openxmlformats.org/officeDocument/2006/relationships/hyperlink" Target="https://eur-lex.europa.eu/legal-content/EN/TXT/?uri=CELEX:02005L0036-20211210" TargetMode="External"/><Relationship Id="rId68" Type="http://schemas.openxmlformats.org/officeDocument/2006/relationships/hyperlink" Target="http://data.europa.eu/eli/reg/2013/575/oj;" TargetMode="External"/><Relationship Id="rId89" Type="http://schemas.openxmlformats.org/officeDocument/2006/relationships/hyperlink" Target="https://eur-lex.europa.eu/eli/reg_impl/2020/1070/oj" TargetMode="External"/><Relationship Id="rId112" Type="http://schemas.openxmlformats.org/officeDocument/2006/relationships/hyperlink" Target="https://eur-lex.europa.eu/legal-content/EN/TXT/?uri=uriserv%3AOJ.L_.2021.256.01.0003.01.ENG&amp;toc=OJ%3AL%3A2021%3A256%3ATOC" TargetMode="External"/><Relationship Id="rId133" Type="http://schemas.openxmlformats.org/officeDocument/2006/relationships/hyperlink" Target="https://eur-lex.europa.eu/legal-content/EN/TXT/?uri=CELEX:32022H1220(01)" TargetMode="External"/><Relationship Id="rId154" Type="http://schemas.openxmlformats.org/officeDocument/2006/relationships/hyperlink" Target="https://eur-lex.europa.eu/legal-content/EN/ALL/?uri=celex%3A32009L0033" TargetMode="External"/><Relationship Id="rId175" Type="http://schemas.openxmlformats.org/officeDocument/2006/relationships/hyperlink" Target="https://eur-lex.europa.eu/legal-content/EN/TXT/?qid=1558624919775&amp;uri=CELEX:32014R1303" TargetMode="External"/><Relationship Id="rId196" Type="http://schemas.openxmlformats.org/officeDocument/2006/relationships/hyperlink" Target="https://eur-lex.europa.eu/eli/reg_impl/2023/1772/oj" TargetMode="External"/><Relationship Id="rId200" Type="http://schemas.openxmlformats.org/officeDocument/2006/relationships/hyperlink" Target="https://eur-lex.europa.eu/legal-content/EN/TXT/?uri=CELEX%3A32023R1770" TargetMode="External"/><Relationship Id="rId16" Type="http://schemas.openxmlformats.org/officeDocument/2006/relationships/hyperlink" Target="https://eur-lex.europa.eu/legal-content/EN/TXT/?uri=CELEX%3A52020DC0152" TargetMode="External"/><Relationship Id="rId221" Type="http://schemas.openxmlformats.org/officeDocument/2006/relationships/hyperlink" Target="http://data.europa.eu/eli/reg/2019/942/oj" TargetMode="External"/><Relationship Id="rId242" Type="http://schemas.openxmlformats.org/officeDocument/2006/relationships/hyperlink" Target="http://data.europa.eu/eli/dir/2000/60/2014-11-20" TargetMode="External"/><Relationship Id="rId263" Type="http://schemas.openxmlformats.org/officeDocument/2006/relationships/hyperlink" Target="https://eur-lex.europa.eu/legal-content/EN/TXT/PDF/?uri=CELEX:02012R0231-20231029" TargetMode="External"/><Relationship Id="rId284" Type="http://schemas.openxmlformats.org/officeDocument/2006/relationships/hyperlink" Target="https://eur-lex.europa.eu/legal-content/EN/TXT/?uri=CELEX%3A02021R2064-20230101" TargetMode="External"/><Relationship Id="rId37" Type="http://schemas.openxmlformats.org/officeDocument/2006/relationships/hyperlink" Target="https://eur-lex.europa.eu/legal-content/EN/TXT/PDF/?uri=CELEX:32019R1700" TargetMode="External"/><Relationship Id="rId58" Type="http://schemas.openxmlformats.org/officeDocument/2006/relationships/hyperlink" Target="https://eur-lex.europa.eu/legal-content/EN/TXT/?uri=CELEX%3A32015L2436" TargetMode="External"/><Relationship Id="rId79" Type="http://schemas.openxmlformats.org/officeDocument/2006/relationships/hyperlink" Target="https://health.ec.europa.eu/system/files/2016-11/reg_2004_726_en_0.pdf;" TargetMode="External"/><Relationship Id="rId102" Type="http://schemas.openxmlformats.org/officeDocument/2006/relationships/hyperlink" Target="https://eur-lex.europa.eu/legal-content/EN/TXT/?qid=1567676305871&amp;uri=CELEX:32019D1345" TargetMode="External"/><Relationship Id="rId123" Type="http://schemas.openxmlformats.org/officeDocument/2006/relationships/hyperlink" Target="https://eur-lex.europa.eu/legal-content/EN/TXT/?uri=CELEX:32021H1534" TargetMode="External"/><Relationship Id="rId144" Type="http://schemas.openxmlformats.org/officeDocument/2006/relationships/hyperlink" Target="https://eur-lex.europa.eu/legal-content/EN/TXT/?uri=celex%3A32012H1222%2801%29" TargetMode="External"/><Relationship Id="rId90" Type="http://schemas.openxmlformats.org/officeDocument/2006/relationships/hyperlink" Target="https://eur-lex.europa.eu/legal-content/EN/TXT/?uri=CELEX%3A32019R2243" TargetMode="External"/><Relationship Id="rId165" Type="http://schemas.openxmlformats.org/officeDocument/2006/relationships/hyperlink" Target="https://eur-lex.europa.eu/legal-content/EN/TXT/?qid=1558539726276&amp;uri=CELEX:32015R0429" TargetMode="External"/><Relationship Id="rId186" Type="http://schemas.openxmlformats.org/officeDocument/2006/relationships/hyperlink" Target="https://eur-lex.europa.eu/legal-content/EN/TXT/?uri=CELEX%3A32009L0015&amp;qid=1698138929864" TargetMode="External"/><Relationship Id="rId211" Type="http://schemas.openxmlformats.org/officeDocument/2006/relationships/hyperlink" Target="https://eur-lex.europa.eu/legal-content/EN/TXT/?uri=CELEX%3A32019R0317" TargetMode="External"/><Relationship Id="rId232" Type="http://schemas.openxmlformats.org/officeDocument/2006/relationships/hyperlink" Target="http://data.europa.eu/eli/dir/2008/98/2018-07-05" TargetMode="External"/><Relationship Id="rId253" Type="http://schemas.openxmlformats.org/officeDocument/2006/relationships/hyperlink" Target="http://data.europa.eu/eli/reg/2018/848/oj" TargetMode="External"/><Relationship Id="rId274" Type="http://schemas.openxmlformats.org/officeDocument/2006/relationships/hyperlink" Target="https://eur-lex.europa.eu/eli/reg_impl/2022/1195/oj" TargetMode="External"/><Relationship Id="rId295" Type="http://schemas.openxmlformats.org/officeDocument/2006/relationships/hyperlink" Target="https://eur-lex.europa.eu/legal-content/EN/TXT/?uri=celex%3A32013R0549" TargetMode="External"/><Relationship Id="rId27" Type="http://schemas.openxmlformats.org/officeDocument/2006/relationships/hyperlink" Target="http://data.europa.eu/eli/dir/2009/81/oj" TargetMode="External"/><Relationship Id="rId48" Type="http://schemas.openxmlformats.org/officeDocument/2006/relationships/hyperlink" Target="https://eur-lex.europa.eu/legal-content/EN/TXT/?qid=1544433614259&amp;uri=CELEX:31988L0361" TargetMode="External"/><Relationship Id="rId69" Type="http://schemas.openxmlformats.org/officeDocument/2006/relationships/hyperlink" Target="http://data.europa.eu/eli/dir/2009/138/oj" TargetMode="External"/><Relationship Id="rId113" Type="http://schemas.openxmlformats.org/officeDocument/2006/relationships/hyperlink" Target="https://eur-lex.europa.eu/legal-content/EN/TXT/?uri=CELEX%3A32022D2481" TargetMode="External"/><Relationship Id="rId134" Type="http://schemas.openxmlformats.org/officeDocument/2006/relationships/hyperlink" Target="https://eur-lex.europa.eu/legal-content/EN/TXT/?uri=CELEX:52022DC0440" TargetMode="External"/><Relationship Id="rId80" Type="http://schemas.openxmlformats.org/officeDocument/2006/relationships/hyperlink" Target="https://eur-lex.europa.eu/LexUriServ/LexUriServ.do?uri=OJ:L:2008:334:0007:0024:en:PDF;" TargetMode="External"/><Relationship Id="rId155" Type="http://schemas.openxmlformats.org/officeDocument/2006/relationships/hyperlink" Target="https://eur-lex.europa.eu/legal-content/en/ALL/?uri=CELEX%3A32019L1161" TargetMode="External"/><Relationship Id="rId176" Type="http://schemas.openxmlformats.org/officeDocument/2006/relationships/hyperlink" Target="https://eur-lex.europa.eu/legal-content/EN/TXT/?qid=1558625093467&amp;uri=CELEX:32014R1304" TargetMode="External"/><Relationship Id="rId197" Type="http://schemas.openxmlformats.org/officeDocument/2006/relationships/hyperlink" Target="https://eur-lex.europa.eu/legal-content/EN/TXT/?uri=CELEX%3A32023R1771" TargetMode="External"/><Relationship Id="rId201" Type="http://schemas.openxmlformats.org/officeDocument/2006/relationships/hyperlink" Target="https://eur-lex.europa.eu/legal-content/EN/TXT/?uri=CELEX%3A02018R0395-20211115" TargetMode="External"/><Relationship Id="rId222" Type="http://schemas.openxmlformats.org/officeDocument/2006/relationships/hyperlink" Target="http://data.europa.eu/eli/reg/2022/2577/oj" TargetMode="External"/><Relationship Id="rId243" Type="http://schemas.openxmlformats.org/officeDocument/2006/relationships/hyperlink" Target="http://data.europa.eu/eli/dir/2006/118/2014-07-11" TargetMode="External"/><Relationship Id="rId264" Type="http://schemas.openxmlformats.org/officeDocument/2006/relationships/hyperlink" Target="https://eur-lex.europa.eu/legal-content/EN/TXT/PDF/?uri=CELEX:32023R0915&amp;qid=1703158462468" TargetMode="External"/><Relationship Id="rId285" Type="http://schemas.openxmlformats.org/officeDocument/2006/relationships/hyperlink" Target="https://eur-lex.europa.eu/legal-content/EN/TXT/?qid=1408984470270&amp;uri=CELEX:02008R1005-20110309" TargetMode="External"/><Relationship Id="rId17" Type="http://schemas.openxmlformats.org/officeDocument/2006/relationships/hyperlink" Target="https://eur-lex.europa.eu/legal-content/EN/TXT/?uri=CELEX:52021DC0101" TargetMode="External"/><Relationship Id="rId38" Type="http://schemas.openxmlformats.org/officeDocument/2006/relationships/hyperlink" Target="https://eur-lex.europa.eu/eli/reg/2018/1091/oj" TargetMode="External"/><Relationship Id="rId59" Type="http://schemas.openxmlformats.org/officeDocument/2006/relationships/hyperlink" Target="http://data.europa.eu/eli/dir/2019/790/oj" TargetMode="External"/><Relationship Id="rId103" Type="http://schemas.openxmlformats.org/officeDocument/2006/relationships/hyperlink" Target="https://eur-lex.europa.eu/legal-content/EN/TXT/?uri=CELEX%3A32022D0172" TargetMode="External"/><Relationship Id="rId124" Type="http://schemas.openxmlformats.org/officeDocument/2006/relationships/hyperlink" Target="https://ec.europa.eu/info/publications/2022-rule-law-report-communication-and-country-chapters_en" TargetMode="External"/><Relationship Id="rId70" Type="http://schemas.openxmlformats.org/officeDocument/2006/relationships/hyperlink" Target="https://eur-lex.europa.eu/legal-content/en/ALL/?uri=CELEX%3A32019L2161;" TargetMode="External"/><Relationship Id="rId91" Type="http://schemas.openxmlformats.org/officeDocument/2006/relationships/hyperlink" Target="https://eur-lex.europa.eu/legal-content/en/TXT/?uri=CELEX%3A32007D0098" TargetMode="External"/><Relationship Id="rId145" Type="http://schemas.openxmlformats.org/officeDocument/2006/relationships/hyperlink" Target="https://eur-lex.europa.eu/legal-content/EN/TXT/PDF/?uri=uriserv:OJ.C_.2020.415.01.0001.01.ENGOJ%20C%20157,%2011.4.2022,%20p.%201&#8211;9EUR-Lex%20-%2032022H0411(01)%20-%20EN%20-%20EUR-Lex%20(europa.eu)" TargetMode="External"/><Relationship Id="rId166" Type="http://schemas.openxmlformats.org/officeDocument/2006/relationships/hyperlink" Target="https://eur-lex.europa.eu/legal-content/EN/TXT/?qid=1558539726276&amp;uri=CELEX:32015R1100" TargetMode="External"/><Relationship Id="rId187" Type="http://schemas.openxmlformats.org/officeDocument/2006/relationships/hyperlink" Target="https://eur-lex.europa.eu/legal-content/en/TXT/?uri=CELEX%3A32016L0802" TargetMode="External"/><Relationship Id="rId1" Type="http://schemas.openxmlformats.org/officeDocument/2006/relationships/customXml" Target="../customXml/item1.xml"/><Relationship Id="rId212" Type="http://schemas.openxmlformats.org/officeDocument/2006/relationships/hyperlink" Target="https://eur-lex.europa.eu/legal-content/EN/TXT/?uri=CELEX%3A02010R0255-20171211" TargetMode="External"/><Relationship Id="rId233" Type="http://schemas.openxmlformats.org/officeDocument/2006/relationships/hyperlink" Target="http://data.europa.eu/eli/dir/2008/98/2018-07-05" TargetMode="External"/><Relationship Id="rId254" Type="http://schemas.openxmlformats.org/officeDocument/2006/relationships/hyperlink" Target="http://data.europa.eu/eli/reg_impl/2021/1378/oj" TargetMode="External"/><Relationship Id="rId28" Type="http://schemas.openxmlformats.org/officeDocument/2006/relationships/hyperlink" Target="http://data.europa.eu/eli/dir/2009/81/oj" TargetMode="External"/><Relationship Id="rId49" Type="http://schemas.openxmlformats.org/officeDocument/2006/relationships/hyperlink" Target="https://eur-lex.europa.eu/legal-content/EN/TXT/?qid=1544194880707&amp;uri=CELEX:32012R0260" TargetMode="External"/><Relationship Id="rId114" Type="http://schemas.openxmlformats.org/officeDocument/2006/relationships/hyperlink" Target="https://eur-lex.europa.eu/legal-content/EN/TXT/HTML/?uri=CELEX:52022IP0339" TargetMode="External"/><Relationship Id="rId275" Type="http://schemas.openxmlformats.org/officeDocument/2006/relationships/hyperlink" Target="https://eur-lex.europa.eu/eli/reg_impl/2022/1194/oj" TargetMode="External"/><Relationship Id="rId296" Type="http://schemas.openxmlformats.org/officeDocument/2006/relationships/hyperlink" Target="https://eur-lex.europa.eu/eli/reg/2019/516/oj" TargetMode="External"/><Relationship Id="rId60" Type="http://schemas.openxmlformats.org/officeDocument/2006/relationships/hyperlink" Target="http://data.europa.eu/eli/dir/1987/54/oj" TargetMode="External"/><Relationship Id="rId81" Type="http://schemas.openxmlformats.org/officeDocument/2006/relationships/hyperlink" Target="https://eur-lex.europa.eu/legal-content/EN/ALL/?uri=CELEX%3A32002L0098;" TargetMode="External"/><Relationship Id="rId135" Type="http://schemas.openxmlformats.org/officeDocument/2006/relationships/hyperlink" Target="https://eur-lex.europa.eu/legal-%20content/EN/TXT/PDF/?uri=CELEX:32022H1215(01)&amp;qid=1673363935466&amp;from=EN" TargetMode="External"/><Relationship Id="rId156" Type="http://schemas.openxmlformats.org/officeDocument/2006/relationships/hyperlink" Target="https://eur-lex.europa.eu/legal-content/en/TXT/?uri=CELEX%3A32014L0094" TargetMode="External"/><Relationship Id="rId177" Type="http://schemas.openxmlformats.org/officeDocument/2006/relationships/hyperlink" Target="https://eur-lex.europa.eu/legal-content/EN/TXT/?uri=uriserv:OJ.LI.2019.139.01.0089.01.ENG&amp;toc=OJ:L:2019:139I:TOC" TargetMode="External"/><Relationship Id="rId198" Type="http://schemas.openxmlformats.org/officeDocument/2006/relationships/hyperlink" Target="https://eur-lex.europa.eu/legal-content/EN/TXT/?uri=CELEX%3A02018R1139-20210725" TargetMode="External"/><Relationship Id="rId202" Type="http://schemas.openxmlformats.org/officeDocument/2006/relationships/hyperlink" Target="https://eur-lex.europa.eu/legal-content/EN/TXT/?uri=CELEX%3A32022R1645" TargetMode="External"/><Relationship Id="rId223" Type="http://schemas.openxmlformats.org/officeDocument/2006/relationships/hyperlink" Target="https://eur-lex.europa.eu/eli/dir/2009/119/2020-01-01" TargetMode="External"/><Relationship Id="rId244" Type="http://schemas.openxmlformats.org/officeDocument/2006/relationships/hyperlink" Target="http://data.europa.eu/eli/dir/2010/75/2011-01-06" TargetMode="External"/><Relationship Id="rId18" Type="http://schemas.openxmlformats.org/officeDocument/2006/relationships/hyperlink" Target="https://eur-lex.europa.eu/legal-content/EN/TXT/?uri=CELEX:52021DC0101" TargetMode="External"/><Relationship Id="rId39" Type="http://schemas.openxmlformats.org/officeDocument/2006/relationships/hyperlink" Target="http://data.europa.eu/eli/dir/2017/1371/oj" TargetMode="External"/><Relationship Id="rId265" Type="http://schemas.openxmlformats.org/officeDocument/2006/relationships/hyperlink" Target="https://eur-lex.europa.eu/legal-content/EN/TXT/PDF/?uri=CELEX:32013R0210" TargetMode="External"/><Relationship Id="rId286" Type="http://schemas.openxmlformats.org/officeDocument/2006/relationships/hyperlink" Target="https://eur-lex.europa.eu/legal-content/EN/ALL/?uri=CELEX%3A32009R1224" TargetMode="External"/><Relationship Id="rId50" Type="http://schemas.openxmlformats.org/officeDocument/2006/relationships/hyperlink" Target="http://eur-lex.europa.eu/legal-content/EN/TXT/?qid=1411741912824&amp;uri=CELEX:32014L0056" TargetMode="External"/><Relationship Id="rId104" Type="http://schemas.openxmlformats.org/officeDocument/2006/relationships/hyperlink" Target="https://eur-lex.europa.eu/legal-content/EN/TXT/?uri=CELEX%3A32022D2324&amp;qid=1674874227102" TargetMode="External"/><Relationship Id="rId125" Type="http://schemas.openxmlformats.org/officeDocument/2006/relationships/hyperlink" Target="https://eur-lex.europa.eu/legal-content/EN/TXT/?uri=CELEX%3A52022PC0457" TargetMode="External"/><Relationship Id="rId146" Type="http://schemas.openxmlformats.org/officeDocument/2006/relationships/hyperlink" Target="https://eur-lex.europa.eu/legal-content/EN/TXT/PDF/?uri=uriserv:OJ.C_.2020.415.01.0001.01.ENGOJ%20C%20157,%2011.4.2022,%20p.%201&#8211;9EUR-Lex%20-%2032022H0411(01)%20-%20EN%20-%20EUR-Lex%20(europa.eu)" TargetMode="External"/><Relationship Id="rId167" Type="http://schemas.openxmlformats.org/officeDocument/2006/relationships/hyperlink" Target="https://eur-lex.europa.eu/legal-content/EN/TXT/?qid=1558446968526&amp;uri=CELEX:32017R2177" TargetMode="External"/><Relationship Id="rId188" Type="http://schemas.openxmlformats.org/officeDocument/2006/relationships/hyperlink" Target="https://eur-lex.europa.eu/legal-content/EN/TXT/?uri=CELEX%3A02015R0757-20230605&amp;qid=1698143562928" TargetMode="External"/><Relationship Id="rId71" Type="http://schemas.openxmlformats.org/officeDocument/2006/relationships/hyperlink" Target="https://eur-lex.europa.eu/legal-content/EN/TXT/?uri=celex%3A32019L0770" TargetMode="External"/><Relationship Id="rId92" Type="http://schemas.openxmlformats.org/officeDocument/2006/relationships/hyperlink" Target="https://eur-lex.europa.eu/eli/dec_impl/2022/173" TargetMode="External"/><Relationship Id="rId213" Type="http://schemas.openxmlformats.org/officeDocument/2006/relationships/hyperlink" Target="https://eur-lex.europa.eu/legal-content/EN/TXT/PDF/?uri=CELEX:32011R0176" TargetMode="External"/><Relationship Id="rId234" Type="http://schemas.openxmlformats.org/officeDocument/2006/relationships/hyperlink" Target="http://data.europa.eu/eli/dir/2010/75/2011-01-06" TargetMode="External"/><Relationship Id="rId2" Type="http://schemas.openxmlformats.org/officeDocument/2006/relationships/customXml" Target="../customXml/item2.xml"/><Relationship Id="rId29" Type="http://schemas.openxmlformats.org/officeDocument/2006/relationships/hyperlink" Target="http://data.europa.eu/eli/dir/2014/23/oj" TargetMode="External"/><Relationship Id="rId255" Type="http://schemas.openxmlformats.org/officeDocument/2006/relationships/hyperlink" Target="http://data.europa.eu/eli/reg/2018/848/oj" TargetMode="External"/><Relationship Id="rId276" Type="http://schemas.openxmlformats.org/officeDocument/2006/relationships/hyperlink" Target="https://eur-lex.europa.eu/eli/reg_impl/2022/1193/oj" TargetMode="External"/><Relationship Id="rId297" Type="http://schemas.openxmlformats.org/officeDocument/2006/relationships/fontTable" Target="fontTable.xml"/><Relationship Id="rId40" Type="http://schemas.openxmlformats.org/officeDocument/2006/relationships/hyperlink" Target="http://www.coso.org/" TargetMode="External"/><Relationship Id="rId115" Type="http://schemas.openxmlformats.org/officeDocument/2006/relationships/hyperlink" Target="https://eur-lex.europa.eu/legal-content/EN/TXT/PDF/?uri=CELEX:32014R0910" TargetMode="External"/><Relationship Id="rId136" Type="http://schemas.openxmlformats.org/officeDocument/2006/relationships/hyperlink" Target="https://eur-lex.europa.eu/legal-content/EN/TXT/?uri=CELEX%3A32000L0043" TargetMode="External"/><Relationship Id="rId157" Type="http://schemas.openxmlformats.org/officeDocument/2006/relationships/hyperlink" Target="https://eur-lex.europa.eu/eli/reg/2014/165/oj" TargetMode="External"/><Relationship Id="rId178" Type="http://schemas.openxmlformats.org/officeDocument/2006/relationships/hyperlink" Target="https://eur-lex.europa.eu/legal-content/EN/TXT/?uri=CELEX%3A32019L0883&amp;qid=1698312524838" TargetMode="External"/><Relationship Id="rId61" Type="http://schemas.openxmlformats.org/officeDocument/2006/relationships/hyperlink" Target="https://eur-lex.europa.eu/legal-content/EN/TXT/?uri=CELEX%3A31987L0054&amp;qid=1702569542698" TargetMode="External"/><Relationship Id="rId82" Type="http://schemas.openxmlformats.org/officeDocument/2006/relationships/hyperlink" Target="https://eur-lex.europa.eu/LexUriServ/LexUriServ.do?uri=OJ:L:2005:256:0032:0040:EN:PDF;" TargetMode="External"/><Relationship Id="rId199" Type="http://schemas.openxmlformats.org/officeDocument/2006/relationships/hyperlink" Target="https://eur-lex.europa.eu/legal-content/EN/TXT/?uri=CELEX%3A02021R2082-20211129" TargetMode="External"/><Relationship Id="rId203" Type="http://schemas.openxmlformats.org/officeDocument/2006/relationships/hyperlink" Target="https://eur-lex.europa.eu/eli/reg_impl/2023/203" TargetMode="External"/><Relationship Id="rId19" Type="http://schemas.openxmlformats.org/officeDocument/2006/relationships/hyperlink" Target="https://data.europa.eu/eli/reg_impl/2021/581/oj" TargetMode="External"/><Relationship Id="rId224" Type="http://schemas.openxmlformats.org/officeDocument/2006/relationships/hyperlink" Target="http://data.europa.eu/eli/dir/2018/2001/2022-06-07" TargetMode="External"/><Relationship Id="rId245" Type="http://schemas.openxmlformats.org/officeDocument/2006/relationships/hyperlink" Target="http://data.europa.eu/eli/dir/1991/271/2014-01-01" TargetMode="External"/><Relationship Id="rId266" Type="http://schemas.openxmlformats.org/officeDocument/2006/relationships/hyperlink" Target="https://eur-lex.europa.eu/legal-content/EN/TXT/PDF/?uri=CELEX:32012R0872" TargetMode="External"/><Relationship Id="rId287" Type="http://schemas.openxmlformats.org/officeDocument/2006/relationships/hyperlink" Target="https://eur-lex.europa.eu/legal-content/EN/TXT/?uri=CELEX%3A32018D1986" TargetMode="External"/><Relationship Id="rId30" Type="http://schemas.openxmlformats.org/officeDocument/2006/relationships/hyperlink" Target="http://data.europa.eu/eli/dir/1989/665/oj" TargetMode="External"/><Relationship Id="rId105" Type="http://schemas.openxmlformats.org/officeDocument/2006/relationships/hyperlink" Target="https://eur-lex.europa.eu/legal-content/EN/TXT/?uri=CELEX%3A32021D1730" TargetMode="External"/><Relationship Id="rId126" Type="http://schemas.openxmlformats.org/officeDocument/2006/relationships/hyperlink" Target="https://eur-lex.europa.eu/legal-content/EN/TXT/?qid=1553622837438&amp;uri=CELEX:02008L0094-20151009" TargetMode="External"/><Relationship Id="rId147" Type="http://schemas.openxmlformats.org/officeDocument/2006/relationships/hyperlink" Target="http://data.europa.eu/eli/reg/2009/116/oj" TargetMode="External"/><Relationship Id="rId168" Type="http://schemas.openxmlformats.org/officeDocument/2006/relationships/hyperlink" Target="https://eur-lex.europa.eu/legal-content/EN/TXT/?qid=1558623907428&amp;uri=CELEX:32014R1300" TargetMode="External"/><Relationship Id="rId51" Type="http://schemas.openxmlformats.org/officeDocument/2006/relationships/hyperlink" Target="https://eur-lex.europa.eu/legal-content/EN/TXT/?uri=CELEX:02014R0537-20140616" TargetMode="External"/><Relationship Id="rId72" Type="http://schemas.openxmlformats.org/officeDocument/2006/relationships/hyperlink" Target="https://eur-lex.europa.eu/legal-content/en/TXT/?uri=CELEX:32019L0771;" TargetMode="External"/><Relationship Id="rId93" Type="http://schemas.openxmlformats.org/officeDocument/2006/relationships/hyperlink" Target="https://eur-lex.europa.eu/legal-content/EN/ALL/?uri=CELEX%3A32012D0688" TargetMode="External"/><Relationship Id="rId189" Type="http://schemas.openxmlformats.org/officeDocument/2006/relationships/hyperlink" Target="https://eur-lex.europa.eu/legal-content/EN/TXT/?uri=CELEX%3A02013R1257-20180704&amp;qid=1698143631212" TargetMode="External"/><Relationship Id="rId3" Type="http://schemas.openxmlformats.org/officeDocument/2006/relationships/customXml" Target="../customXml/item3.xml"/><Relationship Id="rId214" Type="http://schemas.openxmlformats.org/officeDocument/2006/relationships/hyperlink" Target="https://eur-lex.europa.eu/legal-content/EN/TXT/?uri=OJ%3AJOL_2023_231_R_0001" TargetMode="External"/><Relationship Id="rId235" Type="http://schemas.openxmlformats.org/officeDocument/2006/relationships/hyperlink" Target="http://data.europa.eu/eli/reg/2008/307/oj" TargetMode="External"/><Relationship Id="rId256" Type="http://schemas.openxmlformats.org/officeDocument/2006/relationships/hyperlink" Target="https://eur-lex.europa.eu/legal-content/EN/ALL/?uri=CELEX:32020R2235" TargetMode="External"/><Relationship Id="rId277" Type="http://schemas.openxmlformats.org/officeDocument/2006/relationships/hyperlink" Target="https://eur-lex.europa.eu/eli/reg/2016/2031/oj" TargetMode="External"/><Relationship Id="rId298" Type="http://schemas.openxmlformats.org/officeDocument/2006/relationships/theme" Target="theme/theme1.xml"/><Relationship Id="rId116" Type="http://schemas.openxmlformats.org/officeDocument/2006/relationships/hyperlink" Target="https://eur-lex.europa.eu/legal-content/EN/TXT/PDF/?uri=CELEX:32014R0910" TargetMode="External"/><Relationship Id="rId137" Type="http://schemas.openxmlformats.org/officeDocument/2006/relationships/hyperlink" Target="https://eur-lex.europa.eu/legal-content/EN/ALL/?uri=celex%3A31979L0007" TargetMode="External"/><Relationship Id="rId158" Type="http://schemas.openxmlformats.org/officeDocument/2006/relationships/hyperlink" Target="https://eur-lex.europa.eu/legal-content/EN/TXT/?uri=CELEX%3A01996L0053-20190814" TargetMode="External"/><Relationship Id="rId20" Type="http://schemas.openxmlformats.org/officeDocument/2006/relationships/hyperlink" Target="https://www.frontex.europa.eu/assets/Key_Documents/MB_Decision/2019/MB_Decision_2_2019_adopting_a_Technical_and_Operational_Strategy_for_European_Integrated_Border_Management.pdf" TargetMode="External"/><Relationship Id="rId41" Type="http://schemas.openxmlformats.org/officeDocument/2006/relationships/hyperlink" Target="http://www.coso.org/" TargetMode="External"/><Relationship Id="rId62" Type="http://schemas.openxmlformats.org/officeDocument/2006/relationships/hyperlink" Target="https://eur-lex.europa.eu/eli/reg/2019/933/oj;" TargetMode="External"/><Relationship Id="rId83" Type="http://schemas.openxmlformats.org/officeDocument/2006/relationships/hyperlink" Target="https://eur-lex.europa.eu/legal-content/EN/ALL/?uri=CELEX%3A32002L0098;" TargetMode="External"/><Relationship Id="rId179" Type="http://schemas.openxmlformats.org/officeDocument/2006/relationships/hyperlink" Target="https://eur-lex.europa.eu/legal-content/EN/TXT/?uri=CELEX%3A02009L0045-20220731&amp;qid=1698137615096" TargetMode="External"/><Relationship Id="rId190" Type="http://schemas.openxmlformats.org/officeDocument/2006/relationships/hyperlink" Target="https://eur-lex.europa.eu/legal-content/EN/TXT/?uri=CELEX%3A32009L0020&amp;qid=1698143928974" TargetMode="External"/><Relationship Id="rId204" Type="http://schemas.openxmlformats.org/officeDocument/2006/relationships/hyperlink" Target="https://eur-lex.europa.eu/legal-content/EN/TXT/?uri=CELEX%3A02009R1254-20161221" TargetMode="External"/><Relationship Id="rId225" Type="http://schemas.openxmlformats.org/officeDocument/2006/relationships/hyperlink" Target="http://data.europa.eu/eli/reg/2022/1032/oj" TargetMode="External"/><Relationship Id="rId246" Type="http://schemas.openxmlformats.org/officeDocument/2006/relationships/hyperlink" Target="http://data.europa.eu/eli/dir/1991/676/2008-12-11" TargetMode="External"/><Relationship Id="rId267" Type="http://schemas.openxmlformats.org/officeDocument/2006/relationships/hyperlink" Target="https://eur-lex.europa.eu/legal-content/EN/TXT/PDF/?uri=CELEX:32013R1321" TargetMode="External"/><Relationship Id="rId288" Type="http://schemas.openxmlformats.org/officeDocument/2006/relationships/hyperlink" Target="https://eur-lex.europa.eu/legal-content/EN/TXT/?uri=CELEX%3A32007R0708" TargetMode="External"/><Relationship Id="rId106" Type="http://schemas.openxmlformats.org/officeDocument/2006/relationships/hyperlink" Target="https://eur-lex.europa.eu/legal-content/EN/TXT/?uri=CELEX:32019D0785" TargetMode="External"/><Relationship Id="rId127" Type="http://schemas.openxmlformats.org/officeDocument/2006/relationships/hyperlink" Target="https://eur-lex.europa.eu/legal-content/EN/TXT/?qid=1552055759891&amp;uri=CELEX:32010L0032" TargetMode="External"/><Relationship Id="rId10" Type="http://schemas.openxmlformats.org/officeDocument/2006/relationships/webSettings" Target="webSettings.xml"/><Relationship Id="rId31" Type="http://schemas.openxmlformats.org/officeDocument/2006/relationships/hyperlink" Target="http://data.europa.eu/eli/dir/1992/13/2014-04-17" TargetMode="External"/><Relationship Id="rId52" Type="http://schemas.openxmlformats.org/officeDocument/2006/relationships/hyperlink" Target="https://eur-lex.europa.eu/legal-content/EN/TXT/?uri=CELEX%3A32015L2436" TargetMode="External"/><Relationship Id="rId73" Type="http://schemas.openxmlformats.org/officeDocument/2006/relationships/hyperlink" Target="https://eur-lex.europa.eu/legal-content/EN/TXT/?uri=celex%3A32020L1828" TargetMode="External"/><Relationship Id="rId94" Type="http://schemas.openxmlformats.org/officeDocument/2006/relationships/hyperlink" Target="https://eur-lex.europa.eu/legal-content/EN/TXT/?uri=CELEX%3A32008D0477" TargetMode="External"/><Relationship Id="rId148" Type="http://schemas.openxmlformats.org/officeDocument/2006/relationships/hyperlink" Target="http://data.europa.eu/eli/reg/2019/880/oj" TargetMode="External"/><Relationship Id="rId169" Type="http://schemas.openxmlformats.org/officeDocument/2006/relationships/hyperlink" Target="https://eur-lex.europa.eu/legal-content/EN/TXT/?uri=uriserv:OJ.LI.2019.139.01.0001.01.ENG&amp;toc=OJ:L:2019:139I:TOC" TargetMode="External"/><Relationship Id="rId4" Type="http://schemas.openxmlformats.org/officeDocument/2006/relationships/customXml" Target="../customXml/item4.xml"/><Relationship Id="rId180" Type="http://schemas.openxmlformats.org/officeDocument/2006/relationships/hyperlink" Target="https://eur-lex.europa.eu/legal-content/EN/TXT/?uri=CELEX%3A32017L2110&amp;qid=1698137666785" TargetMode="External"/><Relationship Id="rId215" Type="http://schemas.openxmlformats.org/officeDocument/2006/relationships/hyperlink" Target="https://eur-lex.europa.eu/legal-content/EN/TXT/?uri=uriserv%3AOJ.L_.2018.156.01.0075.01.ENG" TargetMode="External"/><Relationship Id="rId236" Type="http://schemas.openxmlformats.org/officeDocument/2006/relationships/hyperlink" Target="http://data.europa.eu/eli/dir/2007/2/2019-06-26" TargetMode="External"/><Relationship Id="rId257" Type="http://schemas.openxmlformats.org/officeDocument/2006/relationships/hyperlink" Target="https://eur-lex.europa.eu/legal-content/EN/TXT/?uri=uriserv:OJ.L_.2016.084.01.0001.01.ENG" TargetMode="External"/><Relationship Id="rId278" Type="http://schemas.openxmlformats.org/officeDocument/2006/relationships/hyperlink" Target="https://eur-lex.europa.eu/eli/dir/2019/782/oj" TargetMode="External"/><Relationship Id="rId42" Type="http://schemas.openxmlformats.org/officeDocument/2006/relationships/hyperlink" Target="http://eur-lex.europa.eu/search.html?qid=1435063266952&amp;text=C2010/083/01&amp;scope=EURLEX&amp;type=quick&amp;lang=en" TargetMode="External"/><Relationship Id="rId84" Type="http://schemas.openxmlformats.org/officeDocument/2006/relationships/hyperlink" Target="https://eur-lex.europa.eu/legal-content/EN/ALL/?uri=CELEX%3A32002L0098;" TargetMode="External"/><Relationship Id="rId138" Type="http://schemas.openxmlformats.org/officeDocument/2006/relationships/hyperlink" Target="https://eur-lex.europa.eu/legal-content/EN/TXT/?uri=CELEX%3A52020DC0152" TargetMode="External"/><Relationship Id="rId191" Type="http://schemas.openxmlformats.org/officeDocument/2006/relationships/hyperlink" Target="https://eur-lex.europa.eu/legal-content/EN/TXT/?uri=CELEX%3A32012R0530&amp;qid=1698144210510" TargetMode="External"/><Relationship Id="rId205" Type="http://schemas.openxmlformats.org/officeDocument/2006/relationships/hyperlink" Target="https://eur-lex.europa.eu/legal-content/EN/TXT/?uri=CELEX%3A02018R1976-20211115" TargetMode="External"/><Relationship Id="rId247" Type="http://schemas.openxmlformats.org/officeDocument/2006/relationships/hyperlink" Target="http://data.europa.eu/eli/dir/2007/60/oj" TargetMode="External"/><Relationship Id="rId107" Type="http://schemas.openxmlformats.org/officeDocument/2006/relationships/hyperlink" Target="https://eur-lex.europa.eu/legal-content/EN/TXT/?uri=CELEX%3A32019H0534" TargetMode="External"/><Relationship Id="rId289" Type="http://schemas.openxmlformats.org/officeDocument/2006/relationships/hyperlink" Target="http://data.europa.eu/eli/reg/2021/1060/oj" TargetMode="External"/><Relationship Id="rId11" Type="http://schemas.openxmlformats.org/officeDocument/2006/relationships/footnotes" Target="footnotes.xml"/><Relationship Id="rId53" Type="http://schemas.openxmlformats.org/officeDocument/2006/relationships/hyperlink" Target="https://eur-lex.europa.eu/search.html?scope=EURLEX&amp;text=Regulation+%28EU%29+2017%2F1001+on+the+European+Union+trade+mark+of+14+June+2017&amp;lang=en&amp;type=quick&amp;qid=1702569263670" TargetMode="External"/><Relationship Id="rId149" Type="http://schemas.openxmlformats.org/officeDocument/2006/relationships/hyperlink" Target="https://eur-lex.europa.eu/legal-content/EN/TXT/?uri=CELEX%3A02013R0952-20200101" TargetMode="External"/><Relationship Id="rId95" Type="http://schemas.openxmlformats.org/officeDocument/2006/relationships/hyperlink" Target="https://eur-lex.europa.eu/legal-content/EN/TXT/?qid=1549615962331&amp;uri=CELEX:32019D0235" TargetMode="External"/><Relationship Id="rId160" Type="http://schemas.openxmlformats.org/officeDocument/2006/relationships/hyperlink" Target="https://eur-lex.europa.eu/legal-content/EN/TXT/?qid=1558539726276&amp;uri=CELEX:32015R0010" TargetMode="External"/><Relationship Id="rId216" Type="http://schemas.openxmlformats.org/officeDocument/2006/relationships/hyperlink" Target="https://eur-lex.europa.eu/legal-content/EN/ALL/?uri=celex%3A32009L0125" TargetMode="External"/><Relationship Id="rId258" Type="http://schemas.openxmlformats.org/officeDocument/2006/relationships/hyperlink" Target="https://eur-lex.europa.eu/legal-content/EN/ALL/?uri=CELEX:32017R0625" TargetMode="External"/><Relationship Id="rId22" Type="http://schemas.openxmlformats.org/officeDocument/2006/relationships/hyperlink" Target="http://data.europa.eu/eli/dir/2014/24/oj" TargetMode="External"/><Relationship Id="rId64" Type="http://schemas.openxmlformats.org/officeDocument/2006/relationships/hyperlink" Target="https://eur-lex.europa.eu/legal-content/EN/TXT/?uri=CELEX%3A52022XC0930%2802%29" TargetMode="External"/><Relationship Id="rId118" Type="http://schemas.openxmlformats.org/officeDocument/2006/relationships/hyperlink" Target="https://eur-lex.europa.eu/legal-content/EN/TXT/PDF/?uri=CELEX:32022L2555&amp;qid=1698320025912" TargetMode="External"/><Relationship Id="rId171" Type="http://schemas.openxmlformats.org/officeDocument/2006/relationships/hyperlink" Target="https://eur-lex.europa.eu/legal-content/EN/TXT/?qid=1558624010005&amp;uri=CELEX:32018R0868" TargetMode="External"/><Relationship Id="rId227" Type="http://schemas.openxmlformats.org/officeDocument/2006/relationships/hyperlink" Target="http://data.europa.eu/eli/dir/2006/117/oj" TargetMode="External"/><Relationship Id="rId269" Type="http://schemas.openxmlformats.org/officeDocument/2006/relationships/hyperlink" Target="https://eur-lex.europa.eu/legal-content/EN/TXT/?uri=CELEX%3A02010R0037-20230611" TargetMode="External"/><Relationship Id="rId33" Type="http://schemas.openxmlformats.org/officeDocument/2006/relationships/hyperlink" Target="https://eur-lex.europa.eu/legal-content/EN/TXT/?uri=CELEX%3A32002R1889" TargetMode="External"/><Relationship Id="rId129" Type="http://schemas.openxmlformats.org/officeDocument/2006/relationships/hyperlink" Target="https://eur-lex.europa.eu/legal-content/EN/TXT/?uri=CELEX%3A32019H1115%2801%29" TargetMode="External"/><Relationship Id="rId280" Type="http://schemas.openxmlformats.org/officeDocument/2006/relationships/hyperlink" Target="https://eur-lex.europa.eu/legal-content/EN/TXT/?uri=CELEX:32003R118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qbz.gov.al/eli/ligj/2006/07/27/9590/92c1cfc1-2743-4c3f-9750-e36fdd90a9cc" TargetMode="External"/><Relationship Id="rId2" Type="http://schemas.openxmlformats.org/officeDocument/2006/relationships/hyperlink" Target="https://qbz.gov.al/eli/vendim/2023/02/22/88" TargetMode="External"/><Relationship Id="rId1" Type="http://schemas.openxmlformats.org/officeDocument/2006/relationships/hyperlink" Target="https://kryeministria.al/wp-content/uploads/2021/10/Programi_Qeverises_2021-2025.pdf" TargetMode="External"/><Relationship Id="rId5" Type="http://schemas.openxmlformats.org/officeDocument/2006/relationships/hyperlink" Target="https://kryeministria.al/wp-content/uploads/2021/10/Programi_Qeverises_2021-2025.pdf" TargetMode="External"/><Relationship Id="rId4" Type="http://schemas.openxmlformats.org/officeDocument/2006/relationships/hyperlink" Target="https://qbz.gov.al/eli/vendim/2023/02/22/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2024-01-15T11:34:46Z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2024-01-12T00:00:00Z</Date_x0020_protokolli>
    <Titulli xmlns="0e656187-b300-4fb0-8bf4-3a50f872073c">Për miratimin e planit kombëtar për integrimin evropian 2024 – 2026</Titulli>
    <Modifikuesi xmlns="0e656187-b300-4fb0-8bf4-3a50f872073c">jorina.kryeziu</Modifikuesi>
    <Nr_x002e__x0020_prot_x0020_QBZ xmlns="0e656187-b300-4fb0-8bf4-3a50f872073c">94</Nr_x002e__x0020_prot_x0020_QBZ>
    <Data_x0020_e_x0020_Modifikimit xmlns="0e656187-b300-4fb0-8bf4-3a50f872073c">2024-01-16T08:15:16Z</Data_x0020_e_x0020_Modifikimit>
    <Dekretuar xmlns="0e656187-b300-4fb0-8bf4-3a50f872073c">false</Dekretuar>
    <Data xmlns="0e656187-b300-4fb0-8bf4-3a50f872073c">2024-01-11T00:00:00Z</Data>
    <Nr_x002e__x0020_protokolli_x0020_i_x0020_aktit xmlns="0e656187-b300-4fb0-8bf4-3a50f872073c">104-1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AB820049A064AF082387D064CF17E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B820049A064AF082387D064CF17E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47E15-2C41-47AE-9324-68D925EF15A2}">
  <ds:schemaRefs>
    <ds:schemaRef ds:uri="http://schemas.microsoft.com/sharepoint/v3/contenttype/forms"/>
  </ds:schemaRefs>
</ds:datastoreItem>
</file>

<file path=customXml/itemProps2.xml><?xml version="1.0" encoding="utf-8"?>
<ds:datastoreItem xmlns:ds="http://schemas.openxmlformats.org/officeDocument/2006/customXml" ds:itemID="{1172AE26-BD8F-49CC-9996-85A677413C7C}">
  <ds:schemaRefs>
    <ds:schemaRef ds:uri="http://schemas.microsoft.com/office/2006/documentManagement/types"/>
    <ds:schemaRef ds:uri="0e656187-b300-4fb0-8bf4-3a50f872073c"/>
    <ds:schemaRef ds:uri="http://purl.org/dc/terms/"/>
    <ds:schemaRef ds:uri="http://www.w3.org/XML/1998/namespace"/>
    <ds:schemaRef ds:uri="http://schemas.openxmlformats.org/package/2006/metadata/core-propertie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55AE1F4-5E42-48EA-A47B-56FC44B32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D7F0A4-38CA-4890-87AA-B0C30DBEA8E5}">
  <ds:schemaRefs>
    <ds:schemaRef ds:uri="http://schemas.microsoft.com/sharepoint/v3/contenttype/forms"/>
  </ds:schemaRefs>
</ds:datastoreItem>
</file>

<file path=customXml/itemProps5.xml><?xml version="1.0" encoding="utf-8"?>
<ds:datastoreItem xmlns:ds="http://schemas.openxmlformats.org/officeDocument/2006/customXml" ds:itemID="{21CDBDC6-844C-484A-94D1-F8171384E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EBD872C-1EF0-4F31-8C34-884E869F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52195</Words>
  <Characters>297512</Characters>
  <Application>Microsoft Office Word</Application>
  <DocSecurity>0</DocSecurity>
  <Lines>2479</Lines>
  <Paragraphs>698</Paragraphs>
  <ScaleCrop>false</ScaleCrop>
  <HeadingPairs>
    <vt:vector size="2" baseType="variant">
      <vt:variant>
        <vt:lpstr>Title</vt:lpstr>
      </vt:variant>
      <vt:variant>
        <vt:i4>1</vt:i4>
      </vt:variant>
    </vt:vector>
  </HeadingPairs>
  <TitlesOfParts>
    <vt:vector size="1" baseType="lpstr">
      <vt:lpstr>Për miratimin e planit kombëtar për integrimin evropian 2024 – 2026</vt:lpstr>
    </vt:vector>
  </TitlesOfParts>
  <Company/>
  <LinksUpToDate>false</LinksUpToDate>
  <CharactersWithSpaces>349009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integrimin evropian 2024 – 2026</dc:title>
  <dc:creator>Besa Llagami</dc:creator>
  <cp:lastModifiedBy>Entela Suli</cp:lastModifiedBy>
  <cp:revision>14</cp:revision>
  <cp:lastPrinted>2024-01-10T10:21:00Z</cp:lastPrinted>
  <dcterms:created xsi:type="dcterms:W3CDTF">2024-01-15T12:41:00Z</dcterms:created>
  <dcterms:modified xsi:type="dcterms:W3CDTF">2024-01-16T10:45:00Z</dcterms:modified>
</cp:coreProperties>
</file>