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350B" w14:textId="7221CA1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  <w:r w:rsidRPr="00CE4DE5">
        <w:rPr>
          <w:rFonts w:ascii="Garamond" w:hAnsi="Garamond"/>
          <w:b/>
          <w:bCs/>
          <w:spacing w:val="-4"/>
          <w:lang w:val="sq-AL" w:eastAsia="sq-AL"/>
        </w:rPr>
        <w:t>VENDIM</w:t>
      </w:r>
    </w:p>
    <w:p w14:paraId="03C9E2E4" w14:textId="3BB6FC85" w:rsidR="006A799A" w:rsidRPr="00CE4DE5" w:rsidRDefault="00CE4DE5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  <w:r>
        <w:rPr>
          <w:rFonts w:ascii="Garamond" w:hAnsi="Garamond"/>
          <w:b/>
          <w:bCs/>
          <w:spacing w:val="-4"/>
          <w:lang w:val="sq-AL" w:eastAsia="sq-AL"/>
        </w:rPr>
        <w:t xml:space="preserve">Nr. </w:t>
      </w:r>
      <w:r w:rsidR="006A799A" w:rsidRPr="00CE4DE5">
        <w:rPr>
          <w:rFonts w:ascii="Garamond" w:hAnsi="Garamond"/>
          <w:b/>
          <w:bCs/>
          <w:spacing w:val="-4"/>
          <w:lang w:val="sq-AL" w:eastAsia="sq-AL"/>
        </w:rPr>
        <w:t>185, datë 27.3.2024</w:t>
      </w:r>
    </w:p>
    <w:p w14:paraId="73120663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</w:p>
    <w:p w14:paraId="5BDEAAFC" w14:textId="1FD11C95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b/>
          <w:bCs/>
          <w:spacing w:val="-4"/>
          <w:lang w:val="sq-AL" w:eastAsia="sq-AL"/>
        </w:rPr>
        <w:t>PËR KALIMIN NGA RADIOTELEVIZIONI SHQIPTAR NË PËRGJEGJËSI ADMINISTRIMI TË MINISTRISË SË EKONOMISË, KULTURËS</w:t>
      </w:r>
      <w:r w:rsidR="009D776C" w:rsidRPr="00CE4DE5">
        <w:rPr>
          <w:rFonts w:ascii="Garamond" w:hAnsi="Garamond"/>
          <w:b/>
          <w:bCs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b/>
          <w:bCs/>
          <w:spacing w:val="-4"/>
          <w:lang w:val="sq-AL" w:eastAsia="sq-AL"/>
        </w:rPr>
        <w:t xml:space="preserve">DHE INOVACIONIT, TË PASURIVE TË PALUAJTSHME SHTETËRORE </w:t>
      </w:r>
      <w:r w:rsidR="00CE4DE5">
        <w:rPr>
          <w:rFonts w:ascii="Garamond" w:hAnsi="Garamond"/>
          <w:b/>
          <w:bCs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b/>
          <w:bCs/>
          <w:spacing w:val="-4"/>
          <w:lang w:val="sq-AL" w:eastAsia="sq-AL"/>
        </w:rPr>
        <w:t xml:space="preserve">336, </w:t>
      </w:r>
      <w:r w:rsidR="00CE4DE5">
        <w:rPr>
          <w:rFonts w:ascii="Garamond" w:hAnsi="Garamond"/>
          <w:b/>
          <w:bCs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b/>
          <w:bCs/>
          <w:spacing w:val="-4"/>
          <w:lang w:val="sq-AL" w:eastAsia="sq-AL"/>
        </w:rPr>
        <w:t>338/1,</w:t>
      </w:r>
      <w:r w:rsidRPr="00CE4DE5">
        <w:rPr>
          <w:rFonts w:ascii="Garamond" w:hAnsi="Garamond"/>
          <w:spacing w:val="-4"/>
          <w:lang w:val="sq-AL" w:eastAsia="sq-AL"/>
        </w:rPr>
        <w:t xml:space="preserve"> </w:t>
      </w:r>
      <w:r w:rsidR="00CE4DE5">
        <w:rPr>
          <w:rFonts w:ascii="Garamond" w:hAnsi="Garamond"/>
          <w:b/>
          <w:bCs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b/>
          <w:bCs/>
          <w:spacing w:val="-4"/>
          <w:lang w:val="sq-AL" w:eastAsia="sq-AL"/>
        </w:rPr>
        <w:t>318, NË ZONËN KADASTRALE 3852, XHAFZOTAJ, BASHKIA DURRËS, DHE MIRATIMIN E HAPJES SË PARKUT TEKNOLOGJIK DHE SHKENCOR</w:t>
      </w:r>
      <w:r w:rsidR="00CE4DE5" w:rsidRPr="00CE4DE5">
        <w:rPr>
          <w:rFonts w:ascii="Garamond" w:hAnsi="Garamond"/>
          <w:b/>
          <w:bCs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b/>
          <w:bCs/>
          <w:spacing w:val="-4"/>
          <w:lang w:val="sq-AL" w:eastAsia="sq-AL"/>
        </w:rPr>
        <w:t>“DURANA TECH PARK”</w:t>
      </w:r>
    </w:p>
    <w:p w14:paraId="08526589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</w:p>
    <w:p w14:paraId="5C0DE008" w14:textId="114553E1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Në mbështetje të nenit 100 të Kushtetutës, të neneve 13 e 15, të 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8743, “Për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pronat e paluajtshme të shtetit”, të ndryshuar,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të neneve 4 e 11, të</w:t>
      </w:r>
      <w:r w:rsidR="008711BF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 xml:space="preserve">58/2022, “Për krijimin, organizimin dhe funksionimin e parqeve teknologjike dhe shkencore”, dhe në zbatim të nenit 23/1, të vendimit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337, datë 31.5.2023, të Këshillit të Ministrave, “Për përcaktimin e procedurës dhe kritereve të përzgjedhjes së zhvilluesit të parqeve teknologjike dhe shkencore”, të ndryshuar, me propozimin e ministrit të Ekonomisë, Kulturës dhe Inovacionit, Këshilli i Ministrave</w:t>
      </w:r>
    </w:p>
    <w:p w14:paraId="1B5873A4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</w:p>
    <w:p w14:paraId="2B59212A" w14:textId="4A03FC8D" w:rsidR="006A799A" w:rsidRPr="00CE4DE5" w:rsidRDefault="009D776C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VENDOSI:</w:t>
      </w:r>
    </w:p>
    <w:p w14:paraId="1559FFC8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pacing w:val="-4"/>
          <w:lang w:val="sq-AL" w:eastAsia="sq-AL"/>
        </w:rPr>
      </w:pPr>
    </w:p>
    <w:p w14:paraId="38B665FC" w14:textId="59525C4C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color w:val="000000"/>
          <w:spacing w:val="-4"/>
          <w:lang w:val="sq-AL" w:eastAsia="sq-AL"/>
        </w:rPr>
        <w:t>1.</w:t>
      </w:r>
      <w:r w:rsidR="002F7F6F">
        <w:rPr>
          <w:rFonts w:ascii="Garamond" w:hAnsi="Garamond"/>
          <w:color w:val="000000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color w:val="000000"/>
          <w:spacing w:val="-4"/>
          <w:lang w:val="sq-AL" w:eastAsia="sq-AL"/>
        </w:rPr>
        <w:t xml:space="preserve">Kalimin nga Radiotelevizioni Shqiptar në përgjegjësi administrimi të Ministrisë së Ekonomisë, Kulturës dhe Inovacionit, të pasurive të paluajtshme shtetërore me </w:t>
      </w:r>
      <w:r w:rsidR="00CE4DE5">
        <w:rPr>
          <w:rFonts w:ascii="Garamond" w:hAnsi="Garamond"/>
          <w:color w:val="000000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color w:val="000000"/>
          <w:spacing w:val="-4"/>
          <w:lang w:val="sq-AL" w:eastAsia="sq-AL"/>
        </w:rPr>
        <w:t>336, me sipërfaqe 140 400 (njëqind e dyzet mijë e katërqind) m</w:t>
      </w:r>
      <w:r w:rsidRPr="00CD27A1">
        <w:rPr>
          <w:rFonts w:ascii="Garamond" w:hAnsi="Garamond"/>
          <w:vertAlign w:val="superscript"/>
          <w:lang w:val="sq-AL"/>
        </w:rPr>
        <w:t>2</w:t>
      </w:r>
      <w:r w:rsidRPr="00CE4DE5">
        <w:rPr>
          <w:rFonts w:ascii="Garamond" w:hAnsi="Garamond"/>
          <w:spacing w:val="-4"/>
          <w:lang w:val="sq-AL" w:eastAsia="sq-AL"/>
        </w:rPr>
        <w:t xml:space="preserve">,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338/1, me sipërfaqe 40 600 (dyzet mijë e gjashtëqind) m</w:t>
      </w:r>
      <w:r w:rsidRPr="00CD27A1">
        <w:rPr>
          <w:rFonts w:ascii="Garamond" w:hAnsi="Garamond"/>
          <w:vertAlign w:val="superscript"/>
          <w:lang w:val="sq-AL"/>
        </w:rPr>
        <w:t>2</w:t>
      </w:r>
      <w:r w:rsidRPr="00CE4DE5">
        <w:rPr>
          <w:rFonts w:ascii="Garamond" w:hAnsi="Garamond"/>
          <w:spacing w:val="-4"/>
          <w:lang w:val="sq-AL" w:eastAsia="sq-AL"/>
        </w:rPr>
        <w:t xml:space="preserve">, dhe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318, me sipërfaqe 81 200 (tetëdhjetë e një mijë e dyqind) m</w:t>
      </w:r>
      <w:r w:rsidRPr="00CD27A1">
        <w:rPr>
          <w:rFonts w:ascii="Garamond" w:hAnsi="Garamond"/>
          <w:vertAlign w:val="superscript"/>
          <w:lang w:val="sq-AL"/>
        </w:rPr>
        <w:t>2</w:t>
      </w:r>
      <w:r w:rsidRPr="00CE4DE5">
        <w:rPr>
          <w:rFonts w:ascii="Garamond" w:hAnsi="Garamond"/>
          <w:spacing w:val="-4"/>
          <w:lang w:val="sq-AL" w:eastAsia="sq-AL"/>
        </w:rPr>
        <w:t xml:space="preserve">, e llojit “truall”, në zonën kadastrale 3852, me emërtimin “Radiostacioni”, me vendndodhje në Xhafzotaj, Bashkia Durrës, sipas </w:t>
      </w:r>
      <w:r w:rsidRPr="00CE4DE5">
        <w:rPr>
          <w:rFonts w:ascii="Garamond" w:hAnsi="Garamond"/>
          <w:color w:val="000000"/>
          <w:spacing w:val="-4"/>
          <w:lang w:val="sq-AL" w:eastAsia="sq-AL"/>
        </w:rPr>
        <w:t>dokumentacionit/kartelave të pronësisë, që i bashkëlidhen këtij vendimi dhe janë pjesë përbërëse të tij, për t’u përdorur për krijimin/hapjen e parkut teknologjik dhe shkencor “</w:t>
      </w:r>
      <w:r w:rsidR="004073DA" w:rsidRPr="00CE4DE5">
        <w:rPr>
          <w:rFonts w:ascii="Garamond" w:hAnsi="Garamond"/>
          <w:color w:val="000000"/>
          <w:spacing w:val="-4"/>
          <w:lang w:val="sq-AL" w:eastAsia="sq-AL"/>
        </w:rPr>
        <w:t xml:space="preserve">Durana </w:t>
      </w:r>
      <w:r w:rsidRPr="00CE4DE5">
        <w:rPr>
          <w:rFonts w:ascii="Garamond" w:hAnsi="Garamond"/>
          <w:color w:val="000000"/>
          <w:spacing w:val="-4"/>
          <w:lang w:val="sq-AL" w:eastAsia="sq-AL"/>
        </w:rPr>
        <w:t>Tech Park”.</w:t>
      </w:r>
    </w:p>
    <w:p w14:paraId="0BA6F13A" w14:textId="084DBCC9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2.</w:t>
      </w:r>
      <w:r w:rsidR="009D776C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Miratimin e hapjes së parkut teknologjik dhe shkencor, me emërtimin “</w:t>
      </w:r>
      <w:r w:rsidR="004073DA" w:rsidRPr="00CE4DE5">
        <w:rPr>
          <w:rFonts w:ascii="Garamond" w:hAnsi="Garamond"/>
          <w:spacing w:val="-4"/>
          <w:lang w:val="sq-AL" w:eastAsia="sq-AL"/>
        </w:rPr>
        <w:t xml:space="preserve">Durana </w:t>
      </w:r>
      <w:r w:rsidRPr="00CE4DE5">
        <w:rPr>
          <w:rFonts w:ascii="Garamond" w:hAnsi="Garamond"/>
          <w:spacing w:val="-4"/>
          <w:lang w:val="sq-AL" w:eastAsia="sq-AL"/>
        </w:rPr>
        <w:t>Tech Park”, me sipërfaqe 140 400 (njëqind e dyzet mijë e katërqind) m</w:t>
      </w:r>
      <w:r w:rsidRPr="00CD27A1">
        <w:rPr>
          <w:rFonts w:ascii="Garamond" w:hAnsi="Garamond"/>
          <w:vertAlign w:val="superscript"/>
          <w:lang w:val="sq-AL"/>
        </w:rPr>
        <w:t>2</w:t>
      </w:r>
      <w:r w:rsidRPr="00CE4DE5">
        <w:rPr>
          <w:rFonts w:ascii="Garamond" w:hAnsi="Garamond"/>
          <w:spacing w:val="-4"/>
          <w:lang w:val="sq-AL" w:eastAsia="sq-AL"/>
        </w:rPr>
        <w:t xml:space="preserve">, me vendndodhje në Xhafzotaj, Bashkia Durrës, në pasurinë me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 xml:space="preserve">336, e llojit “truall”, në zonën kadastrale 3852, sipas kufijve dhe shtrirjes territoriale, që përcaktohen në fragmenthartën kadastale, dhënë në shtojcën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1, që i bashkëlidhet këtij vendimi dhe është pjesë përbërëse e tij.</w:t>
      </w:r>
    </w:p>
    <w:p w14:paraId="51E22F00" w14:textId="692280D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3.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Llojet e veprimtarive që do të zhvillohen në këtë park janë:</w:t>
      </w:r>
    </w:p>
    <w:p w14:paraId="2E4F51AD" w14:textId="3CA89D98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a)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Disenjim s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oftware</w:t>
      </w:r>
      <w:r w:rsidRPr="00CE4DE5">
        <w:rPr>
          <w:rFonts w:ascii="Garamond" w:hAnsi="Garamond"/>
          <w:spacing w:val="-4"/>
          <w:lang w:val="sq-AL" w:eastAsia="sq-AL"/>
        </w:rPr>
        <w:t xml:space="preserve">-i. Këtu përfshihet, por nuk kufizohet analiza e kërkesave të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, projektimi i arkitekturës dhe disenjim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i detajuar i këtyre sistemeve;</w:t>
      </w:r>
    </w:p>
    <w:p w14:paraId="33FD2EE4" w14:textId="5D87C54A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b)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Zhvillimi dhe mirëmbajtja e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. Këtu përfshihet, por nuk kufizohet në programim e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, kodimi, instalimi, integrimi i të gjithë komponentëve, dokumentacioni, identifikimi dhe korrigjimi i gabimeve, modifikimet (pas vënies në punë të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software-</w:t>
      </w:r>
      <w:r w:rsidRPr="00FB36CF">
        <w:rPr>
          <w:rFonts w:ascii="Garamond" w:hAnsi="Garamond"/>
          <w:spacing w:val="-4"/>
          <w:lang w:val="sq-AL" w:eastAsia="sq-AL"/>
        </w:rPr>
        <w:t>it),</w:t>
      </w:r>
      <w:r w:rsidRPr="00CE4DE5">
        <w:rPr>
          <w:rFonts w:ascii="Garamond" w:hAnsi="Garamond"/>
          <w:spacing w:val="-4"/>
          <w:lang w:val="sq-AL" w:eastAsia="sq-AL"/>
        </w:rPr>
        <w:t xml:space="preserve"> mirëmbajtja e të gjithë komponentëve, mbështetja e sistemit si një grup komponentësh që, në funksionimin e tyre, përmbushin qëllimin e zgjidhjes së teknologjisë së informacionit;</w:t>
      </w:r>
    </w:p>
    <w:p w14:paraId="12FCC0E4" w14:textId="07C64D15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c)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Testimi i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-it. Këtu përfshihet, por nuk kufizohet në testimin e funksionalitetit, ngarkesës së punës, performancës, problemeve të kodit, disponueshmërisë dhe sigurisë së sistemit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software;</w:t>
      </w:r>
    </w:p>
    <w:p w14:paraId="05809910" w14:textId="4469CA08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ç)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Projektimi dhe zhvillimi i sistemeve të komunikimit. Këtu përfshihet, por nuk kufizohet analiza, planifikimi, projektimi, zbatimi, vënia në punë dhe mirëmbajtja e sistemeve të komunikimit të rrjetit të pajisjeve të teknologjisë së informacionit (LAN/WAN/WLAN/MAN/SAN/CAN);</w:t>
      </w:r>
    </w:p>
    <w:p w14:paraId="317CB110" w14:textId="302CDEBD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d)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Projektimi dhe zhvillimi i sistemeve të sigurisë. Këtu përfshihet, por nuk kufizohet, analiza e kërkesave të sigurisë së klientit, projektimi i arkitekturës, instalimi dhe konfigurimi i komponentëve, zbatimi, testimi dhe mirëmbajtja e sigurisë së sistemeve dhe produkteve;</w:t>
      </w:r>
    </w:p>
    <w:p w14:paraId="17A179C6" w14:textId="0ABF73B6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dh)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Zhvillimi i sistemeve të migracionit. Këtu përfshihet, por nuk kufizohet</w:t>
      </w:r>
      <w:bookmarkStart w:id="0" w:name="_GoBack"/>
      <w:bookmarkEnd w:id="0"/>
      <w:r w:rsidRPr="00CE4DE5">
        <w:rPr>
          <w:rFonts w:ascii="Garamond" w:hAnsi="Garamond"/>
          <w:spacing w:val="-4"/>
          <w:lang w:val="sq-AL" w:eastAsia="sq-AL"/>
        </w:rPr>
        <w:t>, transferimi i të dhënave dhe infrastrukturës përkatëse nga një teknologji e vjetër në një të re dhe përmirësimi i sistemeve të teknologjisë së informacionit;</w:t>
      </w:r>
    </w:p>
    <w:p w14:paraId="28C954EF" w14:textId="3AFDA2DB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lastRenderedPageBreak/>
        <w:t>e)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Analiza e sistemeve me sasi të madhe të dhënash. Analiza e sistemeve të përpunimit dhe analiza e sasive të mëdha të të dhënave, të quajtura si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Big Data</w:t>
      </w:r>
      <w:r w:rsidRPr="00CE4DE5">
        <w:rPr>
          <w:rFonts w:ascii="Garamond" w:hAnsi="Garamond"/>
          <w:spacing w:val="-4"/>
          <w:lang w:val="sq-AL" w:eastAsia="sq-AL"/>
        </w:rPr>
        <w:t>. Mbi bazën e këtyre të dhënave mund të ndërtohen modele, të cilat, më pas, me përdorimin e inteligjencës artificiale mund të shfrytëzohen për aktivitete biznesesh të ndryshme;</w:t>
      </w:r>
    </w:p>
    <w:p w14:paraId="4ECC0A8C" w14:textId="2F43115B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ë)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Konsulencë për inovacion. Konsulencë për përdorimin e teknologjisë së informacionit për qëllime të inovacionit (riinxhinierimit) të proceseve të biznesit me zhvillimin e kërkesave teknike për sistemet e informacionit dhe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04BD7FC5" w14:textId="4C493355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f)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Konsulencë për sigurinë e informacionit. Konsulencë për mbrojtjen teknike dhe kriptografike të informacionit, duke përfshirë përdorimin e nënshkrimit elektronik digjital;</w:t>
      </w:r>
    </w:p>
    <w:p w14:paraId="74DB530C" w14:textId="0894B75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g)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Konsulencë në auditime, operacione, menaxhim, mbështetje e përdoruesve, trajnime dhe konsulencë për auditime të teknologjisë së informacionit për sistemet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1D0DF331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gj) Kërkime në fushën e komunikimit. Kërkim dhe zhvillim në fushën e shkencave natyrore dhe teknike që përfshijnë teknologjitë e informacionit e të komunikimit;</w:t>
      </w:r>
    </w:p>
    <w:p w14:paraId="3B374DC8" w14:textId="6D9502AE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h)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Kërkime në fushën e zhvillimit të programeve inovative. Kërkimi dhe zhvillimi nënkupton aktivitete krijuese dhe sistematike të ndërmarra për të rritur grupin e njohurive dhe për të krijuar aplikime të reja të njohurive të disponueshme. Termi kërkim dhe zhvillim përfshin tri lloje të kërkimit: </w:t>
      </w:r>
    </w:p>
    <w:p w14:paraId="197AC02F" w14:textId="2853C13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kërkimin bazë;</w:t>
      </w:r>
    </w:p>
    <w:p w14:paraId="152B82D3" w14:textId="74BD96EC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kërkimin e aplikuar; </w:t>
      </w:r>
    </w:p>
    <w:p w14:paraId="41469186" w14:textId="2B158C8C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zhvillimin eksperimental.</w:t>
      </w:r>
    </w:p>
    <w:p w14:paraId="6119B7E9" w14:textId="3027262E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i)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Kërkimi dhe zhvillimi në fushën e robotikës. Projektimi (inxhinierimi), kërkimi, testimi i aktiviteteve që përfshijnë teknologjitë robotike, pajisjet dhe sistemet që përdorin sisteme të kompjuterizuara kontrolli.</w:t>
      </w:r>
    </w:p>
    <w:p w14:paraId="32B14ED8" w14:textId="4D3463A9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j)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Aktivitete në fushën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 Computing</w:t>
      </w:r>
      <w:r w:rsidRPr="00CE4DE5">
        <w:rPr>
          <w:rFonts w:ascii="Garamond" w:hAnsi="Garamond"/>
          <w:spacing w:val="-4"/>
          <w:lang w:val="sq-AL" w:eastAsia="sq-AL"/>
        </w:rPr>
        <w:t xml:space="preserve">. Kërkime në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 Computing</w:t>
      </w:r>
      <w:r w:rsidRPr="00CE4DE5">
        <w:rPr>
          <w:rFonts w:ascii="Garamond" w:hAnsi="Garamond"/>
          <w:spacing w:val="-4"/>
          <w:lang w:val="sq-AL" w:eastAsia="sq-AL"/>
        </w:rPr>
        <w:t xml:space="preserve"> dhe vlerësimin e rrezikut të migrimit të shërbimeve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on-premises</w:t>
      </w:r>
      <w:r w:rsidRPr="00CE4DE5">
        <w:rPr>
          <w:rFonts w:ascii="Garamond" w:hAnsi="Garamond"/>
          <w:spacing w:val="-4"/>
          <w:lang w:val="sq-AL" w:eastAsia="sq-AL"/>
        </w:rPr>
        <w:t xml:space="preserve"> drejt shërbimeve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572A8F35" w14:textId="27B54D9F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k)</w:t>
      </w:r>
      <w:r w:rsidR="00183BFD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Veprimtari të tjera në fushën e teknologjisë së informacionit, të përcaktuara nga institucioni përgjegjës, sipas autorizimit të këtij vendimi.</w:t>
      </w:r>
    </w:p>
    <w:p w14:paraId="148C9298" w14:textId="7386D4C2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4.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Autorizimin e Korporatës së Investimeve Shqiptare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një shoqëri tregtare aksionare me kapital shtetëror, regjistruar në Qendrën Kombëtare të Biznesit me numër unik identifikimi subjekti</w:t>
      </w:r>
      <w:r w:rsidR="008C2F04">
        <w:rPr>
          <w:rFonts w:ascii="Garamond" w:hAnsi="Garamond"/>
          <w:spacing w:val="-4"/>
          <w:lang w:val="sq-AL" w:eastAsia="sq-AL"/>
        </w:rPr>
        <w:t>:</w:t>
      </w:r>
      <w:r w:rsidRPr="00CE4DE5">
        <w:rPr>
          <w:rFonts w:ascii="Garamond" w:hAnsi="Garamond"/>
          <w:spacing w:val="-4"/>
          <w:lang w:val="sq-AL" w:eastAsia="sq-AL"/>
        </w:rPr>
        <w:t xml:space="preserve"> M01917011D, në rolin e zhvilluesit të parkut teknologjik dhe shkencor “</w:t>
      </w:r>
      <w:r w:rsidR="008C2F04" w:rsidRPr="00CE4DE5">
        <w:rPr>
          <w:rFonts w:ascii="Garamond" w:hAnsi="Garamond"/>
          <w:spacing w:val="-4"/>
          <w:lang w:val="sq-AL" w:eastAsia="sq-AL"/>
        </w:rPr>
        <w:t xml:space="preserve">Durana </w:t>
      </w:r>
      <w:r w:rsidRPr="00CE4DE5">
        <w:rPr>
          <w:rFonts w:ascii="Garamond" w:hAnsi="Garamond"/>
          <w:spacing w:val="-4"/>
          <w:lang w:val="sq-AL" w:eastAsia="sq-AL"/>
        </w:rPr>
        <w:t>Tech Park”.</w:t>
      </w:r>
    </w:p>
    <w:p w14:paraId="123E5EA0" w14:textId="2BACD10A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5.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Korporata e Investimeve Shqiptare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brenda 150 (njëqind e pesëdhjetë) ditëve nga hyrja në fuqi e këtij vendimi, të paraqesë në ministrinë përgjegjëse për ekonominë, planin e zhvillimit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detajuar, </w:t>
      </w:r>
      <w:r w:rsidR="00ED4B7D">
        <w:rPr>
          <w:rFonts w:ascii="Garamond" w:hAnsi="Garamond"/>
          <w:spacing w:val="-4"/>
          <w:lang w:val="sq-AL" w:eastAsia="sq-AL"/>
        </w:rPr>
        <w:t xml:space="preserve">i </w:t>
      </w:r>
      <w:r w:rsidRPr="00CE4DE5">
        <w:rPr>
          <w:rFonts w:ascii="Garamond" w:hAnsi="Garamond"/>
          <w:spacing w:val="-4"/>
          <w:lang w:val="sq-AL" w:eastAsia="sq-AL"/>
        </w:rPr>
        <w:t>cili përfshin elementet e parashikuara n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shkronjat “a”, “b”, “c”, “ç”, “d”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pik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>s 4,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nenit 3,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vendimit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337, datë 31.5.2023, të Këshillit të Ministrave, “Për përcaktimin e procedurave dhe kritereve të përzgjedhjes së zhvilluesit të parqeve teknologjike dhe shkencore”, të ndryshuar, si dhe kapacitetet financiare, shoqëruar me projektmarrëveshjen në të cilën parashikohen angazhimet e ndërsjella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pal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>ve, sipas pikës 2, të nenit 8,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58/2022.</w:t>
      </w:r>
    </w:p>
    <w:p w14:paraId="6AA1FFAF" w14:textId="1FDC2834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6.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Miratimin e ndihmës me infrastrukturën e përgjithshme mbështetëse deri në kufijtë e parkut, si rrugë, fibra optike, energji elektrike, por pa u kufizuar në to sipas parashikimeve të nenit 11 të ligjit mbi parqet teknologjike.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Ngarkohet Ministria e Infrastrukturës dhe Energjisë</w:t>
      </w:r>
      <w:r w:rsidR="00ED4B7D">
        <w:rPr>
          <w:rFonts w:ascii="Garamond" w:hAnsi="Garamond"/>
          <w:spacing w:val="-4"/>
          <w:lang w:val="sq-AL" w:eastAsia="sq-AL"/>
        </w:rPr>
        <w:t>,</w:t>
      </w:r>
      <w:r w:rsidRPr="00CE4DE5">
        <w:rPr>
          <w:rFonts w:ascii="Garamond" w:hAnsi="Garamond"/>
          <w:spacing w:val="-4"/>
          <w:lang w:val="sq-AL" w:eastAsia="sq-AL"/>
        </w:rPr>
        <w:t xml:space="preserve"> si dhe Operatori i Shpërndarjes së Energjisë Elektrike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për zbatimin e kësaj pike.</w:t>
      </w:r>
    </w:p>
    <w:p w14:paraId="5A04C1A0" w14:textId="6248F7D2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color w:val="242424"/>
          <w:spacing w:val="-4"/>
          <w:lang w:val="sq-AL" w:eastAsia="sq-AL"/>
        </w:rPr>
        <w:t>7.</w:t>
      </w:r>
      <w:r w:rsidR="00CE4DE5">
        <w:rPr>
          <w:rFonts w:ascii="Garamond" w:hAnsi="Garamond"/>
          <w:color w:val="242424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color w:val="242424"/>
          <w:spacing w:val="-4"/>
          <w:lang w:val="sq-AL" w:eastAsia="sq-AL"/>
        </w:rPr>
        <w:t>Lehtësitë rregullatore dhe fiskale përfitohen pas plotësimit të kushteve dhe procedurave të parashikuara në legjislacionin në fuqi për parqet teknologjike dhe shkencore.</w:t>
      </w:r>
    </w:p>
    <w:p w14:paraId="1F7BB5A0" w14:textId="37C6D793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 8.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Ngarkohen ministria përgjegjëse për ekonominë, ministria përgjegjëse për infrastrukturën dhe energjinë, Korporata e Investimeve Shqiptare sh.a., Agjencia Shtetërore e Kadastrës dhe Operatori i Shpërndarjes së Energjisë Elektrike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për zbatimin e këtij vendimi.</w:t>
      </w:r>
    </w:p>
    <w:p w14:paraId="05FA212A" w14:textId="3E31048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Ky vendim hyn në fuqi pas botimit në Fletoren </w:t>
      </w:r>
      <w:r w:rsidR="00A71DF7" w:rsidRPr="00CE4DE5">
        <w:rPr>
          <w:rFonts w:ascii="Garamond" w:hAnsi="Garamond"/>
          <w:spacing w:val="-4"/>
          <w:lang w:val="sq-AL" w:eastAsia="sq-AL"/>
        </w:rPr>
        <w:t>Z</w:t>
      </w:r>
      <w:r w:rsidRPr="00CE4DE5">
        <w:rPr>
          <w:rFonts w:ascii="Garamond" w:hAnsi="Garamond"/>
          <w:spacing w:val="-4"/>
          <w:lang w:val="sq-AL" w:eastAsia="sq-AL"/>
        </w:rPr>
        <w:t>yrtare.</w:t>
      </w:r>
    </w:p>
    <w:p w14:paraId="40025042" w14:textId="77777777" w:rsidR="006A799A" w:rsidRPr="00CE4DE5" w:rsidRDefault="006A799A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spacing w:val="-4"/>
          <w:lang w:val="sq-AL" w:eastAsia="sq-AL"/>
        </w:rPr>
      </w:pPr>
    </w:p>
    <w:p w14:paraId="33CDD336" w14:textId="77777777" w:rsidR="006A799A" w:rsidRPr="00CE4DE5" w:rsidRDefault="006A799A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spacing w:val="-4"/>
          <w:lang w:val="sq-AL" w:eastAsia="sq-AL"/>
        </w:rPr>
      </w:pPr>
      <w:r w:rsidRPr="00CE4DE5">
        <w:rPr>
          <w:rFonts w:ascii="Garamond" w:hAnsi="Garamond"/>
          <w:bCs/>
          <w:spacing w:val="-4"/>
          <w:lang w:val="sq-AL" w:eastAsia="sq-AL"/>
        </w:rPr>
        <w:t>KRYEMINISTËR</w:t>
      </w:r>
    </w:p>
    <w:p w14:paraId="38A75516" w14:textId="2D500388" w:rsidR="005A6129" w:rsidRPr="00CE4DE5" w:rsidRDefault="009D776C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b/>
          <w:bCs/>
          <w:spacing w:val="-4"/>
          <w:lang w:val="sq-AL"/>
        </w:rPr>
      </w:pPr>
      <w:r w:rsidRPr="00CE4DE5">
        <w:rPr>
          <w:rFonts w:ascii="Garamond" w:hAnsi="Garamond"/>
          <w:b/>
          <w:bCs/>
          <w:spacing w:val="-4"/>
          <w:lang w:val="sq-AL" w:eastAsia="sq-AL"/>
        </w:rPr>
        <w:t>Edi Rama</w:t>
      </w:r>
    </w:p>
    <w:p w14:paraId="38A75517" w14:textId="77777777" w:rsidR="005A6129" w:rsidRPr="00CE4DE5" w:rsidRDefault="005A6129" w:rsidP="006A799A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</w:pPr>
    </w:p>
    <w:p w14:paraId="38A75518" w14:textId="77777777" w:rsidR="005A6129" w:rsidRPr="00CE4DE5" w:rsidRDefault="005A6129" w:rsidP="006A799A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</w:pPr>
    </w:p>
    <w:p w14:paraId="38A7551A" w14:textId="77777777" w:rsidR="005A6129" w:rsidRPr="00CE4DE5" w:rsidRDefault="005A6129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bCs/>
          <w:spacing w:val="-4"/>
          <w:sz w:val="24"/>
          <w:szCs w:val="24"/>
          <w:lang w:val="sq-AL"/>
        </w:rPr>
      </w:pPr>
      <w:r w:rsidRPr="00CE4DE5">
        <w:rPr>
          <w:rFonts w:ascii="Garamond" w:hAnsi="Garamond" w:cs="Times New Roman"/>
          <w:bCs/>
          <w:spacing w:val="-4"/>
          <w:sz w:val="24"/>
          <w:szCs w:val="24"/>
          <w:lang w:val="sq-AL"/>
        </w:rPr>
        <w:lastRenderedPageBreak/>
        <w:t>SHTOJCA 1</w:t>
      </w:r>
    </w:p>
    <w:p w14:paraId="38A7551B" w14:textId="77777777" w:rsidR="005A6129" w:rsidRPr="00CE4DE5" w:rsidRDefault="005A6129" w:rsidP="006A799A">
      <w:pPr>
        <w:pStyle w:val="BodyA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</w:p>
    <w:p w14:paraId="38A7551D" w14:textId="77777777" w:rsidR="005A6129" w:rsidRPr="00CE4DE5" w:rsidRDefault="005A6129" w:rsidP="006A799A">
      <w:pPr>
        <w:pStyle w:val="BodyA"/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 w:eastAsia="en-US"/>
        </w:rPr>
        <w:drawing>
          <wp:inline distT="0" distB="0" distL="0" distR="0" wp14:anchorId="38A75538" wp14:editId="38A75539">
            <wp:extent cx="5727700" cy="1081799"/>
            <wp:effectExtent l="0" t="0" r="6350" b="4445"/>
            <wp:docPr id="5" name="image3.png" descr="A black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A black screen with white text&#10;&#10;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8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7551E" w14:textId="77777777" w:rsidR="005A6129" w:rsidRPr="00CE4DE5" w:rsidRDefault="005A6129" w:rsidP="006A799A">
      <w:pPr>
        <w:pStyle w:val="BodyA"/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 w:eastAsia="en-US"/>
        </w:rPr>
        <w:drawing>
          <wp:anchor distT="0" distB="0" distL="0" distR="0" simplePos="0" relativeHeight="251658240" behindDoc="0" locked="0" layoutInCell="1" allowOverlap="1" wp14:anchorId="38A7553A" wp14:editId="38A7553B">
            <wp:simplePos x="0" y="0"/>
            <wp:positionH relativeFrom="page">
              <wp:posOffset>2437130</wp:posOffset>
            </wp:positionH>
            <wp:positionV relativeFrom="paragraph">
              <wp:posOffset>288290</wp:posOffset>
            </wp:positionV>
            <wp:extent cx="2673170" cy="10687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17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A75532" w14:textId="404CF9C2" w:rsidR="005A6129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  <w:t xml:space="preserve"> </w:t>
      </w:r>
    </w:p>
    <w:p w14:paraId="6416509B" w14:textId="471F2EF0" w:rsidR="00455066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14:paraId="125884DB" w14:textId="23C2CA30" w:rsidR="00455066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/>
        </w:rPr>
        <w:drawing>
          <wp:inline distT="0" distB="0" distL="0" distR="0" wp14:anchorId="1BBD8D58" wp14:editId="1685BD7B">
            <wp:extent cx="5745480" cy="53187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31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75533" w14:textId="02D35740" w:rsidR="00F6245C" w:rsidRPr="00CE4DE5" w:rsidRDefault="00F6245C" w:rsidP="006A799A">
      <w:pPr>
        <w:ind w:firstLine="284"/>
        <w:rPr>
          <w:rFonts w:ascii="Garamond" w:hAnsi="Garamond"/>
          <w:spacing w:val="-4"/>
          <w:lang w:val="sq-AL"/>
        </w:rPr>
      </w:pPr>
    </w:p>
    <w:p w14:paraId="00C6F47E" w14:textId="2ECA5DB2" w:rsidR="00455066" w:rsidRPr="00CE4DE5" w:rsidRDefault="00455066" w:rsidP="006A799A">
      <w:pPr>
        <w:ind w:firstLine="284"/>
        <w:rPr>
          <w:rFonts w:ascii="Garamond" w:hAnsi="Garamond"/>
          <w:spacing w:val="-4"/>
          <w:lang w:val="sq-AL"/>
        </w:rPr>
      </w:pP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4101BFC1" wp14:editId="397B666A">
            <wp:extent cx="5727700" cy="867219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k e pronesise-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56557108" wp14:editId="104CF6DE">
            <wp:extent cx="5727700" cy="856107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k e pronesise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39BADE18" wp14:editId="76241558">
            <wp:extent cx="5727700" cy="810196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k e pronesise-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12A8F759" wp14:editId="67D153A0">
            <wp:extent cx="5727700" cy="8672195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k e pronesise-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76E0ED5E" wp14:editId="6CECA037">
            <wp:extent cx="5727700" cy="856107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k e pronesise-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2C367C1A" wp14:editId="2DB007DD">
            <wp:extent cx="5727700" cy="7665085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k e pronesise-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67899795" wp14:editId="59E9E053">
            <wp:extent cx="5727700" cy="8664575"/>
            <wp:effectExtent l="0" t="0" r="635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ok e pronesise-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0E696196" wp14:editId="1719A85F">
            <wp:extent cx="5727700" cy="856107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ok e pronesise-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247936A1" wp14:editId="609F6B33">
            <wp:extent cx="5727700" cy="7816215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ok e pronesise-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1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5066" w:rsidRPr="00CE4DE5" w:rsidSect="00396EB2">
      <w:pgSz w:w="11900" w:h="16840" w:code="9"/>
      <w:pgMar w:top="1440" w:right="1440" w:bottom="1440" w:left="1440" w:header="708" w:footer="31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35F16" w14:textId="77777777" w:rsidR="008E4163" w:rsidRDefault="008E4163">
      <w:r>
        <w:separator/>
      </w:r>
    </w:p>
  </w:endnote>
  <w:endnote w:type="continuationSeparator" w:id="0">
    <w:p w14:paraId="62CCEC6C" w14:textId="77777777" w:rsidR="008E4163" w:rsidRDefault="008E4163">
      <w:r>
        <w:continuationSeparator/>
      </w:r>
    </w:p>
  </w:endnote>
  <w:endnote w:type="continuationNotice" w:id="1">
    <w:p w14:paraId="35B9F413" w14:textId="77777777" w:rsidR="008E4163" w:rsidRDefault="008E41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94B54" w14:textId="77777777" w:rsidR="008E4163" w:rsidRDefault="008E4163">
      <w:r>
        <w:separator/>
      </w:r>
    </w:p>
  </w:footnote>
  <w:footnote w:type="continuationSeparator" w:id="0">
    <w:p w14:paraId="433B4A3F" w14:textId="77777777" w:rsidR="008E4163" w:rsidRDefault="008E4163">
      <w:r>
        <w:continuationSeparator/>
      </w:r>
    </w:p>
  </w:footnote>
  <w:footnote w:type="continuationNotice" w:id="1">
    <w:p w14:paraId="06A34ACA" w14:textId="77777777" w:rsidR="008E4163" w:rsidRDefault="008E41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753"/>
    <w:multiLevelType w:val="hybridMultilevel"/>
    <w:tmpl w:val="C09CBBA8"/>
    <w:styleLink w:val="ImportedStyle3"/>
    <w:lvl w:ilvl="0" w:tplc="A36AB4D4">
      <w:start w:val="1"/>
      <w:numFmt w:val="bullet"/>
      <w:lvlText w:val="-"/>
      <w:lvlJc w:val="left"/>
      <w:pPr>
        <w:ind w:left="212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9A756C">
      <w:start w:val="1"/>
      <w:numFmt w:val="bullet"/>
      <w:lvlText w:val="o"/>
      <w:lvlJc w:val="left"/>
      <w:pPr>
        <w:ind w:left="27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7CBB54">
      <w:start w:val="1"/>
      <w:numFmt w:val="bullet"/>
      <w:lvlText w:val="▪"/>
      <w:lvlJc w:val="left"/>
      <w:pPr>
        <w:ind w:left="34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C2C7A">
      <w:start w:val="1"/>
      <w:numFmt w:val="bullet"/>
      <w:lvlText w:val="•"/>
      <w:lvlJc w:val="left"/>
      <w:pPr>
        <w:ind w:left="4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983286">
      <w:start w:val="1"/>
      <w:numFmt w:val="bullet"/>
      <w:lvlText w:val="o"/>
      <w:lvlJc w:val="left"/>
      <w:pPr>
        <w:ind w:left="49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C7E82">
      <w:start w:val="1"/>
      <w:numFmt w:val="bullet"/>
      <w:lvlText w:val="▪"/>
      <w:lvlJc w:val="left"/>
      <w:pPr>
        <w:ind w:left="565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864EBE">
      <w:start w:val="1"/>
      <w:numFmt w:val="bullet"/>
      <w:lvlText w:val="•"/>
      <w:lvlJc w:val="left"/>
      <w:pPr>
        <w:ind w:left="63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AF0A5B2">
      <w:start w:val="1"/>
      <w:numFmt w:val="bullet"/>
      <w:lvlText w:val="o"/>
      <w:lvlJc w:val="left"/>
      <w:pPr>
        <w:ind w:left="70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CC6482">
      <w:start w:val="1"/>
      <w:numFmt w:val="bullet"/>
      <w:lvlText w:val="▪"/>
      <w:lvlJc w:val="left"/>
      <w:pPr>
        <w:ind w:left="78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E41904"/>
    <w:multiLevelType w:val="hybridMultilevel"/>
    <w:tmpl w:val="7B78410A"/>
    <w:numStyleLink w:val="ImportedStyle1"/>
  </w:abstractNum>
  <w:abstractNum w:abstractNumId="2" w15:restartNumberingAfterBreak="0">
    <w:nsid w:val="108316BA"/>
    <w:multiLevelType w:val="hybridMultilevel"/>
    <w:tmpl w:val="B3707CFA"/>
    <w:lvl w:ilvl="0" w:tplc="0809001B">
      <w:start w:val="1"/>
      <w:numFmt w:val="lowerRoman"/>
      <w:lvlText w:val="%1."/>
      <w:lvlJc w:val="right"/>
      <w:pPr>
        <w:ind w:left="212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27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ind w:left="34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ind w:left="4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ind w:left="49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ind w:left="565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pPr>
        <w:ind w:left="63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ind w:left="70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ind w:left="78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4343BCE"/>
    <w:multiLevelType w:val="hybridMultilevel"/>
    <w:tmpl w:val="8E26A91C"/>
    <w:numStyleLink w:val="ImportedStyle10"/>
  </w:abstractNum>
  <w:abstractNum w:abstractNumId="4" w15:restartNumberingAfterBreak="0">
    <w:nsid w:val="18663F17"/>
    <w:multiLevelType w:val="hybridMultilevel"/>
    <w:tmpl w:val="868ADDCC"/>
    <w:numStyleLink w:val="ImportedStyle2"/>
  </w:abstractNum>
  <w:abstractNum w:abstractNumId="5" w15:restartNumberingAfterBreak="0">
    <w:nsid w:val="19E930C6"/>
    <w:multiLevelType w:val="hybridMultilevel"/>
    <w:tmpl w:val="8E26A91C"/>
    <w:styleLink w:val="ImportedStyle10"/>
    <w:lvl w:ilvl="0" w:tplc="26AAABB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B23920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3CF1B6">
      <w:start w:val="1"/>
      <w:numFmt w:val="decimal"/>
      <w:lvlText w:val="%3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A25124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63C9334">
      <w:start w:val="1"/>
      <w:numFmt w:val="decimal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62A490">
      <w:start w:val="1"/>
      <w:numFmt w:val="decimal"/>
      <w:lvlText w:val="%6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2E102A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BADF2E">
      <w:start w:val="1"/>
      <w:numFmt w:val="decimal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A404B0">
      <w:start w:val="1"/>
      <w:numFmt w:val="decimal"/>
      <w:lvlText w:val="%9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7366B2C"/>
    <w:multiLevelType w:val="hybridMultilevel"/>
    <w:tmpl w:val="7B78410A"/>
    <w:styleLink w:val="ImportedStyle1"/>
    <w:lvl w:ilvl="0" w:tplc="B1908AE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6AE331A">
      <w:start w:val="1"/>
      <w:numFmt w:val="lowerLetter"/>
      <w:suff w:val="nothing"/>
      <w:lvlText w:val="%2."/>
      <w:lvlJc w:val="left"/>
      <w:pPr>
        <w:ind w:left="67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A4C014">
      <w:start w:val="1"/>
      <w:numFmt w:val="lowerRoman"/>
      <w:lvlText w:val="%3."/>
      <w:lvlJc w:val="left"/>
      <w:pPr>
        <w:ind w:left="163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1C9378">
      <w:start w:val="1"/>
      <w:numFmt w:val="decimal"/>
      <w:suff w:val="nothing"/>
      <w:lvlText w:val="%4."/>
      <w:lvlJc w:val="left"/>
      <w:pPr>
        <w:ind w:left="211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3E8E1A">
      <w:start w:val="1"/>
      <w:numFmt w:val="lowerLetter"/>
      <w:suff w:val="nothing"/>
      <w:lvlText w:val="%5."/>
      <w:lvlJc w:val="left"/>
      <w:pPr>
        <w:ind w:left="283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805A1C">
      <w:start w:val="1"/>
      <w:numFmt w:val="lowerRoman"/>
      <w:lvlText w:val="%6."/>
      <w:lvlJc w:val="left"/>
      <w:pPr>
        <w:ind w:left="379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742712">
      <w:start w:val="1"/>
      <w:numFmt w:val="decimal"/>
      <w:suff w:val="nothing"/>
      <w:lvlText w:val="%7."/>
      <w:lvlJc w:val="left"/>
      <w:pPr>
        <w:ind w:left="427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4668D8E">
      <w:start w:val="1"/>
      <w:numFmt w:val="lowerLetter"/>
      <w:suff w:val="nothing"/>
      <w:lvlText w:val="%8."/>
      <w:lvlJc w:val="left"/>
      <w:pPr>
        <w:ind w:left="499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82022E">
      <w:start w:val="1"/>
      <w:numFmt w:val="lowerRoman"/>
      <w:lvlText w:val="%9."/>
      <w:lvlJc w:val="left"/>
      <w:pPr>
        <w:ind w:left="595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CB548B0"/>
    <w:multiLevelType w:val="hybridMultilevel"/>
    <w:tmpl w:val="868ADDCC"/>
    <w:styleLink w:val="ImportedStyle2"/>
    <w:lvl w:ilvl="0" w:tplc="9A5AE42A">
      <w:start w:val="1"/>
      <w:numFmt w:val="lowerLetter"/>
      <w:lvlText w:val="%1)"/>
      <w:lvlJc w:val="left"/>
      <w:pPr>
        <w:ind w:left="1276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4CA22A">
      <w:start w:val="1"/>
      <w:numFmt w:val="lowerLetter"/>
      <w:lvlText w:val="%2."/>
      <w:lvlJc w:val="left"/>
      <w:pPr>
        <w:ind w:left="19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BA4D8EC">
      <w:start w:val="1"/>
      <w:numFmt w:val="lowerLetter"/>
      <w:lvlText w:val="%3."/>
      <w:lvlJc w:val="left"/>
      <w:pPr>
        <w:ind w:left="271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08BB38">
      <w:start w:val="1"/>
      <w:numFmt w:val="lowerLetter"/>
      <w:lvlText w:val="%4."/>
      <w:lvlJc w:val="left"/>
      <w:pPr>
        <w:ind w:left="34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E14EF20">
      <w:start w:val="1"/>
      <w:numFmt w:val="lowerLetter"/>
      <w:lvlText w:val="%5."/>
      <w:lvlJc w:val="left"/>
      <w:pPr>
        <w:ind w:left="415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98384E">
      <w:start w:val="1"/>
      <w:numFmt w:val="lowerLetter"/>
      <w:lvlText w:val="%6."/>
      <w:lvlJc w:val="left"/>
      <w:pPr>
        <w:ind w:left="487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BDCCBFC">
      <w:start w:val="1"/>
      <w:numFmt w:val="lowerLetter"/>
      <w:lvlText w:val="%7."/>
      <w:lvlJc w:val="left"/>
      <w:pPr>
        <w:ind w:left="55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A281D4">
      <w:start w:val="1"/>
      <w:numFmt w:val="lowerLetter"/>
      <w:lvlText w:val="%8."/>
      <w:lvlJc w:val="left"/>
      <w:pPr>
        <w:ind w:left="631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607666">
      <w:start w:val="1"/>
      <w:numFmt w:val="lowerLetter"/>
      <w:lvlText w:val="%9."/>
      <w:lvlJc w:val="left"/>
      <w:pPr>
        <w:ind w:left="70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2C02DAA"/>
    <w:multiLevelType w:val="hybridMultilevel"/>
    <w:tmpl w:val="6F18447E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23E3A"/>
    <w:multiLevelType w:val="hybridMultilevel"/>
    <w:tmpl w:val="C09CBBA8"/>
    <w:numStyleLink w:val="ImportedStyle3"/>
  </w:abstractNum>
  <w:num w:numId="1">
    <w:abstractNumId w:val="6"/>
  </w:num>
  <w:num w:numId="2">
    <w:abstractNumId w:val="1"/>
  </w:num>
  <w:num w:numId="3">
    <w:abstractNumId w:val="1"/>
    <w:lvlOverride w:ilvl="0">
      <w:lvl w:ilvl="0" w:tplc="B2BC56A0">
        <w:start w:val="1"/>
        <w:numFmt w:val="decimal"/>
        <w:suff w:val="nothing"/>
        <w:lvlText w:val="%1."/>
        <w:lvlJc w:val="left"/>
        <w:pPr>
          <w:tabs>
            <w:tab w:val="left" w:pos="720"/>
          </w:tabs>
          <w:ind w:left="436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162672">
        <w:start w:val="1"/>
        <w:numFmt w:val="lowerLetter"/>
        <w:suff w:val="nothing"/>
        <w:lvlText w:val="%2."/>
        <w:lvlJc w:val="left"/>
        <w:pPr>
          <w:tabs>
            <w:tab w:val="left" w:pos="720"/>
          </w:tabs>
          <w:ind w:left="35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4813FA">
        <w:start w:val="1"/>
        <w:numFmt w:val="lowerRoman"/>
        <w:lvlText w:val="%3."/>
        <w:lvlJc w:val="left"/>
        <w:pPr>
          <w:tabs>
            <w:tab w:val="left" w:pos="720"/>
            <w:tab w:val="num" w:pos="1278"/>
          </w:tabs>
          <w:ind w:left="131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F22F92">
        <w:start w:val="1"/>
        <w:numFmt w:val="decimal"/>
        <w:suff w:val="nothing"/>
        <w:lvlText w:val="%4."/>
        <w:lvlJc w:val="left"/>
        <w:pPr>
          <w:tabs>
            <w:tab w:val="left" w:pos="720"/>
          </w:tabs>
          <w:ind w:left="179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222F5E">
        <w:start w:val="1"/>
        <w:numFmt w:val="lowerLetter"/>
        <w:suff w:val="nothing"/>
        <w:lvlText w:val="%5."/>
        <w:lvlJc w:val="left"/>
        <w:pPr>
          <w:tabs>
            <w:tab w:val="left" w:pos="720"/>
          </w:tabs>
          <w:ind w:left="251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847B3C">
        <w:start w:val="1"/>
        <w:numFmt w:val="lowerRoman"/>
        <w:lvlText w:val="%6."/>
        <w:lvlJc w:val="left"/>
        <w:pPr>
          <w:tabs>
            <w:tab w:val="left" w:pos="720"/>
            <w:tab w:val="num" w:pos="3438"/>
          </w:tabs>
          <w:ind w:left="347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2C2438">
        <w:start w:val="1"/>
        <w:numFmt w:val="decimal"/>
        <w:suff w:val="nothing"/>
        <w:lvlText w:val="%7."/>
        <w:lvlJc w:val="left"/>
        <w:pPr>
          <w:tabs>
            <w:tab w:val="left" w:pos="720"/>
          </w:tabs>
          <w:ind w:left="395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6EC61C">
        <w:start w:val="1"/>
        <w:numFmt w:val="lowerLetter"/>
        <w:suff w:val="nothing"/>
        <w:lvlText w:val="%8."/>
        <w:lvlJc w:val="left"/>
        <w:pPr>
          <w:tabs>
            <w:tab w:val="left" w:pos="720"/>
          </w:tabs>
          <w:ind w:left="467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B701046">
        <w:start w:val="1"/>
        <w:numFmt w:val="lowerRoman"/>
        <w:lvlText w:val="%9."/>
        <w:lvlJc w:val="left"/>
        <w:pPr>
          <w:tabs>
            <w:tab w:val="left" w:pos="720"/>
            <w:tab w:val="num" w:pos="5598"/>
          </w:tabs>
          <w:ind w:left="563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4"/>
    <w:lvlOverride w:ilvl="0">
      <w:startOverride w:val="9"/>
    </w:lvlOverride>
  </w:num>
  <w:num w:numId="11">
    <w:abstractNumId w:val="1"/>
    <w:lvlOverride w:ilvl="0">
      <w:lvl w:ilvl="0" w:tplc="B2BC56A0">
        <w:start w:val="5"/>
        <w:numFmt w:val="decimal"/>
        <w:lvlText w:val="%1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162672">
        <w:start w:val="1"/>
        <w:numFmt w:val="lowerLetter"/>
        <w:lvlText w:val="%2."/>
        <w:lvlJc w:val="left"/>
        <w:pPr>
          <w:ind w:left="98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4813FA">
        <w:start w:val="1"/>
        <w:numFmt w:val="lowerRoman"/>
        <w:lvlText w:val="%3."/>
        <w:lvlJc w:val="left"/>
        <w:pPr>
          <w:ind w:left="170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F22F92">
        <w:start w:val="1"/>
        <w:numFmt w:val="decimal"/>
        <w:lvlText w:val="%4."/>
        <w:lvlJc w:val="left"/>
        <w:pPr>
          <w:ind w:left="242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222F5E">
        <w:start w:val="1"/>
        <w:numFmt w:val="lowerLetter"/>
        <w:lvlText w:val="%5."/>
        <w:lvlJc w:val="left"/>
        <w:pPr>
          <w:ind w:left="314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847B3C">
        <w:start w:val="1"/>
        <w:numFmt w:val="lowerRoman"/>
        <w:lvlText w:val="%6."/>
        <w:lvlJc w:val="left"/>
        <w:pPr>
          <w:ind w:left="386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2C2438">
        <w:start w:val="1"/>
        <w:numFmt w:val="decimal"/>
        <w:lvlText w:val="%7."/>
        <w:lvlJc w:val="left"/>
        <w:pPr>
          <w:ind w:left="458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6EC61C">
        <w:start w:val="1"/>
        <w:numFmt w:val="lowerLetter"/>
        <w:lvlText w:val="%8."/>
        <w:lvlJc w:val="left"/>
        <w:pPr>
          <w:ind w:left="530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B701046">
        <w:start w:val="1"/>
        <w:numFmt w:val="lowerRoman"/>
        <w:lvlText w:val="%9."/>
        <w:lvlJc w:val="left"/>
        <w:pPr>
          <w:ind w:left="602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  <w:lvlOverride w:ilvl="0">
      <w:lvl w:ilvl="0" w:tplc="B2BC56A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162672">
        <w:start w:val="1"/>
        <w:numFmt w:val="lowerLetter"/>
        <w:lvlText w:val="%2."/>
        <w:lvlJc w:val="left"/>
        <w:pPr>
          <w:ind w:left="9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4813FA">
        <w:start w:val="1"/>
        <w:numFmt w:val="lowerRoman"/>
        <w:lvlText w:val="%3."/>
        <w:lvlJc w:val="left"/>
        <w:pPr>
          <w:ind w:left="171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F22F92">
        <w:start w:val="1"/>
        <w:numFmt w:val="decimal"/>
        <w:lvlText w:val="%4."/>
        <w:lvlJc w:val="left"/>
        <w:pPr>
          <w:ind w:left="24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222F5E">
        <w:start w:val="1"/>
        <w:numFmt w:val="lowerLetter"/>
        <w:lvlText w:val="%5."/>
        <w:lvlJc w:val="left"/>
        <w:pPr>
          <w:ind w:left="31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847B3C">
        <w:start w:val="1"/>
        <w:numFmt w:val="lowerRoman"/>
        <w:lvlText w:val="%6."/>
        <w:lvlJc w:val="left"/>
        <w:pPr>
          <w:ind w:left="387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2C2438">
        <w:start w:val="1"/>
        <w:numFmt w:val="decimal"/>
        <w:lvlText w:val="%7."/>
        <w:lvlJc w:val="left"/>
        <w:pPr>
          <w:ind w:left="45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6EC61C">
        <w:start w:val="1"/>
        <w:numFmt w:val="lowerLetter"/>
        <w:lvlText w:val="%8."/>
        <w:lvlJc w:val="left"/>
        <w:pPr>
          <w:ind w:left="53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B701046">
        <w:start w:val="1"/>
        <w:numFmt w:val="lowerRoman"/>
        <w:lvlText w:val="%9."/>
        <w:lvlJc w:val="left"/>
        <w:pPr>
          <w:ind w:left="603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"/>
    <w:lvlOverride w:ilvl="0">
      <w:lvl w:ilvl="0" w:tplc="B2BC56A0">
        <w:start w:val="1"/>
        <w:numFmt w:val="decimal"/>
        <w:lvlText w:val="%1."/>
        <w:lvlJc w:val="left"/>
        <w:pPr>
          <w:ind w:left="5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162672">
        <w:start w:val="1"/>
        <w:numFmt w:val="lowerLetter"/>
        <w:lvlText w:val="%2.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4813FA">
        <w:start w:val="1"/>
        <w:numFmt w:val="lowerRoman"/>
        <w:lvlText w:val="%3."/>
        <w:lvlJc w:val="left"/>
        <w:pPr>
          <w:ind w:left="189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F22F92">
        <w:start w:val="1"/>
        <w:numFmt w:val="decimal"/>
        <w:lvlText w:val="%4."/>
        <w:lvlJc w:val="left"/>
        <w:pPr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222F5E">
        <w:start w:val="1"/>
        <w:numFmt w:val="lowerLetter"/>
        <w:lvlText w:val="%5."/>
        <w:lvlJc w:val="left"/>
        <w:pPr>
          <w:ind w:left="33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847B3C">
        <w:start w:val="1"/>
        <w:numFmt w:val="lowerRoman"/>
        <w:lvlText w:val="%6."/>
        <w:lvlJc w:val="left"/>
        <w:pPr>
          <w:ind w:left="405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2C2438">
        <w:start w:val="1"/>
        <w:numFmt w:val="decimal"/>
        <w:lvlText w:val="%7."/>
        <w:lvlJc w:val="left"/>
        <w:pPr>
          <w:ind w:left="4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6EC61C">
        <w:start w:val="1"/>
        <w:numFmt w:val="lowerLetter"/>
        <w:lvlText w:val="%8."/>
        <w:lvlJc w:val="left"/>
        <w:pPr>
          <w:ind w:left="54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B701046">
        <w:start w:val="1"/>
        <w:numFmt w:val="lowerRoman"/>
        <w:lvlText w:val="%9."/>
        <w:lvlJc w:val="left"/>
        <w:pPr>
          <w:ind w:left="621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5C"/>
    <w:rsid w:val="0000258C"/>
    <w:rsid w:val="00074E4D"/>
    <w:rsid w:val="000C75EA"/>
    <w:rsid w:val="000C7E0D"/>
    <w:rsid w:val="000E05E6"/>
    <w:rsid w:val="000E21B0"/>
    <w:rsid w:val="0011128F"/>
    <w:rsid w:val="00112614"/>
    <w:rsid w:val="001159A4"/>
    <w:rsid w:val="00115AA1"/>
    <w:rsid w:val="00117246"/>
    <w:rsid w:val="00123D1C"/>
    <w:rsid w:val="001739EB"/>
    <w:rsid w:val="001831E7"/>
    <w:rsid w:val="00183BFD"/>
    <w:rsid w:val="001A69F9"/>
    <w:rsid w:val="001B1D11"/>
    <w:rsid w:val="001E009B"/>
    <w:rsid w:val="002363CB"/>
    <w:rsid w:val="00246A45"/>
    <w:rsid w:val="00283ADF"/>
    <w:rsid w:val="002855EE"/>
    <w:rsid w:val="002A3801"/>
    <w:rsid w:val="002D7245"/>
    <w:rsid w:val="002F5EB9"/>
    <w:rsid w:val="002F7D40"/>
    <w:rsid w:val="002F7F6F"/>
    <w:rsid w:val="003078C6"/>
    <w:rsid w:val="00327FE9"/>
    <w:rsid w:val="0036218D"/>
    <w:rsid w:val="00392AF2"/>
    <w:rsid w:val="00396EB2"/>
    <w:rsid w:val="003A6C09"/>
    <w:rsid w:val="003A7392"/>
    <w:rsid w:val="003D352B"/>
    <w:rsid w:val="003D4438"/>
    <w:rsid w:val="003F7C8E"/>
    <w:rsid w:val="00405D4E"/>
    <w:rsid w:val="004073DA"/>
    <w:rsid w:val="00410544"/>
    <w:rsid w:val="0041138C"/>
    <w:rsid w:val="00434FB1"/>
    <w:rsid w:val="00440EE1"/>
    <w:rsid w:val="00455066"/>
    <w:rsid w:val="00463BF7"/>
    <w:rsid w:val="00465FC9"/>
    <w:rsid w:val="004B0A04"/>
    <w:rsid w:val="004E04A7"/>
    <w:rsid w:val="004F7B24"/>
    <w:rsid w:val="00587EE1"/>
    <w:rsid w:val="005A6129"/>
    <w:rsid w:val="005D0C27"/>
    <w:rsid w:val="00671118"/>
    <w:rsid w:val="0069299D"/>
    <w:rsid w:val="00692B37"/>
    <w:rsid w:val="00694802"/>
    <w:rsid w:val="006A799A"/>
    <w:rsid w:val="00700444"/>
    <w:rsid w:val="00703D29"/>
    <w:rsid w:val="007320AE"/>
    <w:rsid w:val="00740384"/>
    <w:rsid w:val="007652A7"/>
    <w:rsid w:val="00773ED4"/>
    <w:rsid w:val="007E47E4"/>
    <w:rsid w:val="007F3996"/>
    <w:rsid w:val="0082316B"/>
    <w:rsid w:val="00835F49"/>
    <w:rsid w:val="008448DA"/>
    <w:rsid w:val="008711BF"/>
    <w:rsid w:val="00871D6A"/>
    <w:rsid w:val="008A3EB6"/>
    <w:rsid w:val="008C2F04"/>
    <w:rsid w:val="008E4163"/>
    <w:rsid w:val="008F0094"/>
    <w:rsid w:val="0093240D"/>
    <w:rsid w:val="00976DEE"/>
    <w:rsid w:val="009C2877"/>
    <w:rsid w:val="009D776C"/>
    <w:rsid w:val="009E64FC"/>
    <w:rsid w:val="00A144A1"/>
    <w:rsid w:val="00A641DF"/>
    <w:rsid w:val="00A71DF7"/>
    <w:rsid w:val="00A72033"/>
    <w:rsid w:val="00A7627C"/>
    <w:rsid w:val="00A857D4"/>
    <w:rsid w:val="00A910A2"/>
    <w:rsid w:val="00AA0690"/>
    <w:rsid w:val="00AB1A4D"/>
    <w:rsid w:val="00AC2A5B"/>
    <w:rsid w:val="00AF7CF3"/>
    <w:rsid w:val="00B03829"/>
    <w:rsid w:val="00B35785"/>
    <w:rsid w:val="00B47450"/>
    <w:rsid w:val="00B65DCD"/>
    <w:rsid w:val="00C114C8"/>
    <w:rsid w:val="00C1760F"/>
    <w:rsid w:val="00C456EF"/>
    <w:rsid w:val="00C46510"/>
    <w:rsid w:val="00C54C7D"/>
    <w:rsid w:val="00C55FBA"/>
    <w:rsid w:val="00C5690A"/>
    <w:rsid w:val="00C70CA1"/>
    <w:rsid w:val="00C770FE"/>
    <w:rsid w:val="00C7761F"/>
    <w:rsid w:val="00CB13F7"/>
    <w:rsid w:val="00CD27A1"/>
    <w:rsid w:val="00CD5890"/>
    <w:rsid w:val="00CE4DE5"/>
    <w:rsid w:val="00CE5E4C"/>
    <w:rsid w:val="00CF72F2"/>
    <w:rsid w:val="00D550CB"/>
    <w:rsid w:val="00DA307C"/>
    <w:rsid w:val="00DB059A"/>
    <w:rsid w:val="00DB10D2"/>
    <w:rsid w:val="00DC6A60"/>
    <w:rsid w:val="00DD6113"/>
    <w:rsid w:val="00DF5816"/>
    <w:rsid w:val="00E14C3B"/>
    <w:rsid w:val="00E45D25"/>
    <w:rsid w:val="00E57A4A"/>
    <w:rsid w:val="00E6244A"/>
    <w:rsid w:val="00E72D69"/>
    <w:rsid w:val="00E90343"/>
    <w:rsid w:val="00EA5685"/>
    <w:rsid w:val="00EB6765"/>
    <w:rsid w:val="00EC0008"/>
    <w:rsid w:val="00ED4B7D"/>
    <w:rsid w:val="00EF08A1"/>
    <w:rsid w:val="00F2551F"/>
    <w:rsid w:val="00F6245C"/>
    <w:rsid w:val="00F67549"/>
    <w:rsid w:val="00F95384"/>
    <w:rsid w:val="00F95542"/>
    <w:rsid w:val="00FB36CF"/>
    <w:rsid w:val="00FC3B5A"/>
    <w:rsid w:val="00FD1643"/>
    <w:rsid w:val="00F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54CD"/>
  <w15:docId w15:val="{A5FBC7BC-2444-4ED7-997B-C9A5AF23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q-AL" w:eastAsia="sq-A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Paragrafi">
    <w:name w:val="Paragrafi"/>
    <w:uiPriority w:val="99"/>
    <w:pPr>
      <w:widowControl w:val="0"/>
      <w:spacing w:after="200" w:line="276" w:lineRule="auto"/>
      <w:ind w:firstLine="284"/>
      <w:jc w:val="both"/>
    </w:pPr>
    <w:rPr>
      <w:rFonts w:ascii="Garamond" w:hAnsi="Garamond" w:cs="Arial Unicode MS"/>
      <w:color w:val="000000"/>
      <w:sz w:val="24"/>
      <w:szCs w:val="24"/>
      <w:u w:color="000000"/>
      <w:lang w:val="en-US"/>
    </w:rPr>
  </w:style>
  <w:style w:type="numbering" w:customStyle="1" w:styleId="ImportedStyle10">
    <w:name w:val="Imported Style 1.0"/>
    <w:pPr>
      <w:numPr>
        <w:numId w:val="4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6"/>
      </w:numPr>
    </w:pPr>
  </w:style>
  <w:style w:type="numbering" w:customStyle="1" w:styleId="ImportedStyle3">
    <w:name w:val="Imported Style 3"/>
    <w:pPr>
      <w:numPr>
        <w:numId w:val="8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831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F49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62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18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2024-03-29T08:51:55Z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kalimin nga Radiotelevizioni Shqiptar në përgjegjësi administrimi të Ministrisë së Ekonomisë, Kulturës dhe Inovacionit, të pasurive të paluajtshme shtetërore nr. 336, nr. 338/1, nr. 318, në zonën kadastrale 3852, Xhafzotaj, bashkia Durrës, dhe miratimin e hapjes së parkut teknologjik dhe shkencor "Durana Tech Park"</Titulli>
    <Modifikuesi xmlns="0e656187-b300-4fb0-8bf4-3a50f872073c">alma.lisaku</Modifikuesi>
    <Nr_x002e__x0020_prot_x0020_QBZ xmlns="0e656187-b300-4fb0-8bf4-3a50f872073c">572</Nr_x002e__x0020_prot_x0020_QBZ>
    <Data_x0020_e_x0020_Modifikimit xmlns="0e656187-b300-4fb0-8bf4-3a50f872073c">2024-03-29T11:29:12Z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DFCD035F7475E918432B7F95E8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E04B4-7E37-4B2E-A832-3885812A7526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DD4623-A01F-49E9-B234-D6D79E0C57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09F90-2875-4987-8617-BCC988774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12623D-DA82-4F7C-9331-A5BA306F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nga Radiotelevizioni Shqiptar në përgjegjësi administrimi të Ministrisë së Ekonomisë, Kulturës dhe Inovacionit, të pasurive të paluajtshme shtetërore nr. 336, nr. 338/1, nr. 318, në zonën kadastrale 3852, Xhafzotaj, bashkia Durrës, dhe miratim</vt:lpstr>
    </vt:vector>
  </TitlesOfParts>
  <Company>Microsoft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nga Radiotelevizioni Shqiptar në përgjegjësi administrimi të Ministrisë së Ekonomisë, Kulturës dhe Inovacionit, të pasurive të paluajtshme shtetërore nr. 336, nr. 338/1, nr. 318, në zonën kadastrale 3852, Xhafzotaj, bashkia Durrës, dhe miratimin e hapjes së parkut teknologjik dhe shkencor "Durana Tech Park"</dc:title>
  <dc:creator>Adriana Sheti</dc:creator>
  <cp:lastModifiedBy>Alma Lisaku</cp:lastModifiedBy>
  <cp:revision>22</cp:revision>
  <cp:lastPrinted>2024-03-26T15:40:00Z</cp:lastPrinted>
  <dcterms:created xsi:type="dcterms:W3CDTF">2024-03-29T07:48:00Z</dcterms:created>
  <dcterms:modified xsi:type="dcterms:W3CDTF">2024-03-29T10:32:00Z</dcterms:modified>
</cp:coreProperties>
</file>